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ordia New" w:cs="Cordia New" w:eastAsia="Cordia New" w:hAnsi="Cordia New"/>
          <w:b/>
          <w:bCs/>
          <w:i w:val="false"/>
          <w:iCs w:val="false"/>
          <w:sz w:val="36"/>
          <w:szCs w:val="36"/>
        </w:rPr>
        <w:t xml:space="preserve">ข้อเสนอแก้ไขต้นฉบับ AJSTR ฉบับที่ 2</w:t>
      </w:r>
    </w:p>
    <w:p>
      <w:pPr>
        <w:spacing w:after="220"/>
        <w:jc w:val="center"/>
      </w:pPr>
      <w:r>
        <w:rPr>
          <w:rFonts w:ascii="Cordia New" w:cs="Cordia New" w:eastAsia="Cordia New" w:hAnsi="Cordia New"/>
          <w:b w:val="false"/>
          <w:bCs w:val="false"/>
          <w:i/>
          <w:iCs/>
          <w:sz w:val="28"/>
          <w:szCs w:val="28"/>
        </w:rPr>
        <w:t xml:space="preserve">ปรับการวินิจฉัย Table 4 ให้คมขึ้น และเพิ่มข้อความ Methods พร้อมวาง</w:t>
      </w:r>
    </w:p>
    <w:p>
      <w:pPr>
        <w:spacing w:after="70"/>
        <w:jc w:val="both"/>
      </w:pPr>
      <w:r>
        <w:rPr>
          <w:rFonts w:ascii="Cordia New" w:cs="Cordia New" w:eastAsia="Cordia New" w:hAnsi="Cordia New"/>
          <w:b w:val="false"/>
          <w:bCs w:val="false"/>
          <w:i w:val="false"/>
          <w:iCs w:val="false"/>
          <w:sz w:val="28"/>
          <w:szCs w:val="28"/>
        </w:rPr>
        <w:t xml:space="preserve">เอกสารนี้ใช้คู่กับฉบับแรก มิได้แทนที่ ข้อค้นพบสำคัญที่สุดยังคงเป็นข้อ 1 ของฉบับแรก คือส่วน parametric ทำซ้ำไม่ได้และให้ข้อสรุปคนละทิศทาง ต้องตรวจก่อนแก้ส่วนอื่น เอกสารฉบับนี้เพิ่มสองสิ่ง คือการวินิจฉัย Table 4 ที่ละเอียดขึ้น และข้อความภาษาอังกฤษ สำหรับทุกหัวข้อที่ฉบับแรกระบุเพียงว่าต้องเพิ่มอะไร</w:t>
      </w:r>
    </w:p>
    <w:p>
      <w:pPr>
        <w:spacing w:after="100" w:before="280"/>
      </w:pPr>
      <w:r>
        <w:rPr>
          <w:rFonts w:ascii="Cordia New" w:cs="Cordia New" w:eastAsia="Cordia New" w:hAnsi="Cordia New"/>
          <w:b/>
          <w:bCs/>
          <w:i w:val="false"/>
          <w:iCs w:val="false"/>
          <w:sz w:val="32"/>
          <w:szCs w:val="32"/>
        </w:rPr>
        <w:t xml:space="preserve">1. Table 4 — ผมแก้การวินิจฉัยของตัวเองในฉบับแรก</w:t>
      </w:r>
    </w:p>
    <w:p>
      <w:pPr>
        <w:spacing w:after="70"/>
        <w:jc w:val="both"/>
      </w:pPr>
      <w:r>
        <w:rPr>
          <w:rFonts w:ascii="Cordia New" w:cs="Cordia New" w:eastAsia="Cordia New" w:hAnsi="Cordia New"/>
          <w:b/>
          <w:bCs/>
          <w:i w:val="false"/>
          <w:iCs w:val="false"/>
          <w:sz w:val="28"/>
          <w:szCs w:val="28"/>
        </w:rPr>
        <w:t xml:space="preserve">ฉบับแรกระบุว่าตัวเลข 620 ในหัวข้อ 3.3 ขัดกับตัวส่วน 720 ผมตรวจซ้ำแล้วพบว่า ข้อสรุปนั้นไม่ถูกต้อง เลข 620 ถูกต้องแล้ว</w:t>
      </w:r>
    </w:p>
    <w:p>
      <w:pPr>
        <w:spacing w:after="70"/>
        <w:jc w:val="both"/>
      </w:pPr>
      <w:r>
        <w:rPr>
          <w:rFonts w:ascii="Cordia New" w:cs="Cordia New" w:eastAsia="Cordia New" w:hAnsi="Cordia New"/>
          <w:b w:val="false"/>
          <w:bCs w:val="false"/>
          <w:i w:val="false"/>
          <w:iCs w:val="false"/>
          <w:sz w:val="28"/>
          <w:szCs w:val="28"/>
        </w:rPr>
        <w:t xml:space="preserve">ผมนับจำนวนวันฝนตกที่เกณฑ์ 1.0 มิลลิเมตรต่อวัน แยกตามสถานีและเดือนปฏิทิน ในช่วงปรับเทียบ ค.ศ. 1981-2000 จากชุดข้อมูลสถานีเดียวกัน พบว่ามี station-month ที่มีวันฝนตกน้อยกว่า 30 วัน จำนวน 20 จาก 144 คูณด้วยแบบจำลอง 5 แบบได้ 100 บล็อก เมื่อหักออกจาก 720 เหลือ 620 พอดี ซึ่งตรงกับตัวเลขในหัวข้อ 3.3 และตรงกับผลการคำนวณซ้ำของผมในฉบับแรกที่บันทึกว่า ไม่ได้ปรับเส้นโค้ง 100 บล็อก</w:t>
      </w:r>
    </w:p>
    <w:p>
      <w:pPr>
        <w:spacing w:after="70"/>
        <w:jc w:val="both"/>
      </w:pPr>
      <w:r>
        <w:rPr>
          <w:rFonts w:ascii="Cordia New" w:cs="Cordia New" w:eastAsia="Cordia New" w:hAnsi="Cordia New"/>
          <w:b w:val="false"/>
          <w:bCs w:val="false"/>
          <w:i w:val="false"/>
          <w:iCs w:val="false"/>
          <w:sz w:val="28"/>
          <w:szCs w:val="28"/>
        </w:rPr>
        <w:t xml:space="preserve">เดือนที่ถูกตัดออกกระจุกในฤดูแล้ง เช่น สถานี 500001 เดือนมกราคมมีวันฝนตกเพียง 4 วัน เดือนธันวาคม 7 วัน และสถานี 500002 500003 500004 มีลักษณะเดียวกันในเดือนมกราคมถึงกุมภาพันธ์</w:t>
      </w:r>
    </w:p>
    <w:p>
      <w:pPr>
        <w:spacing w:after="70" w:before="190"/>
      </w:pPr>
      <w:r>
        <w:rPr>
          <w:rFonts w:ascii="Cordia New" w:cs="Cordia New" w:eastAsia="Cordia New" w:hAnsi="Cordia New"/>
          <w:b/>
          <w:bCs/>
          <w:i w:val="false"/>
          <w:iCs w:val="false"/>
          <w:sz w:val="28"/>
          <w:szCs w:val="28"/>
        </w:rPr>
        <w:t xml:space="preserve">สิ่งที่ผิดจริง</w:t>
      </w:r>
    </w:p>
    <w:tbl>
      <w:tblPr>
        <w:tblW w:type="dxa" w:w="8400"/>
        <w:tblBorders>
          <w:top w:val="single" w:sz="8"/>
          <w:left w:val="none"/>
          <w:bottom w:val="single" w:sz="8"/>
          <w:right w:val="none"/>
          <w:insideH w:val="single" w:color="D0D0D0" w:sz="2"/>
          <w:insideV w:val="single" w:color="D0D0D0" w:sz="2"/>
        </w:tblBorders>
      </w:tblPr>
      <w:tblGrid>
        <w:gridCol w:w="2700"/>
        <w:gridCol w:w="2100"/>
        <w:gridCol w:w="1900"/>
        <w:gridCol w:w="1700"/>
      </w:tblGrid>
      <w:tr>
        <w:trPr>
          <w:tblHeader/>
        </w:trPr>
        <w:tc>
          <w:tcPr>
            <w:tcW w:type="dxa" w:w="27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แถวใน Table 4</w:t>
            </w:r>
          </w:p>
        </w:tc>
        <w:tc>
          <w:tcPr>
            <w:tcW w:type="dxa" w:w="21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ผลรวม</w:t>
            </w:r>
          </w:p>
        </w:tc>
        <w:tc>
          <w:tcPr>
            <w:tcW w:type="dxa" w:w="19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ตัวส่วนที่ถูกต้อง</w:t>
            </w:r>
          </w:p>
        </w:tc>
        <w:tc>
          <w:tcPr>
            <w:tcW w:type="dxa" w:w="17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ส่วนต่าง</w:t>
            </w:r>
          </w:p>
        </w:tc>
      </w:tr>
      <w:tr>
        <w:tc>
          <w:tcPr>
            <w:tcW w:type="dxa" w:w="27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annual · observed</w:t>
            </w:r>
          </w:p>
        </w:tc>
        <w:tc>
          <w:tcPr>
            <w:tcW w:type="dxa" w:w="21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45 + 15 = 60</w:t>
            </w:r>
          </w:p>
        </w:tc>
        <w:tc>
          <w:tcPr>
            <w:tcW w:type="dxa" w:w="1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60</w:t>
            </w:r>
          </w:p>
        </w:tc>
        <w:tc>
          <w:tcPr>
            <w:tcW w:type="dxa" w:w="17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0</w:t>
            </w:r>
          </w:p>
        </w:tc>
      </w:tr>
      <w:tr>
        <w:tc>
          <w:tcPr>
            <w:tcW w:type="dxa" w:w="27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annual · model</w:t>
            </w:r>
          </w:p>
        </w:tc>
        <w:tc>
          <w:tcPr>
            <w:tcW w:type="dxa" w:w="21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57 + 2 + 1 = 60</w:t>
            </w:r>
          </w:p>
        </w:tc>
        <w:tc>
          <w:tcPr>
            <w:tcW w:type="dxa" w:w="1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60</w:t>
            </w:r>
          </w:p>
        </w:tc>
        <w:tc>
          <w:tcPr>
            <w:tcW w:type="dxa" w:w="17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0</w:t>
            </w:r>
          </w:p>
        </w:tc>
      </w:tr>
      <w:tr>
        <w:tc>
          <w:tcPr>
            <w:tcW w:type="dxa" w:w="27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monthly · observed</w:t>
            </w:r>
          </w:p>
        </w:tc>
        <w:tc>
          <w:tcPr>
            <w:tcW w:type="dxa" w:w="21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300 + 265 + 50 = 615</w:t>
            </w:r>
          </w:p>
        </w:tc>
        <w:tc>
          <w:tcPr>
            <w:tcW w:type="dxa" w:w="1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620</w:t>
            </w:r>
          </w:p>
        </w:tc>
        <w:tc>
          <w:tcPr>
            <w:tcW w:type="dxa" w:w="17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ขาด 5</w:t>
            </w:r>
          </w:p>
        </w:tc>
      </w:tr>
      <w:tr>
        <w:tc>
          <w:tcPr>
            <w:tcW w:type="dxa" w:w="27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monthly · model</w:t>
            </w:r>
          </w:p>
        </w:tc>
        <w:tc>
          <w:tcPr>
            <w:tcW w:type="dxa" w:w="21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460 + 93 + 34 = 587</w:t>
            </w:r>
          </w:p>
        </w:tc>
        <w:tc>
          <w:tcPr>
            <w:tcW w:type="dxa" w:w="1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620</w:t>
            </w:r>
          </w:p>
        </w:tc>
        <w:tc>
          <w:tcPr>
            <w:tcW w:type="dxa" w:w="17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ขาด 33</w:t>
            </w:r>
          </w:p>
        </w:tc>
      </w:tr>
    </w:tbl>
    <w:p>
      <w:pPr>
        <w:spacing w:after="70"/>
        <w:jc w:val="both"/>
      </w:pPr>
      <w:r>
        <w:rPr>
          <w:rFonts w:ascii="Cordia New" w:cs="Cordia New" w:eastAsia="Cordia New" w:hAnsi="Cordia New"/>
          <w:b w:val="false"/>
          <w:bCs w:val="false"/>
          <w:i w:val="false"/>
          <w:iCs w:val="false"/>
          <w:sz w:val="28"/>
          <w:szCs w:val="28"/>
        </w:rPr>
        <w:t xml:space="preserve">ส่วนต่าง 5 และ 33 คือบล็อกที่เข้าเกณฑ์แล้วแต่การประมาณค่าไม่สำเร็จ ซึ่งหายไปจากตาราง ในการคำนวณซ้ำของผมทั้งสองฝั่งสำเร็จครบ 620 บล็อก จึงเป็นไปได้ว่าการดำเนินการของท่าน มีการไม่ลู่เข้าเพิ่มเติม หรือฝั่งแบบจำลองมีวันฝนตกไม่พอในบางเดือน ผมตรวจฝั่งแบบจำลองพบ station-month ที่มีวันฝนตกน้อยกว่า 30 วัน คือ CESM2 หนึ่ง CanESM5 แปด และ EC-Earth3 สิบเอ็ด รวม 20 กรณี ซึ่งอธิบายส่วนต่าง 33 ได้บางส่วน</w:t>
      </w:r>
    </w:p>
    <w:p>
      <w:pPr>
        <w:spacing w:after="70"/>
        <w:jc w:val="both"/>
      </w:pPr>
      <w:r>
        <w:rPr>
          <w:rFonts w:ascii="Cordia New" w:cs="Cordia New" w:eastAsia="Cordia New" w:hAnsi="Cordia New"/>
          <w:b/>
          <w:bCs/>
          <w:i w:val="false"/>
          <w:iCs w:val="false"/>
          <w:sz w:val="28"/>
          <w:szCs w:val="28"/>
        </w:rPr>
        <w:t xml:space="preserve">ข้อสรุปสำหรับการแก้ไข คือไม่ต้องแก้เลข 620 ในเนื้อความ แต่ต้องเพิ่มคอลัมน์บล็อกที่ไม่สำเร็จ ลงในตาราง และระบุเกณฑ์ 30 วันฝนตกไว้ใน Methods</w:t>
      </w:r>
    </w:p>
    <w:p>
      <w:pPr>
        <w:spacing w:after="70" w:before="190"/>
      </w:pPr>
      <w:r>
        <w:rPr>
          <w:rFonts w:ascii="Cordia New" w:cs="Cordia New" w:eastAsia="Cordia New" w:hAnsi="Cordia New"/>
          <w:b/>
          <w:bCs/>
          <w:i w:val="false"/>
          <w:iCs w:val="false"/>
          <w:sz w:val="28"/>
          <w:szCs w:val="28"/>
        </w:rPr>
        <w:t xml:space="preserve">โครง Table 4 ที่แนะนำ</w:t>
      </w:r>
    </w:p>
    <w:tbl>
      <w:tblPr>
        <w:tblW w:type="dxa" w:w="8650"/>
        <w:tblBorders>
          <w:top w:val="single" w:sz="8"/>
          <w:left w:val="none"/>
          <w:bottom w:val="single" w:sz="8"/>
          <w:right w:val="none"/>
          <w:insideH w:val="single" w:color="D0D0D0" w:sz="2"/>
          <w:insideV w:val="single" w:color="D0D0D0" w:sz="2"/>
        </w:tblBorders>
      </w:tblPr>
      <w:tblGrid>
        <w:gridCol w:w="1050"/>
        <w:gridCol w:w="950"/>
        <w:gridCol w:w="1850"/>
        <w:gridCol w:w="1850"/>
        <w:gridCol w:w="1150"/>
        <w:gridCol w:w="900"/>
        <w:gridCol w:w="900"/>
      </w:tblGrid>
      <w:tr>
        <w:trPr>
          <w:tblHeader/>
        </w:trPr>
        <w:tc>
          <w:tcPr>
            <w:tcW w:type="dxa" w:w="105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Method</w:t>
            </w:r>
          </w:p>
        </w:tc>
        <w:tc>
          <w:tcPr>
            <w:tcW w:type="dxa" w:w="95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Eligible fits</w:t>
            </w:r>
          </w:p>
        </w:tc>
        <w:tc>
          <w:tcPr>
            <w:tcW w:type="dxa" w:w="185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Observed-side selection</w:t>
            </w:r>
          </w:p>
        </w:tc>
        <w:tc>
          <w:tcPr>
            <w:tcW w:type="dxa" w:w="185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Model-side selection</w:t>
            </w:r>
          </w:p>
        </w:tc>
        <w:tc>
          <w:tcPr>
            <w:tcW w:type="dxa" w:w="115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Not fitted</w:t>
            </w:r>
          </w:p>
          <w:p>
            <w:pPr>
              <w:spacing w:after="0"/>
              <w:jc w:val="center"/>
            </w:pPr>
            <w:r>
              <w:rPr>
                <w:rFonts w:ascii="Cordia New" w:cs="Cordia New" w:eastAsia="Cordia New" w:hAnsi="Cordia New"/>
                <w:b/>
                <w:bCs/>
                <w:i w:val="false"/>
                <w:iCs w:val="false"/>
                <w:sz w:val="24"/>
                <w:szCs w:val="24"/>
              </w:rPr>
              <w:t xml:space="preserve">obs / model</w:t>
            </w:r>
          </w:p>
        </w:tc>
        <w:tc>
          <w:tcPr>
            <w:tcW w:type="dxa" w:w="9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Capped outputs</w:t>
            </w:r>
          </w:p>
        </w:tc>
        <w:tc>
          <w:tcPr>
            <w:tcW w:type="dxa" w:w="9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Clipped delta ratios</w:t>
            </w:r>
          </w:p>
        </w:tc>
      </w:tr>
      <w:tr>
        <w:tc>
          <w:tcPr>
            <w:tcW w:type="dxa" w:w="105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annual</w:t>
            </w:r>
          </w:p>
        </w:tc>
        <w:tc>
          <w:tcPr>
            <w:tcW w:type="dxa" w:w="9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60</w:t>
            </w:r>
          </w:p>
        </w:tc>
        <w:tc>
          <w:tcPr>
            <w:tcW w:type="dxa" w:w="18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lognorm 45; genextreme 15</w:t>
            </w:r>
          </w:p>
        </w:tc>
        <w:tc>
          <w:tcPr>
            <w:tcW w:type="dxa" w:w="18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genextreme 57; lognorm 2; pearson3 1</w:t>
            </w:r>
          </w:p>
        </w:tc>
        <w:tc>
          <w:tcPr>
            <w:tcW w:type="dxa" w:w="11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0 / 0</w:t>
            </w:r>
          </w:p>
        </w:tc>
        <w:tc>
          <w:tcPr>
            <w:tcW w:type="dxa" w:w="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3</w:t>
            </w:r>
          </w:p>
        </w:tc>
        <w:tc>
          <w:tcPr>
            <w:tcW w:type="dxa" w:w="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9</w:t>
            </w:r>
          </w:p>
        </w:tc>
      </w:tr>
      <w:tr>
        <w:tc>
          <w:tcPr>
            <w:tcW w:type="dxa" w:w="105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P monthly</w:t>
            </w:r>
          </w:p>
        </w:tc>
        <w:tc>
          <w:tcPr>
            <w:tcW w:type="dxa" w:w="9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620</w:t>
            </w:r>
          </w:p>
        </w:tc>
        <w:tc>
          <w:tcPr>
            <w:tcW w:type="dxa" w:w="18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lognorm 300; genextreme 265; pearson3 50</w:t>
            </w:r>
          </w:p>
        </w:tc>
        <w:tc>
          <w:tcPr>
            <w:tcW w:type="dxa" w:w="18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genextreme 460; lognorm 93; pearson3 34</w:t>
            </w:r>
          </w:p>
        </w:tc>
        <w:tc>
          <w:tcPr>
            <w:tcW w:type="dxa" w:w="115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5 / 33</w:t>
            </w:r>
          </w:p>
        </w:tc>
        <w:tc>
          <w:tcPr>
            <w:tcW w:type="dxa" w:w="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166</w:t>
            </w:r>
          </w:p>
        </w:tc>
        <w:tc>
          <w:tcPr>
            <w:tcW w:type="dxa" w:w="9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89</w:t>
            </w:r>
          </w:p>
        </w:tc>
      </w:tr>
    </w:tbl>
    <w:p>
      <w:pPr>
        <w:spacing w:after="70"/>
        <w:jc w:val="both"/>
      </w:pPr>
      <w:r>
        <w:rPr>
          <w:rFonts w:ascii="Cordia New" w:cs="Cordia New" w:eastAsia="Cordia New" w:hAnsi="Cordia New"/>
          <w:b/>
          <w:bCs/>
          <w:i w:val="false"/>
          <w:iCs w:val="false"/>
          <w:sz w:val="28"/>
          <w:szCs w:val="28"/>
        </w:rPr>
        <w:t xml:space="preserve">Note ที่ต้องใส่ใต้ตาราง</w:t>
      </w:r>
    </w:p>
    <w:p>
      <w:pPr>
        <w:spacing w:after="70"/>
        <w:ind w:left="340"/>
        <w:jc w:val="both"/>
      </w:pPr>
      <w:r>
        <w:rPr>
          <w:rFonts w:ascii="Cordia New" w:cs="Cordia New" w:eastAsia="Cordia New" w:hAnsi="Cordia New"/>
          <w:b w:val="false"/>
          <w:bCs w:val="false"/>
          <w:i w:val="false"/>
          <w:iCs w:val="false"/>
          <w:sz w:val="28"/>
          <w:szCs w:val="28"/>
        </w:rPr>
        <w:t xml:space="preserve">Note. For the monthly variants the structural total is 60 model-station combinations x 12 calendar months = 720 blocks. One hundred blocks were not fitted because the calibration sample for that calendar month contained fewer than 30 wet days, leaving 620 eligible blocks. Not fitted counts eligible blocks for which maximum-likelihood estimation failed to converge for every candidate distribution or for which the model-side wet-day sample fell below the same minimum. Selection counts and not-fitted counts sum to the number of eligible blocks in each column.</w:t>
      </w:r>
    </w:p>
    <w:p>
      <w:pPr>
        <w:spacing w:after="70" w:before="190"/>
      </w:pPr>
      <w:r>
        <w:rPr>
          <w:rFonts w:ascii="Cordia New" w:cs="Cordia New" w:eastAsia="Cordia New" w:hAnsi="Cordia New"/>
          <w:b/>
          <w:bCs/>
          <w:i w:val="false"/>
          <w:iCs w:val="false"/>
          <w:sz w:val="28"/>
          <w:szCs w:val="28"/>
        </w:rPr>
        <w:t xml:space="preserve">ข้อความ Section 3.3 ที่ต้องแก้</w:t>
      </w:r>
    </w:p>
    <w:p>
      <w:pPr>
        <w:spacing w:after="70"/>
        <w:jc w:val="both"/>
      </w:pPr>
      <w:r>
        <w:rPr>
          <w:rFonts w:ascii="Cordia New" w:cs="Cordia New" w:eastAsia="Cordia New" w:hAnsi="Cordia New"/>
          <w:b/>
          <w:bCs/>
          <w:i w:val="false"/>
          <w:iCs w:val="false"/>
          <w:sz w:val="28"/>
          <w:szCs w:val="28"/>
        </w:rPr>
        <w:t xml:space="preserve">เดิม</w:t>
      </w:r>
    </w:p>
    <w:p>
      <w:pPr>
        <w:spacing w:after="70"/>
        <w:ind w:left="340"/>
        <w:jc w:val="both"/>
      </w:pPr>
      <w:r>
        <w:rPr>
          <w:rFonts w:ascii="Cordia New" w:cs="Cordia New" w:eastAsia="Cordia New" w:hAnsi="Cordia New"/>
          <w:b w:val="false"/>
          <w:bCs w:val="false"/>
          <w:i w:val="false"/>
          <w:iCs w:val="false"/>
          <w:sz w:val="28"/>
          <w:szCs w:val="28"/>
        </w:rPr>
        <w:t xml:space="preserve">...whereas QDM_P_monthly selected generalized extreme value distributions for 460 of 620 model-side monthly fits.</w:t>
      </w:r>
    </w:p>
    <w:p>
      <w:pPr>
        <w:spacing w:after="70"/>
        <w:jc w:val="both"/>
      </w:pPr>
      <w:r>
        <w:rPr>
          <w:rFonts w:ascii="Cordia New" w:cs="Cordia New" w:eastAsia="Cordia New" w:hAnsi="Cordia New"/>
          <w:b/>
          <w:bCs/>
          <w:i w:val="false"/>
          <w:iCs w:val="false"/>
          <w:sz w:val="28"/>
          <w:szCs w:val="28"/>
        </w:rPr>
        <w:t xml:space="preserve">แก้เป็น</w:t>
      </w:r>
    </w:p>
    <w:p>
      <w:pPr>
        <w:spacing w:after="70"/>
        <w:ind w:left="340"/>
        <w:jc w:val="both"/>
      </w:pPr>
      <w:r>
        <w:rPr>
          <w:rFonts w:ascii="Cordia New" w:cs="Cordia New" w:eastAsia="Cordia New" w:hAnsi="Cordia New"/>
          <w:b w:val="false"/>
          <w:bCs w:val="false"/>
          <w:i w:val="false"/>
          <w:iCs w:val="false"/>
          <w:sz w:val="28"/>
          <w:szCs w:val="28"/>
        </w:rPr>
        <w:t xml:space="preserve">For the monthly variants the structural total is 720 station-model-month blocks, of which 100 were not fitted because the calibration sample for that calendar month contained fewer than 30 wet days, leaving 620 eligible blocks. Among these, QDM_P_monthly selected the generalized extreme value distribution for 460 model-side fits, the lognormal distribution for 93, and the Pearson type III distribution for 34, while 33 could not be fitted. The blocks excluded for insufficient sample were concentrated in the dry season, where several stations recorded fewer than 20 wet days per calendar month across the two-decade calibration period.</w:t>
      </w:r>
    </w:p>
    <w:p>
      <w:pPr>
        <w:spacing w:after="100" w:before="280"/>
      </w:pPr>
      <w:r>
        <w:rPr>
          <w:rFonts w:ascii="Cordia New" w:cs="Cordia New" w:eastAsia="Cordia New" w:hAnsi="Cordia New"/>
          <w:b/>
          <w:bCs/>
          <w:i w:val="false"/>
          <w:iCs w:val="false"/>
          <w:sz w:val="32"/>
          <w:szCs w:val="32"/>
        </w:rPr>
        <w:t xml:space="preserve">2. ข้อความ Methods ภาษาอังกฤษ พร้อมวาง</w:t>
      </w:r>
    </w:p>
    <w:p>
      <w:pPr>
        <w:spacing w:after="70"/>
        <w:jc w:val="both"/>
      </w:pPr>
      <w:r>
        <w:rPr>
          <w:rFonts w:ascii="Cordia New" w:cs="Cordia New" w:eastAsia="Cordia New" w:hAnsi="Cordia New"/>
          <w:b w:val="false"/>
          <w:bCs w:val="false"/>
          <w:i w:val="false"/>
          <w:iCs w:val="false"/>
          <w:sz w:val="28"/>
          <w:szCs w:val="28"/>
        </w:rPr>
        <w:t xml:space="preserve">ช่องว่างที่ทำเครื่องหมาย ___ คือค่าที่ต้องเติมจากไฟล์ตั้งค่าและบันทึกของท่าน ข้อความส่วนที่เหลือใช้ได้ทันที</w:t>
      </w:r>
    </w:p>
    <w:p>
      <w:pPr>
        <w:spacing w:after="70" w:before="190"/>
      </w:pPr>
      <w:r>
        <w:rPr>
          <w:rFonts w:ascii="Cordia New" w:cs="Cordia New" w:eastAsia="Cordia New" w:hAnsi="Cordia New"/>
          <w:b/>
          <w:bCs/>
          <w:i w:val="false"/>
          <w:iCs w:val="false"/>
          <w:sz w:val="28"/>
          <w:szCs w:val="28"/>
        </w:rPr>
        <w:t xml:space="preserve">2.1 Wet-day frequency adaptation — แทนย่อหน้าที่ 3 ของหัวข้อ 2.2</w:t>
      </w:r>
    </w:p>
    <w:p>
      <w:pPr>
        <w:spacing w:after="70"/>
        <w:ind w:left="340"/>
        <w:jc w:val="both"/>
      </w:pPr>
      <w:r>
        <w:rPr>
          <w:rFonts w:ascii="Cordia New" w:cs="Cordia New" w:eastAsia="Cordia New" w:hAnsi="Cordia New"/>
          <w:b w:val="false"/>
          <w:bCs w:val="false"/>
          <w:i w:val="false"/>
          <w:iCs w:val="false"/>
          <w:sz w:val="28"/>
          <w:szCs w:val="28"/>
        </w:rPr>
        <w:t xml:space="preserve">Wet-day frequency adaptation was applied before quantile mapping so that the corrected series reproduced the observed rainfall occurrence. Let p_dry be the fraction of calibration days on which observed rainfall fell below the observed wet-day threshold of 1.0 mm day-1. For each model, station, and calibration group, the model-side wet-day threshold was taken as the empirical p_dry quantile of the model calibration series, including zero values. Where ties prevented an exact match, the smallest value whose empirical non-exceedance probability was at least p_dry was selected, so the modelled wet-day count never exceeded the observed count. All model values at or below this threshold were set to zero. The threshold was then frozen and reused unchanged in the validation period, so validation wet-day frequency is a diagnostic rather than a fitted quantity.</w:t>
      </w:r>
    </w:p>
    <w:p>
      <w:pPr>
        <w:spacing w:after="70"/>
        <w:ind w:left="340"/>
        <w:jc w:val="both"/>
      </w:pPr>
      <w:r>
        <w:rPr>
          <w:rFonts w:ascii="Cordia New" w:cs="Cordia New" w:eastAsia="Cordia New" w:hAnsi="Cordia New"/>
          <w:b w:val="false"/>
          <w:bCs w:val="false"/>
          <w:i w:val="false"/>
          <w:iCs w:val="false"/>
          <w:sz w:val="28"/>
          <w:szCs w:val="28"/>
        </w:rPr>
        <w:t xml:space="preserve">For the annual variants a single threshold was derived from all calendar months pooled; for the monthly variants a separate threshold was derived for each calendar month from that month's calibration sample. Observed zeros were retained as zeros and were never redistributed. Quantile mapping was applied only to wet-day values; days set to zero by the threshold step were left at zero and did not pass through the transfer function. Occurrence and intensity were therefore corrected in separate steps, which avoids fitting a continuous distribution to a zero-inflated sample.</w:t>
      </w:r>
    </w:p>
    <w:p>
      <w:pPr>
        <w:spacing w:after="70" w:before="190"/>
      </w:pPr>
      <w:r>
        <w:rPr>
          <w:rFonts w:ascii="Cordia New" w:cs="Cordia New" w:eastAsia="Cordia New" w:hAnsi="Cordia New"/>
          <w:b/>
          <w:bCs/>
          <w:i w:val="false"/>
          <w:iCs w:val="false"/>
          <w:sz w:val="28"/>
          <w:szCs w:val="28"/>
        </w:rPr>
        <w:t xml:space="preserve">2.2 Tail cap and delta-ratio bounds — แทนย่อหน้าที่ 2 ของหัวข้อ 2.3</w:t>
      </w:r>
    </w:p>
    <w:p>
      <w:pPr>
        <w:spacing w:after="70"/>
        <w:ind w:left="340"/>
        <w:jc w:val="both"/>
      </w:pPr>
      <w:r>
        <w:rPr>
          <w:rFonts w:ascii="Cordia New" w:cs="Cordia New" w:eastAsia="Cordia New" w:hAnsi="Cordia New"/>
          <w:b w:val="false"/>
          <w:bCs w:val="false"/>
          <w:i w:val="false"/>
          <w:iCs w:val="false"/>
          <w:sz w:val="28"/>
          <w:szCs w:val="28"/>
        </w:rPr>
        <w:t xml:space="preserve">Two numerical safeguards were applied. First, the delta ratio was bounded to the interval [___, ___] so that division by very small modelled quantiles could not generate unbounded multipliers. Second, corrected values were capped at ___ times the largest daily rainfall observed at that station during the calibration period. Both limits were fixed a priori, were derived from calibration data only, and were held constant across all stations, models, methods, and calendar months. The cap was applied after the quantile transformation, so it constrains the corrected output rather than the fitted distribution. Every capping and clipping event was counted and is reported in Table 4.</w:t>
      </w:r>
    </w:p>
    <w:p>
      <w:pPr>
        <w:spacing w:after="70"/>
        <w:ind w:left="340"/>
        <w:jc w:val="both"/>
      </w:pPr>
      <w:r>
        <w:rPr>
          <w:rFonts w:ascii="Cordia New" w:cs="Cordia New" w:eastAsia="Cordia New" w:hAnsi="Cordia New"/>
          <w:b w:val="false"/>
          <w:bCs w:val="false"/>
          <w:i w:val="false"/>
          <w:iCs w:val="false"/>
          <w:sz w:val="28"/>
          <w:szCs w:val="28"/>
        </w:rPr>
        <w:t xml:space="preserve">These safeguards matter for interpretation because a parametric upper tail extrapolates beyond the calibration sample, whereas an empirical upper tail is bounded by the largest calibration value. The counts in Table 4 therefore indicate how often the parametric variants would otherwise have produced values outside the range supported by the calibration record. They should be read as a property of the method rather than as a correction applied selectively to unfavourable results.</w:t>
      </w:r>
    </w:p>
    <w:p>
      <w:pPr>
        <w:spacing w:after="70"/>
        <w:jc w:val="both"/>
      </w:pPr>
      <w:r>
        <w:rPr>
          <w:rFonts w:ascii="Cordia New" w:cs="Cordia New" w:eastAsia="Cordia New" w:hAnsi="Cordia New"/>
          <w:b w:val="false"/>
          <w:bCs w:val="false"/>
          <w:i w:val="false"/>
          <w:iCs w:val="false"/>
          <w:sz w:val="28"/>
          <w:szCs w:val="28"/>
        </w:rPr>
        <w:t xml:space="preserve">ถ้ายังไม่ได้ทดสอบความไวต่อค่าเพดาน ต้องระบุเป็นข้อจำกัด เพราะ P monthly ถูก cap ถึง 166 ค่า ซึ่งมากพอจะกระทบตัวชี้วัดปลายหางและกระทบข้อสรุปเรื่อง q99 โดยตรง</w:t>
      </w:r>
    </w:p>
    <w:p>
      <w:pPr>
        <w:spacing w:after="70" w:before="190"/>
      </w:pPr>
      <w:r>
        <w:rPr>
          <w:rFonts w:ascii="Cordia New" w:cs="Cordia New" w:eastAsia="Cordia New" w:hAnsi="Cordia New"/>
          <w:b/>
          <w:bCs/>
          <w:i w:val="false"/>
          <w:iCs w:val="false"/>
          <w:sz w:val="28"/>
          <w:szCs w:val="28"/>
        </w:rPr>
        <w:t xml:space="preserve">2.3 Parametric fitting — เพิ่มในหัวข้อ 2.3</w:t>
      </w:r>
    </w:p>
    <w:p>
      <w:pPr>
        <w:spacing w:after="70"/>
        <w:ind w:left="340"/>
        <w:jc w:val="both"/>
      </w:pPr>
      <w:r>
        <w:rPr>
          <w:rFonts w:ascii="Cordia New" w:cs="Cordia New" w:eastAsia="Cordia New" w:hAnsi="Cordia New"/>
          <w:b w:val="false"/>
          <w:bCs w:val="false"/>
          <w:i w:val="false"/>
          <w:iCs w:val="false"/>
          <w:sz w:val="28"/>
          <w:szCs w:val="28"/>
        </w:rPr>
        <w:t xml:space="preserve">Candidate distributions were fitted to wet-day values only by maximum likelihood. The Akaike information criterion was computed as AIC = 2k - 2 ln L, where k is the number of fitted parameters and L the maximised likelihood, and the candidate with the smallest AIC was selected. Ties were resolved in favour of the distribution with fewer parameters and, where still tied, in alphabetical order of the distribution name, so that selection was deterministic. A distribution was fitted only when the sample contained at least 30 wet days; blocks below this minimum were recorded as not fitted. If the optimiser failed to converge or returned non-finite parameters, that candidate was discarded, and if every candidate failed the block was likewise recorded as not fitted. Fitting used the maximum-likelihood routines of SciPy ___ under Python ___.</w:t>
      </w:r>
    </w:p>
    <w:p>
      <w:pPr>
        <w:spacing w:after="70"/>
        <w:ind w:left="340"/>
        <w:jc w:val="both"/>
      </w:pPr>
      <w:r>
        <w:rPr>
          <w:rFonts w:ascii="Cordia New" w:cs="Cordia New" w:eastAsia="Cordia New" w:hAnsi="Cordia New"/>
          <w:b w:val="false"/>
          <w:bCs w:val="false"/>
          <w:i w:val="false"/>
          <w:iCs w:val="false"/>
          <w:sz w:val="28"/>
          <w:szCs w:val="28"/>
        </w:rPr>
        <w:t xml:space="preserve">The generalized extreme value distribution was used as a flexible three-parameter model for the whole wet-day distribution rather than as a block-maxima model. This is a pragmatic choice that gives the parametric variants a heavy-tailed candidate and is not an assertion that daily wet-day rainfall follows an extreme-value law. The Kolmogorov-Smirnov statistic between the fitted and the empirical distribution was recorded for every fit as a goodness-of-fit diagnostic.</w:t>
      </w:r>
    </w:p>
    <w:p>
      <w:pPr>
        <w:spacing w:after="70" w:before="190"/>
      </w:pPr>
      <w:r>
        <w:rPr>
          <w:rFonts w:ascii="Cordia New" w:cs="Cordia New" w:eastAsia="Cordia New" w:hAnsi="Cordia New"/>
          <w:b/>
          <w:bCs/>
          <w:i w:val="false"/>
          <w:iCs w:val="false"/>
          <w:sz w:val="28"/>
          <w:szCs w:val="28"/>
        </w:rPr>
        <w:t xml:space="preserve">2.4 QDM equations — แทนย่อหน้าที่ 4 ของหัวข้อ 2.2</w:t>
      </w:r>
    </w:p>
    <w:p>
      <w:pPr>
        <w:spacing w:after="70"/>
        <w:jc w:val="both"/>
      </w:pPr>
      <w:r>
        <w:rPr>
          <w:rFonts w:ascii="Cordia New" w:cs="Cordia New" w:eastAsia="Cordia New" w:hAnsi="Cordia New"/>
          <w:b/>
          <w:bCs/>
          <w:i w:val="false"/>
          <w:iCs w:val="false"/>
          <w:sz w:val="28"/>
          <w:szCs w:val="28"/>
        </w:rPr>
        <w:t xml:space="preserve">AJSTR กำหนดให้สมการสร้างด้วย Equation Editor หรือ MathType ให้พิมพ์สามสมการนี้เป็นสมการจริง</w:t>
      </w:r>
    </w:p>
    <w:p>
      <w:pPr>
        <w:spacing w:after="70"/>
        <w:ind w:left="340"/>
        <w:jc w:val="both"/>
      </w:pPr>
      <w:r>
        <w:rPr>
          <w:rFonts w:ascii="Cordia New" w:cs="Cordia New" w:eastAsia="Cordia New" w:hAnsi="Cordia New"/>
          <w:b w:val="false"/>
          <w:bCs w:val="false"/>
          <w:i w:val="false"/>
          <w:iCs w:val="false"/>
          <w:sz w:val="28"/>
          <w:szCs w:val="28"/>
        </w:rPr>
        <w:t xml:space="preserve">The multiplicative form of quantile delta mapping was used, following Cannon et al. [5]. For a model value x at time t in the target period p:</w:t>
      </w:r>
    </w:p>
    <w:p>
      <w:pPr>
        <w:spacing w:after="80" w:before="80"/>
        <w:jc w:val="center"/>
      </w:pPr>
      <w:r>
        <w:rPr>
          <w:rFonts w:ascii="Cordia New" w:cs="Cordia New" w:eastAsia="Cordia New" w:hAnsi="Cordia New"/>
          <w:b w:val="false"/>
          <w:bCs w:val="false"/>
          <w:i w:val="false"/>
          <w:iCs w:val="false"/>
          <w:sz w:val="28"/>
          <w:szCs w:val="28"/>
        </w:rPr>
        <w:t xml:space="preserve">tau(t) = F_m,p [ x_m,p(t) ]                                   (1)</w:t>
      </w:r>
    </w:p>
    <w:p>
      <w:pPr>
        <w:spacing w:after="80" w:before="80"/>
        <w:jc w:val="center"/>
      </w:pPr>
      <w:r>
        <w:rPr>
          <w:rFonts w:ascii="Cordia New" w:cs="Cordia New" w:eastAsia="Cordia New" w:hAnsi="Cordia New"/>
          <w:b w:val="false"/>
          <w:bCs w:val="false"/>
          <w:i w:val="false"/>
          <w:iCs w:val="false"/>
          <w:sz w:val="28"/>
          <w:szCs w:val="28"/>
        </w:rPr>
        <w:t xml:space="preserve">Delta(t) = x_m,p(t) / F_m,h^-1 [ tau(t) ]                          (2)</w:t>
      </w:r>
    </w:p>
    <w:p>
      <w:pPr>
        <w:spacing w:after="80" w:before="80"/>
        <w:jc w:val="center"/>
      </w:pPr>
      <w:r>
        <w:rPr>
          <w:rFonts w:ascii="Cordia New" w:cs="Cordia New" w:eastAsia="Cordia New" w:hAnsi="Cordia New"/>
          <w:b w:val="false"/>
          <w:bCs w:val="false"/>
          <w:i w:val="false"/>
          <w:iCs w:val="false"/>
          <w:sz w:val="28"/>
          <w:szCs w:val="28"/>
        </w:rPr>
        <w:t xml:space="preserve">x_hat(t) = F_o,h^-1 [ tau(t) ] x Delta(t)                          (3)</w:t>
      </w:r>
    </w:p>
    <w:p>
      <w:pPr>
        <w:spacing w:after="70"/>
        <w:ind w:left="340"/>
        <w:jc w:val="both"/>
      </w:pPr>
      <w:r>
        <w:rPr>
          <w:rFonts w:ascii="Cordia New" w:cs="Cordia New" w:eastAsia="Cordia New" w:hAnsi="Cordia New"/>
          <w:b w:val="false"/>
          <w:bCs w:val="false"/>
          <w:i w:val="false"/>
          <w:iCs w:val="false"/>
          <w:sz w:val="28"/>
          <w:szCs w:val="28"/>
        </w:rPr>
        <w:t xml:space="preserve">where F_m,p is the cumulative distribution function of the model over the target period; F_m,h^-1 and F_o,h^-1 are the quantile functions of the model and of the observations over the calibration period; tau is the non-exceedance probability of the value being corrected; Delta is the relative change ratio; and x_hat is the corrected value. Only F_m,h^-1 and F_o,h^-1 are estimated from calibration data and frozen. The probability tau is obtained from the model distribution of the target period, which is a model-only quantity and therefore does not breach the split-sample protocol. Retaining Delta rather than discarding it is what distinguishes quantile delta mapping from ordinary quantile mapping.</w:t>
      </w:r>
    </w:p>
    <w:p>
      <w:pPr>
        <w:spacing w:after="70" w:before="190"/>
      </w:pPr>
      <w:r>
        <w:rPr>
          <w:rFonts w:ascii="Cordia New" w:cs="Cordia New" w:eastAsia="Cordia New" w:hAnsi="Cordia New"/>
          <w:b/>
          <w:bCs/>
          <w:i w:val="false"/>
          <w:iCs w:val="false"/>
          <w:sz w:val="28"/>
          <w:szCs w:val="28"/>
        </w:rPr>
        <w:t xml:space="preserve">2.5 Year-block bootstrap — หัวข้อใหม่ 2.5</w:t>
      </w:r>
    </w:p>
    <w:p>
      <w:pPr>
        <w:spacing w:after="70"/>
        <w:jc w:val="both"/>
      </w:pPr>
      <w:r>
        <w:rPr>
          <w:rFonts w:ascii="Cordia New" w:cs="Cordia New" w:eastAsia="Cordia New" w:hAnsi="Cordia New"/>
          <w:b/>
          <w:bCs/>
          <w:i w:val="false"/>
          <w:iCs w:val="false"/>
          <w:sz w:val="28"/>
          <w:szCs w:val="28"/>
        </w:rPr>
        <w:t xml:space="preserve">Figure 1 ระบุว่าใช้ year-block bootstrap แต่ Methods ไม่มีเลย เป็นความไม่สอดคล้องที่ reviewer จะจับได้ทันที</w:t>
      </w:r>
    </w:p>
    <w:p>
      <w:pPr>
        <w:spacing w:after="70"/>
        <w:ind w:left="340"/>
        <w:jc w:val="both"/>
      </w:pPr>
      <w:r>
        <w:rPr>
          <w:rFonts w:ascii="Cordia New" w:cs="Cordia New" w:eastAsia="Cordia New" w:hAnsi="Cordia New"/>
          <w:b w:val="false"/>
          <w:bCs w:val="false"/>
          <w:i w:val="false"/>
          <w:iCs w:val="false"/>
          <w:sz w:val="28"/>
          <w:szCs w:val="28"/>
        </w:rPr>
        <w:t xml:space="preserve">Uncertainty in the paired difference between each corrected variant and the raw simulations was estimated by a year-block bootstrap carried out separately within each model-station combination. Monthly totals for the validation period were arranged as a 14-year by 12-month matrix for the observations, the raw simulations, and each corrected variant. In each replicate, 14 calendar years were drawn with replacement and the same index set was applied simultaneously to all series, preserving the pairing within a combination. The metric was recomputed from the resampled years and the difference between the corrected and the raw value was retained. This was repeated B = ___ times with a fixed random seed of ___.</w:t>
      </w:r>
    </w:p>
    <w:p>
      <w:pPr>
        <w:spacing w:after="70"/>
        <w:ind w:left="340"/>
        <w:jc w:val="both"/>
      </w:pPr>
      <w:r>
        <w:rPr>
          <w:rFonts w:ascii="Cordia New" w:cs="Cordia New" w:eastAsia="Cordia New" w:hAnsi="Cordia New"/>
          <w:b w:val="false"/>
          <w:bCs w:val="false"/>
          <w:i w:val="false"/>
          <w:iCs w:val="false"/>
          <w:sz w:val="28"/>
          <w:szCs w:val="28"/>
        </w:rPr>
        <w:t xml:space="preserve">The 95% confidence interval for each combination was taken as the 2.5th and 97.5th percentiles of the bootstrap distribution of the difference. The two-sided p value was computed with the plus-one correction as p = min{1, 2 min[(n_le + 1)/(B + 1), (n_ge + 1)/(B + 1)]}, where n_le and n_ge are the numbers of replicates with a difference at most zero and at least zero. Resampling was performed independently within each combination and the same set of years was not imposed across combinations, so the intervals describe combination-level uncertainty rather than a joint statement about the network.</w:t>
      </w:r>
    </w:p>
    <w:p>
      <w:pPr>
        <w:spacing w:after="70"/>
        <w:ind w:left="340"/>
        <w:jc w:val="both"/>
      </w:pPr>
      <w:r>
        <w:rPr>
          <w:rFonts w:ascii="Cordia New" w:cs="Cordia New" w:eastAsia="Cordia New" w:hAnsi="Cordia New"/>
          <w:b w:val="false"/>
          <w:bCs w:val="false"/>
          <w:i w:val="false"/>
          <w:iCs w:val="false"/>
          <w:sz w:val="28"/>
          <w:szCs w:val="28"/>
        </w:rPr>
        <w:t xml:space="preserve">The 60 model-station combinations are not 60 independent experiments. Several stations fall within the same model grid cell, the models share components and development lineage, and monthly values from one station are serially dependent. Summaries across combinations are therefore reported descriptively, and no test assuming independence across combinations was applied.</w:t>
      </w:r>
    </w:p>
    <w:p>
      <w:pPr>
        <w:spacing w:after="70" w:before="190"/>
      </w:pPr>
      <w:r>
        <w:rPr>
          <w:rFonts w:ascii="Cordia New" w:cs="Cordia New" w:eastAsia="Cordia New" w:hAnsi="Cordia New"/>
          <w:b/>
          <w:bCs/>
          <w:i w:val="false"/>
          <w:iCs w:val="false"/>
          <w:sz w:val="28"/>
          <w:szCs w:val="28"/>
        </w:rPr>
        <w:t xml:space="preserve">2.6 CMIP6 extraction — เพิ่มในหัวข้อ 2.1</w:t>
      </w:r>
    </w:p>
    <w:p>
      <w:pPr>
        <w:spacing w:after="70"/>
        <w:ind w:left="340"/>
        <w:jc w:val="both"/>
      </w:pPr>
      <w:r>
        <w:rPr>
          <w:rFonts w:ascii="Cordia New" w:cs="Cordia New" w:eastAsia="Cordia New" w:hAnsi="Cordia New"/>
          <w:b w:val="false"/>
          <w:bCs w:val="false"/>
          <w:i w:val="false"/>
          <w:iCs w:val="false"/>
          <w:sz w:val="28"/>
          <w:szCs w:val="28"/>
        </w:rPr>
        <w:t xml:space="preserve">Daily precipitation was taken from the CMIP6 historical experiment for the variable pr at daily frequency, using ensemble member ___ for each model and the grid label ___, from the Earth System Grid Federation archive, accessed on ___. Values were converted from kg m-2 s-1 to mm day-1 by multiplying by 86,400. Series were extracted at the native model resolution by nearest-neighbour selection of the grid cell containing each station, without regridding or interpolation. Consequently, stations lying within the same grid cell receive identical model input, and the 60 model-station combinations are not 60 independent spatial samples. Calendars differ among models: models using a 365-day calendar contain 7,300 calibration days and 5,110 validation days, whereas models using the standard calendar and the observations contain 7,305 and 5,113 days. Analysis was performed on the dates common to the observations and each model, so 29 February was dropped for models without a leap day rather than interpolated.</w:t>
      </w:r>
    </w:p>
    <w:p>
      <w:pPr>
        <w:spacing w:after="70" w:before="190"/>
      </w:pPr>
      <w:r>
        <w:rPr>
          <w:rFonts w:ascii="Cordia New" w:cs="Cordia New" w:eastAsia="Cordia New" w:hAnsi="Cordia New"/>
          <w:b/>
          <w:bCs/>
          <w:i w:val="false"/>
          <w:iCs w:val="false"/>
          <w:sz w:val="28"/>
          <w:szCs w:val="28"/>
        </w:rPr>
        <w:t xml:space="preserve">2.7 Station data and quality control — เพิ่มในหัวข้อ 2.1</w:t>
      </w:r>
    </w:p>
    <w:p>
      <w:pPr>
        <w:spacing w:after="70"/>
        <w:ind w:left="340"/>
        <w:jc w:val="both"/>
      </w:pPr>
      <w:r>
        <w:rPr>
          <w:rFonts w:ascii="Cordia New" w:cs="Cordia New" w:eastAsia="Cordia New" w:hAnsi="Cordia New"/>
          <w:b w:val="false"/>
          <w:bCs w:val="false"/>
          <w:i w:val="false"/>
          <w:iCs w:val="false"/>
          <w:sz w:val="28"/>
          <w:szCs w:val="28"/>
        </w:rPr>
        <w:t xml:space="preserve">Daily rainfall observations were obtained from ___ under dataset reference ___ for the period 1981-2014. Records were screened before analysis by predefined checks: completeness, requiring at least 95% of days present; homogeneity of the annual totals, tested with the Pettitt change-point test at the 0.05 level; and handling of declared missing codes and of small negative residuals arising from unit conversion, which were set to zero when within a tolerance of ___ mm day-1 and treated as missing otherwise. All twelve stations were complete and no change point was detected at the 0.05 level, which is a failure to reject rather than proof of homogeneity. No station homogenisation was applied.</w:t>
      </w:r>
    </w:p>
    <w:p>
      <w:pPr>
        <w:spacing w:after="70" w:before="190"/>
      </w:pPr>
      <w:r>
        <w:rPr>
          <w:rFonts w:ascii="Cordia New" w:cs="Cordia New" w:eastAsia="Cordia New" w:hAnsi="Cordia New"/>
          <w:b/>
          <w:bCs/>
          <w:i w:val="false"/>
          <w:iCs w:val="false"/>
          <w:sz w:val="28"/>
          <w:szCs w:val="28"/>
        </w:rPr>
        <w:t xml:space="preserve">2.8 Primary endpoint และนิยามของ best overall — เพิ่มในหัวข้อ 2.4</w:t>
      </w:r>
    </w:p>
    <w:p>
      <w:pPr>
        <w:spacing w:after="70"/>
        <w:ind w:left="340"/>
        <w:jc w:val="both"/>
      </w:pPr>
      <w:r>
        <w:rPr>
          <w:rFonts w:ascii="Cordia New" w:cs="Cordia New" w:eastAsia="Cordia New" w:hAnsi="Cordia New"/>
          <w:b w:val="false"/>
          <w:bCs w:val="false"/>
          <w:i w:val="false"/>
          <w:iCs w:val="false"/>
          <w:sz w:val="28"/>
          <w:szCs w:val="28"/>
        </w:rPr>
        <w:t xml:space="preserve">Performance was assessed against a hierarchy declared before the comparison. The primary endpoint was the monthly Kling-Gupta efficiency over the independent validation period, chosen because it combines correlation, variability, and bias in one measure and does not reward variance suppression as mean square error alone can. Secondary endpoints, used only to characterise the primary result, were distributional fidelity measured by the Kolmogorov-Smirnov statistic, upper-tail relative bias at the 99th percentile, and the monthly climatology correlation. A variant is described as giving the strongest overall performance when it ranks first on the primary endpoint. Where a secondary endpoint favours a different variant, this is stated explicitly rather than absorbed into a single verdict.</w:t>
      </w:r>
    </w:p>
    <w:p>
      <w:pPr>
        <w:spacing w:after="100" w:before="280"/>
      </w:pPr>
      <w:r>
        <w:rPr>
          <w:rFonts w:ascii="Cordia New" w:cs="Cordia New" w:eastAsia="Cordia New" w:hAnsi="Cordia New"/>
          <w:b/>
          <w:bCs/>
          <w:i w:val="false"/>
          <w:iCs w:val="false"/>
          <w:sz w:val="32"/>
          <w:szCs w:val="32"/>
        </w:rPr>
        <w:t xml:space="preserve">3. ข้อความอื่นที่แก้ได้ทันที</w:t>
      </w:r>
    </w:p>
    <w:tbl>
      <w:tblPr>
        <w:tblW w:type="dxa" w:w="8400"/>
        <w:tblBorders>
          <w:top w:val="single" w:sz="8"/>
          <w:left w:val="none"/>
          <w:bottom w:val="single" w:sz="8"/>
          <w:right w:val="none"/>
          <w:insideH w:val="single" w:color="D0D0D0" w:sz="2"/>
          <w:insideV w:val="single" w:color="D0D0D0" w:sz="2"/>
        </w:tblBorders>
      </w:tblPr>
      <w:tblGrid>
        <w:gridCol w:w="1500"/>
        <w:gridCol w:w="2600"/>
        <w:gridCol w:w="4300"/>
      </w:tblGrid>
      <w:tr>
        <w:trPr>
          <w:tblHeader/>
        </w:trPr>
        <w:tc>
          <w:tcPr>
            <w:tcW w:type="dxa" w:w="15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จุด</w:t>
            </w:r>
          </w:p>
        </w:tc>
        <w:tc>
          <w:tcPr>
            <w:tcW w:type="dxa" w:w="26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เดิม</w:t>
            </w:r>
          </w:p>
        </w:tc>
        <w:tc>
          <w:tcPr>
            <w:tcW w:type="dxa" w:w="4300"/>
            <w:shd w:fill="E9EEF4" w:val="clear"/>
            <w:tcMar>
              <w:top w:type="dxa" w:w="40"/>
              <w:left w:type="dxa" w:w="80"/>
              <w:bottom w:type="dxa" w:w="40"/>
              <w:right w:type="dxa" w:w="80"/>
            </w:tcMar>
          </w:tcPr>
          <w:p>
            <w:pPr>
              <w:spacing w:after="0"/>
              <w:jc w:val="center"/>
            </w:pPr>
            <w:r>
              <w:rPr>
                <w:rFonts w:ascii="Cordia New" w:cs="Cordia New" w:eastAsia="Cordia New" w:hAnsi="Cordia New"/>
                <w:b/>
                <w:bCs/>
                <w:i w:val="false"/>
                <w:iCs w:val="false"/>
                <w:sz w:val="24"/>
                <w:szCs w:val="24"/>
              </w:rPr>
              <w:t xml:space="preserve">แก้เป็น</w:t>
            </w:r>
          </w:p>
        </w:tc>
      </w:tr>
      <w:tr>
        <w:tc>
          <w:tcPr>
            <w:tcW w:type="dxa" w:w="15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Conclusions</w:t>
            </w:r>
          </w:p>
        </w:tc>
        <w:tc>
          <w:tcPr>
            <w:tcW w:type="dxa" w:w="26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The split-sample framework is therefore essential</w:t>
            </w:r>
          </w:p>
        </w:tc>
        <w:tc>
          <w:tcPr>
            <w:tcW w:type="dxa" w:w="43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The split-sample framework provides a more stringent basis for assessing transferability than same-period evaluation</w:t>
            </w:r>
          </w:p>
        </w:tc>
      </w:tr>
      <w:tr>
        <w:tc>
          <w:tcPr>
            <w:tcW w:type="dxa" w:w="15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Figure 3 caption</w:t>
            </w:r>
          </w:p>
        </w:tc>
        <w:tc>
          <w:tcPr>
            <w:tcW w:type="dxa" w:w="26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ไม่ระบุขนาดตัวอย่าง</w:t>
            </w:r>
          </w:p>
        </w:tc>
        <w:tc>
          <w:tcPr>
            <w:tcW w:type="dxa" w:w="43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เพิ่มว่า Distributions show the 60 model-station values for each variant, not bootstrap distributions</w:t>
            </w:r>
          </w:p>
        </w:tc>
      </w:tr>
      <w:tr>
        <w:tc>
          <w:tcPr>
            <w:tcW w:type="dxa" w:w="15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Figure 4 caption</w:t>
            </w:r>
          </w:p>
        </w:tc>
        <w:tc>
          <w:tcPr>
            <w:tcW w:type="dxa" w:w="26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อาจเข้าใจว่าเป็นจำนวนคู่</w:t>
            </w:r>
          </w:p>
        </w:tc>
        <w:tc>
          <w:tcPr>
            <w:tcW w:type="dxa" w:w="43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เพิ่มว่า Values are percentages of the 60 model-station combinations</w:t>
            </w:r>
          </w:p>
        </w:tc>
      </w:tr>
      <w:tr>
        <w:tc>
          <w:tcPr>
            <w:tcW w:type="dxa" w:w="15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Keywords</w:t>
            </w:r>
          </w:p>
        </w:tc>
        <w:tc>
          <w:tcPr>
            <w:tcW w:type="dxa" w:w="26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8 คำ</w:t>
            </w:r>
          </w:p>
        </w:tc>
        <w:tc>
          <w:tcPr>
            <w:tcW w:type="dxa" w:w="43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bias correction; quantile delta mapping; CMIP6; independent validation; Thailand</w:t>
            </w:r>
          </w:p>
        </w:tc>
      </w:tr>
      <w:tr>
        <w:tc>
          <w:tcPr>
            <w:tcW w:type="dxa" w:w="1500"/>
            <w:tcMar>
              <w:top w:type="dxa" w:w="40"/>
              <w:left w:type="dxa" w:w="80"/>
              <w:bottom w:type="dxa" w:w="40"/>
              <w:right w:type="dxa" w:w="80"/>
            </w:tcMar>
          </w:tcPr>
          <w:p>
            <w:pPr>
              <w:spacing w:after="0"/>
              <w:jc w:val="center"/>
            </w:pPr>
            <w:r>
              <w:rPr>
                <w:rFonts w:ascii="Cordia New" w:cs="Cordia New" w:eastAsia="Cordia New" w:hAnsi="Cordia New"/>
                <w:b w:val="false"/>
                <w:bCs w:val="false"/>
                <w:i w:val="false"/>
                <w:iCs w:val="false"/>
                <w:sz w:val="24"/>
                <w:szCs w:val="24"/>
              </w:rPr>
              <w:t xml:space="preserve">Data availability</w:t>
            </w:r>
          </w:p>
        </w:tc>
        <w:tc>
          <w:tcPr>
            <w:tcW w:type="dxa" w:w="26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ระบุเพียง project output directory</w:t>
            </w:r>
          </w:p>
        </w:tc>
        <w:tc>
          <w:tcPr>
            <w:tcW w:type="dxa" w:w="4300"/>
            <w:tcMar>
              <w:top w:type="dxa" w:w="40"/>
              <w:left w:type="dxa" w:w="80"/>
              <w:bottom w:type="dxa" w:w="40"/>
              <w:right w:type="dxa" w:w="80"/>
            </w:tcMar>
          </w:tcPr>
          <w:p>
            <w:pPr>
              <w:spacing w:after="0"/>
              <w:jc w:val="left"/>
            </w:pPr>
            <w:r>
              <w:rPr>
                <w:rFonts w:ascii="Cordia New" w:cs="Cordia New" w:eastAsia="Cordia New" w:hAnsi="Cordia New"/>
                <w:b w:val="false"/>
                <w:bCs w:val="false"/>
                <w:i w:val="false"/>
                <w:iCs w:val="false"/>
                <w:sz w:val="24"/>
                <w:szCs w:val="24"/>
              </w:rPr>
              <w:t xml:space="preserve">ระบุช่องทางเข้าถึงจริง พร้อมโค้ด ไฟล์ตั้งค่า ตาราง diagnostic รุ่นซอฟต์แวร์ และ random seed</w:t>
            </w:r>
          </w:p>
        </w:tc>
      </w:tr>
    </w:tbl>
    <w:p>
      <w:pPr>
        <w:spacing w:after="100" w:before="280"/>
      </w:pPr>
      <w:r>
        <w:rPr>
          <w:rFonts w:ascii="Cordia New" w:cs="Cordia New" w:eastAsia="Cordia New" w:hAnsi="Cordia New"/>
          <w:b/>
          <w:bCs/>
          <w:i w:val="false"/>
          <w:iCs w:val="false"/>
          <w:sz w:val="32"/>
          <w:szCs w:val="32"/>
        </w:rPr>
        <w:t xml:space="preserve">4. ลำดับที่ต้องทำ</w:t>
      </w:r>
    </w:p>
    <w:p>
      <w:pPr>
        <w:spacing w:after="70"/>
        <w:jc w:val="both"/>
      </w:pPr>
      <w:r>
        <w:rPr>
          <w:rFonts w:ascii="Cordia New" w:cs="Cordia New" w:eastAsia="Cordia New" w:hAnsi="Cordia New"/>
          <w:b w:val="false"/>
          <w:bCs w:val="false"/>
          <w:i w:val="false"/>
          <w:iCs w:val="false"/>
          <w:sz w:val="28"/>
          <w:szCs w:val="28"/>
        </w:rPr>
        <w:t xml:space="preserve">1. ตรวจส่วน parametric ตามข้อ 1 ของเอกสารฉบับแรกก่อน เพราะข้อสรุปของบทความอาจเปลี่ยน</w:t>
      </w:r>
    </w:p>
    <w:p>
      <w:pPr>
        <w:spacing w:after="70"/>
        <w:jc w:val="both"/>
      </w:pPr>
      <w:r>
        <w:rPr>
          <w:rFonts w:ascii="Cordia New" w:cs="Cordia New" w:eastAsia="Cordia New" w:hAnsi="Cordia New"/>
          <w:b w:val="false"/>
          <w:bCs w:val="false"/>
          <w:i w:val="false"/>
          <w:iCs w:val="false"/>
          <w:sz w:val="28"/>
          <w:szCs w:val="28"/>
        </w:rPr>
        <w:t xml:space="preserve">2. แก้ Table 4 โดยเพิ่มคอลัมน์บล็อกที่ไม่สำเร็จ และคง 620 ไว้ในเนื้อความ</w:t>
      </w:r>
    </w:p>
    <w:p>
      <w:pPr>
        <w:spacing w:after="70"/>
        <w:jc w:val="both"/>
      </w:pPr>
      <w:r>
        <w:rPr>
          <w:rFonts w:ascii="Cordia New" w:cs="Cordia New" w:eastAsia="Cordia New" w:hAnsi="Cordia New"/>
          <w:b w:val="false"/>
          <w:bCs w:val="false"/>
          <w:i w:val="false"/>
          <w:iCs w:val="false"/>
          <w:sz w:val="28"/>
          <w:szCs w:val="28"/>
        </w:rPr>
        <w:t xml:space="preserve">3. วางข้อความ 2.1 ถึง 2.8 ของเอกสารนี้ลงในหัวข้อที่ระบุ แล้วเติมค่าในช่อง ___</w:t>
      </w:r>
    </w:p>
    <w:p>
      <w:pPr>
        <w:spacing w:after="70"/>
        <w:jc w:val="both"/>
      </w:pPr>
      <w:r>
        <w:rPr>
          <w:rFonts w:ascii="Cordia New" w:cs="Cordia New" w:eastAsia="Cordia New" w:hAnsi="Cordia New"/>
          <w:b w:val="false"/>
          <w:bCs w:val="false"/>
          <w:i w:val="false"/>
          <w:iCs w:val="false"/>
          <w:sz w:val="28"/>
          <w:szCs w:val="28"/>
        </w:rPr>
        <w:t xml:space="preserve">4. พิมพ์สมการ (1) ถึง (3) ด้วย Equation Editor</w:t>
      </w:r>
    </w:p>
    <w:p>
      <w:pPr>
        <w:spacing w:after="70"/>
        <w:jc w:val="both"/>
      </w:pPr>
      <w:r>
        <w:rPr>
          <w:rFonts w:ascii="Cordia New" w:cs="Cordia New" w:eastAsia="Cordia New" w:hAnsi="Cordia New"/>
          <w:b w:val="false"/>
          <w:bCs w:val="false"/>
          <w:i w:val="false"/>
          <w:iCs w:val="false"/>
          <w:sz w:val="28"/>
          <w:szCs w:val="28"/>
        </w:rPr>
        <w:t xml:space="preserve">5. รัน bootstrap แล้วเติมช่วงความเชื่อมั่นลงใน Table 3 และตารางเสริม</w:t>
      </w:r>
    </w:p>
    <w:p>
      <w:pPr>
        <w:spacing w:after="70"/>
        <w:jc w:val="both"/>
      </w:pPr>
      <w:r>
        <w:rPr>
          <w:rFonts w:ascii="Cordia New" w:cs="Cordia New" w:eastAsia="Cordia New" w:hAnsi="Cordia New"/>
          <w:b w:val="false"/>
          <w:bCs w:val="false"/>
          <w:i w:val="false"/>
          <w:iCs w:val="false"/>
          <w:sz w:val="28"/>
          <w:szCs w:val="28"/>
        </w:rPr>
        <w:t xml:space="preserve">6. แก้ keywords ประโยค essential และคำบรรยายรูป</w:t>
      </w:r>
    </w:p>
    <w:p>
      <w:pPr>
        <w:spacing w:after="70"/>
        <w:jc w:val="both"/>
      </w:pPr>
      <w:r>
        <w:rPr>
          <w:rFonts w:ascii="Cordia New" w:cs="Cordia New" w:eastAsia="Cordia New" w:hAnsi="Cordia New"/>
          <w:b w:val="false"/>
          <w:bCs w:val="false"/>
          <w:i w:val="false"/>
          <w:iCs w:val="false"/>
          <w:sz w:val="28"/>
          <w:szCs w:val="28"/>
        </w:rPr>
        <w:t xml:space="preserve">7. เพิ่ม DOI ทุกรายการอ้างอิง และเพิ่มวรรณกรรม 2020 ถึง 2025</w:t>
      </w:r>
    </w:p>
    <w:sectPr>
      <w:pgSz w:w="11905" w:h="16837" w:orient="portrait"/>
      <w:pgMar w:top="1133" w:right="1020" w:bottom="113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dia New" w:cs="Cordia New" w:eastAsia="Cordia New" w:hAnsi="Cordia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ข้อเสนอแก้ไขต้นฉบับ AJSTR ฉบับที่ 2</dc:title>
  <dc:creator>Un-named</dc:creator>
  <cp:lastModifiedBy>Un-named</cp:lastModifiedBy>
  <cp:revision>1</cp:revision>
  <dcterms:created xsi:type="dcterms:W3CDTF">2026-08-27T20:06:06.128Z</dcterms:created>
  <dcterms:modified xsi:type="dcterms:W3CDTF">2026-08-27T20:06:06.140Z</dcterms:modified>
</cp:coreProperties>
</file>

<file path=docProps/custom.xml><?xml version="1.0" encoding="utf-8"?>
<Properties xmlns="http://schemas.openxmlformats.org/officeDocument/2006/custom-properties" xmlns:vt="http://schemas.openxmlformats.org/officeDocument/2006/docPropsVTypes"/>
</file>