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1E2F" w14:textId="77777777" w:rsidR="00E91697" w:rsidRDefault="00000000">
      <w:pPr>
        <w:spacing w:after="160" w:line="480" w:lineRule="auto"/>
      </w:pPr>
      <w:r>
        <w:rPr>
          <w:b/>
          <w:bCs/>
          <w:sz w:val="28"/>
          <w:szCs w:val="28"/>
        </w:rPr>
        <w:t>Climate-signal preservation in bias-corrected daily precipitation over Nan, Thailand, and the effect of an observational discontinuity on method evaluation</w:t>
      </w:r>
    </w:p>
    <w:p w14:paraId="1F5DB496" w14:textId="77777777" w:rsidR="00E91697" w:rsidRDefault="00000000">
      <w:pPr>
        <w:spacing w:line="480" w:lineRule="auto"/>
      </w:pPr>
      <w:proofErr w:type="spellStart"/>
      <w:r>
        <w:t>Surasit</w:t>
      </w:r>
      <w:proofErr w:type="spellEnd"/>
      <w:r>
        <w:t xml:space="preserve"> Punyawansiri</w:t>
      </w:r>
      <w:proofErr w:type="gramStart"/>
      <w:r>
        <w:rPr>
          <w:vertAlign w:val="superscript"/>
        </w:rPr>
        <w:t>1,*</w:t>
      </w:r>
      <w:proofErr w:type="gramEnd"/>
    </w:p>
    <w:p w14:paraId="68E5AB37" w14:textId="77777777" w:rsidR="00E91697" w:rsidRDefault="00000000">
      <w:pPr>
        <w:spacing w:line="480" w:lineRule="auto"/>
      </w:pPr>
      <w:r>
        <w:rPr>
          <w:vertAlign w:val="superscript"/>
        </w:rPr>
        <w:t>1</w:t>
      </w:r>
      <w:r>
        <w:t>Office of Water Management and Hydrology, Royal Irrigation Department, Dusit, Bangkok 10300, Thailand</w:t>
      </w:r>
    </w:p>
    <w:p w14:paraId="4DE65D2F" w14:textId="77777777" w:rsidR="00E91697" w:rsidRDefault="00000000">
      <w:pPr>
        <w:spacing w:line="480" w:lineRule="auto"/>
      </w:pPr>
      <w:r>
        <w:rPr>
          <w:vertAlign w:val="superscript"/>
        </w:rPr>
        <w:t>*</w:t>
      </w:r>
      <w:r>
        <w:t>Corresponding author: Surasit.ku@ku.th</w:t>
      </w:r>
    </w:p>
    <w:p w14:paraId="1991A5C0" w14:textId="77777777" w:rsidR="00E91697" w:rsidRDefault="00000000">
      <w:pPr>
        <w:spacing w:before="80" w:after="160"/>
        <w:jc w:val="right"/>
      </w:pPr>
      <w:r>
        <w:rPr>
          <w:sz w:val="20"/>
          <w:szCs w:val="20"/>
        </w:rPr>
        <w:t xml:space="preserve">Received </w:t>
      </w:r>
      <w:proofErr w:type="gramStart"/>
      <w:r>
        <w:rPr>
          <w:sz w:val="20"/>
          <w:szCs w:val="20"/>
        </w:rPr>
        <w:t>… ;</w:t>
      </w:r>
      <w:proofErr w:type="gramEnd"/>
      <w:r>
        <w:rPr>
          <w:sz w:val="20"/>
          <w:szCs w:val="20"/>
        </w:rPr>
        <w:t xml:space="preserve"> Revised </w:t>
      </w:r>
      <w:proofErr w:type="gramStart"/>
      <w:r>
        <w:rPr>
          <w:sz w:val="20"/>
          <w:szCs w:val="20"/>
        </w:rPr>
        <w:t>… ;</w:t>
      </w:r>
      <w:proofErr w:type="gramEnd"/>
      <w:r>
        <w:rPr>
          <w:sz w:val="20"/>
          <w:szCs w:val="20"/>
        </w:rPr>
        <w:t xml:space="preserve"> Accepted …</w:t>
      </w:r>
    </w:p>
    <w:p w14:paraId="039069C8" w14:textId="77777777" w:rsidR="00E91697" w:rsidRDefault="00000000">
      <w:pPr>
        <w:keepNext/>
        <w:spacing w:before="120" w:after="40" w:line="480" w:lineRule="auto"/>
      </w:pPr>
      <w:r>
        <w:rPr>
          <w:b/>
          <w:bCs/>
        </w:rPr>
        <w:t>Abstract</w:t>
      </w:r>
    </w:p>
    <w:p w14:paraId="5636C584" w14:textId="77777777" w:rsidR="00E91697" w:rsidRDefault="00000000">
      <w:pPr>
        <w:spacing w:line="480" w:lineRule="auto"/>
        <w:jc w:val="both"/>
      </w:pPr>
      <w:r>
        <w:t xml:space="preserve">Bias correction is usually judged by how much historical error it removes, yet a correction applied to future simulations must also decide how much of the model's own climate-change signal survives, and both judgements depend on an observed record being homogeneous. Empirical, detrended and delta quantile mapping were applied to daily precipitation from seven CMIP6 models at 14 rain gauges in Nan Province, northern Thailand, under two SSP scenarios. The gauge record was found to contain a network-wide discontinuity: the wet-day frequency falls from about 60% before 2005 to between 22.92% and 30.85% after 2006 in every calendar month at 12 of the 14 gauges, while the adjacent province is unchanged over the same years, so the shift is a property of the record rather than of the climate. A split-sample straddling the discontinuity left a residual out-of-sample error of 52.09%, larger than the uncorrected models; placing calibration in 1981–1992 and validation in 1993–2004, both inside the homogeneous era, reduced it to 14.56% and improved every primary metric. Over calibration all three methods reduced the mean absolute bias in wet-day frequency from 36.7% to 0.03–0.43%; out of sample they converged to 15.6–16.2%. For 2021–2050 the median signal-preservation error stayed within 4.84% for bulk statistics and </w:t>
      </w:r>
      <w:r>
        <w:lastRenderedPageBreak/>
        <w:t>wet-day quantiles but reached 24.94% for R99p, and the method with the smallest absolute error changed with the scenario for nine of the sixteen indices. Homogeneity screening should precede method comparison, not follow it.</w:t>
      </w:r>
    </w:p>
    <w:p w14:paraId="0E444B13" w14:textId="77777777" w:rsidR="00E91697" w:rsidRDefault="00E91697">
      <w:pPr>
        <w:spacing w:line="480" w:lineRule="auto"/>
      </w:pPr>
    </w:p>
    <w:p w14:paraId="6D00BD84" w14:textId="77777777" w:rsidR="00E91697" w:rsidRDefault="00000000">
      <w:pPr>
        <w:spacing w:line="480" w:lineRule="auto"/>
        <w:jc w:val="both"/>
      </w:pPr>
      <w:r>
        <w:rPr>
          <w:b/>
          <w:bCs/>
        </w:rPr>
        <w:t>Keywords:</w:t>
      </w:r>
      <w:r>
        <w:t xml:space="preserve"> Bias adjustment; Data homogeneity; Extreme rainfall; Quantile mapping; Signal preservation</w:t>
      </w:r>
    </w:p>
    <w:p w14:paraId="507351D6" w14:textId="77777777" w:rsidR="00E91697" w:rsidRDefault="00E91697">
      <w:pPr>
        <w:spacing w:line="480" w:lineRule="auto"/>
      </w:pPr>
    </w:p>
    <w:p w14:paraId="73175355" w14:textId="77777777" w:rsidR="00E91697" w:rsidRDefault="00000000">
      <w:pPr>
        <w:keepNext/>
        <w:spacing w:before="120" w:after="40" w:line="480" w:lineRule="auto"/>
      </w:pPr>
      <w:r>
        <w:rPr>
          <w:b/>
          <w:bCs/>
        </w:rPr>
        <w:t>1. Introduction</w:t>
      </w:r>
    </w:p>
    <w:p w14:paraId="60E4E6DA" w14:textId="77777777" w:rsidR="00E91697" w:rsidRDefault="00000000">
      <w:pPr>
        <w:spacing w:line="480" w:lineRule="auto"/>
        <w:ind w:firstLine="360"/>
        <w:jc w:val="both"/>
      </w:pPr>
      <w:r>
        <w:t>Reliable precipitation projections are essential for assessing future water availability, hydrological risk, and other climate-related impacts at the local scale. Global climate models (GCMs) provide an important basis for such assessments, but systematic differences between simulated and observed precipitation can limit their direct application at regional and local scales. Statistical bias correction is therefore widely used to improve the suitability of GCM precipitation for impact-oriented applications [1–3].</w:t>
      </w:r>
    </w:p>
    <w:p w14:paraId="48792684" w14:textId="77777777" w:rsidR="00E91697" w:rsidRDefault="00000000">
      <w:pPr>
        <w:spacing w:line="480" w:lineRule="auto"/>
        <w:ind w:firstLine="360"/>
        <w:jc w:val="both"/>
      </w:pPr>
      <w:r>
        <w:t>Quantile-based bias-correction methods are particularly widely applied because they can effectively adjust systematic differences in precipitation characteristics. However, different formulations are designed to preserve different aspects of the simulated climate signal. Empirical quantile mapping (QM/EQM) primarily focuses on correcting the historical model distribution, whereas detrended quantile mapping (</w:t>
      </w:r>
      <w:proofErr w:type="spellStart"/>
      <w:r>
        <w:t>DetQM</w:t>
      </w:r>
      <w:proofErr w:type="spellEnd"/>
      <w:r>
        <w:t>) and quantile delta mapping (QDM) incorporate mechanisms intended to retain changes simulated by the original model [1]. The choice among these approaches therefore involves more than selecting a method that produces the smallest historical error.</w:t>
      </w:r>
    </w:p>
    <w:p w14:paraId="6AC77050" w14:textId="77777777" w:rsidR="00E91697" w:rsidRDefault="00000000">
      <w:pPr>
        <w:spacing w:line="480" w:lineRule="auto"/>
        <w:ind w:firstLine="360"/>
        <w:jc w:val="both"/>
      </w:pPr>
      <w:r>
        <w:lastRenderedPageBreak/>
        <w:t xml:space="preserve">This issue is particularly relevant when corrected precipitation is used to assess rainfall extremes. Daily precipitation indices are derived in different ways, and their response to bias correction may not be uniform. A correction that performs well for general precipitation characteristics may not provide the same </w:t>
      </w:r>
      <w:proofErr w:type="spellStart"/>
      <w:r>
        <w:t>behaviour</w:t>
      </w:r>
      <w:proofErr w:type="spellEnd"/>
      <w:r>
        <w:t xml:space="preserve"> for extreme rainfall or persistence-related indices. Consequently, assessment of bias-correction methods should consider both how effectively they reduce historical bias and how they affect the climate-change signal represented by the original model.</w:t>
      </w:r>
    </w:p>
    <w:p w14:paraId="002CAF84" w14:textId="77777777" w:rsidR="00E91697" w:rsidRDefault="00000000">
      <w:pPr>
        <w:spacing w:line="480" w:lineRule="auto"/>
        <w:ind w:firstLine="360"/>
        <w:jc w:val="both"/>
      </w:pPr>
      <w:r>
        <w:t>Recent CMIP6-based assessments in Thailand have highlighted substantial spatial and temporal variability in projected precipitation, with some rainfall extremes exhibiting stronger changes than overall precipitation totals [4, 5]. A broader review of CMIP6 extreme precipitation projections across Asian subregions confirms that while models show substantial improvements over previous generations—particularly for intensity indices such as RX1day and R95p—persistent biases remain, especially in topographically complex and data-sparse regions [6]. These characteristics increase the importance of selecting an appropriate bias-correction approach for local climate applications. For regions such as Uttaradit Province in northern Thailand, where climate information is relevant to water-resource and environmental planning, a clearer understanding of the implications of method selection is particularly valuable.</w:t>
      </w:r>
    </w:p>
    <w:p w14:paraId="4D561792" w14:textId="77777777" w:rsidR="00E91697" w:rsidRDefault="00000000">
      <w:pPr>
        <w:spacing w:line="480" w:lineRule="auto"/>
        <w:ind w:firstLine="360"/>
        <w:jc w:val="both"/>
      </w:pPr>
      <w:r>
        <w:t xml:space="preserve">Despite the extensive use of quantile-based bias correction, several questions remain open regarding the comparative </w:t>
      </w:r>
      <w:proofErr w:type="spellStart"/>
      <w:r>
        <w:t>behaviour</w:t>
      </w:r>
      <w:proofErr w:type="spellEnd"/>
      <w:r>
        <w:t xml:space="preserve"> of different formulations when they are evaluated within the same experimental framework. It remains important to determine whether strong historical bias reduction is maintained during independent validation, whether the intended climate-signal preservation associated with each method is consistently achieved across future scenarios, and whether preservation of the modelled signal extends from general precipitation characteristics to </w:t>
      </w:r>
      <w:r>
        <w:lastRenderedPageBreak/>
        <w:t>derived rainfall extremes and persistence-related indices. Addressing these questions requires a controlled comparison in which differences among methods can be examined without confounding changes in the observational data, model ensemble, calibration strategy, or evaluation periods. A recent systematic review of CMIP6 downscaling and extreme analysis across Asia has identified persistent gaps in the application of bias correction methods, particularly regarding the treatment of extremes in topographically complex regions [7].</w:t>
      </w:r>
    </w:p>
    <w:p w14:paraId="7AD313DA" w14:textId="77777777" w:rsidR="00E91697" w:rsidRDefault="00000000">
      <w:pPr>
        <w:spacing w:line="480" w:lineRule="auto"/>
        <w:ind w:firstLine="360"/>
        <w:jc w:val="both"/>
      </w:pPr>
      <w:r>
        <w:t xml:space="preserve">This study compares QM/EQM, </w:t>
      </w:r>
      <w:proofErr w:type="spellStart"/>
      <w:r>
        <w:t>DetQM</w:t>
      </w:r>
      <w:proofErr w:type="spellEnd"/>
      <w:r>
        <w:t xml:space="preserve"> and QDM for daily precipitation from seven CMIP6 models and 14 rain gauges in Nan Province, northern Thailand. A companion study applied the same framework to the </w:t>
      </w:r>
      <w:proofErr w:type="spellStart"/>
      <w:r>
        <w:t>neighbouring</w:t>
      </w:r>
      <w:proofErr w:type="spellEnd"/>
      <w:r>
        <w:t xml:space="preserve"> province of Uttaradit; here the same design meets an observed record that is not homogeneous, and the consequences of that for method evaluation are examined alongside the method comparison itself. Using a split-sample framework placed inside the homogeneous part of the record, with 1981–1992 for calibration, 1993–2004 for independent validation, and 2021–2050 for future assessment relative to 1985–2004, the study evaluates the performance of the three methods from complementary perspectives: historical bias reduction, independent out-of-sample performance, and preservation of the modelled climate-change signal across daily precipitation characteristics and rainfall extremes. The study seeks to clarify how bias-correction method choice affects the characteristics of corrected precipitation and the climate signal available for subsequent impact assessment, thereby providing a more informative basis for selecting bias-correction methods for local climate applications.</w:t>
      </w:r>
    </w:p>
    <w:p w14:paraId="0EAD9C4B" w14:textId="77777777" w:rsidR="00E91697" w:rsidRDefault="00000000">
      <w:pPr>
        <w:keepNext/>
        <w:spacing w:before="120" w:after="40" w:line="480" w:lineRule="auto"/>
      </w:pPr>
      <w:r>
        <w:rPr>
          <w:b/>
          <w:bCs/>
        </w:rPr>
        <w:t>2. Materials and methods</w:t>
      </w:r>
    </w:p>
    <w:p w14:paraId="355193BB" w14:textId="77777777" w:rsidR="00E91697" w:rsidRDefault="00000000">
      <w:pPr>
        <w:keepNext/>
        <w:spacing w:before="100" w:after="20" w:line="480" w:lineRule="auto"/>
      </w:pPr>
      <w:r>
        <w:rPr>
          <w:i/>
          <w:iCs/>
        </w:rPr>
        <w:t>2.1 Study area and data</w:t>
      </w:r>
    </w:p>
    <w:p w14:paraId="159D4667" w14:textId="77777777" w:rsidR="00E91697" w:rsidRDefault="00000000">
      <w:pPr>
        <w:spacing w:line="480" w:lineRule="auto"/>
        <w:ind w:firstLine="360"/>
        <w:jc w:val="both"/>
      </w:pPr>
      <w:r>
        <w:t xml:space="preserve">Nan Province lies in northern Thailand between 18.01° and 19.63° N and 100.34° and 101.36° E (Figure 1). The provincial boundary was taken from the Natural Earth 10 m Admin-1 dataset </w:t>
      </w:r>
      <w:r>
        <w:lastRenderedPageBreak/>
        <w:t>(ISO 3166-2 code TH-55) and verified for geometry validity, coordinate reference system (EPSG:4326), polygon complexity and containment of every gauge; its geodesic area is 11,721.9 km², close to the commonly cited provincial figure, and all 14 gauges fall inside it.</w:t>
      </w:r>
    </w:p>
    <w:p w14:paraId="4DA28C3F" w14:textId="77777777" w:rsidR="00E91697" w:rsidRDefault="00000000">
      <w:pPr>
        <w:spacing w:line="480" w:lineRule="auto"/>
        <w:ind w:firstLine="360"/>
        <w:jc w:val="both"/>
      </w:pPr>
      <w:r>
        <w:t>Daily rainfall for 1981–2014 was obtained for 14 gauges at elevations from 193 to 781 m.</w:t>
      </w:r>
    </w:p>
    <w:p w14:paraId="6FEB3AE1" w14:textId="77777777" w:rsidR="00E91697" w:rsidRDefault="00000000">
      <w:pPr>
        <w:keepNext/>
        <w:spacing w:before="60" w:after="20"/>
        <w:jc w:val="center"/>
      </w:pPr>
      <w:r>
        <w:rPr>
          <w:noProof/>
        </w:rPr>
        <w:drawing>
          <wp:inline distT="0" distB="0" distL="0" distR="0" wp14:anchorId="21CA560E" wp14:editId="6A5428E8">
            <wp:extent cx="4648200" cy="6257925"/>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48200" cy="6257925"/>
                    </a:xfrm>
                    <a:prstGeom prst="rect">
                      <a:avLst/>
                    </a:prstGeom>
                  </pic:spPr>
                </pic:pic>
              </a:graphicData>
            </a:graphic>
          </wp:inline>
        </w:drawing>
      </w:r>
    </w:p>
    <w:p w14:paraId="2E3EBC74" w14:textId="77777777" w:rsidR="00E91697" w:rsidRDefault="00000000">
      <w:pPr>
        <w:keepLines/>
        <w:spacing w:before="40" w:after="80"/>
      </w:pPr>
      <w:r>
        <w:rPr>
          <w:b/>
          <w:bCs/>
          <w:sz w:val="20"/>
          <w:szCs w:val="20"/>
        </w:rPr>
        <w:t>Figure 1</w:t>
      </w:r>
      <w:r>
        <w:rPr>
          <w:sz w:val="20"/>
          <w:szCs w:val="20"/>
        </w:rPr>
        <w:t xml:space="preserve"> Nan Province and the 14 rain gauges used in this study, on the verified provincial boundary. Symbol </w:t>
      </w:r>
      <w:proofErr w:type="spellStart"/>
      <w:r>
        <w:rPr>
          <w:sz w:val="20"/>
          <w:szCs w:val="20"/>
        </w:rPr>
        <w:t>colour</w:t>
      </w:r>
      <w:proofErr w:type="spellEnd"/>
      <w:r>
        <w:rPr>
          <w:sz w:val="20"/>
          <w:szCs w:val="20"/>
        </w:rPr>
        <w:t xml:space="preserve"> gives gauge elevation; the open symbol marks the one gauge whose elevation is not recorded in the station table. The figure is drawn from the same boundary and station files the analysis reads.</w:t>
      </w:r>
    </w:p>
    <w:p w14:paraId="37D08B94" w14:textId="77777777" w:rsidR="00E91697" w:rsidRDefault="00000000">
      <w:pPr>
        <w:keepNext/>
        <w:spacing w:before="100" w:after="20" w:line="480" w:lineRule="auto"/>
      </w:pPr>
      <w:r>
        <w:rPr>
          <w:i/>
          <w:iCs/>
        </w:rPr>
        <w:lastRenderedPageBreak/>
        <w:t>2.2 Observed-data quality control and homogeneity</w:t>
      </w:r>
    </w:p>
    <w:p w14:paraId="568773A6" w14:textId="77777777" w:rsidR="00E91697" w:rsidRDefault="00000000">
      <w:pPr>
        <w:spacing w:line="480" w:lineRule="auto"/>
        <w:ind w:firstLine="360"/>
        <w:jc w:val="both"/>
      </w:pPr>
      <w:r>
        <w:t xml:space="preserve">Zeros standing in for missing observations were screened against six diagnostics per station-month, combining the surrounding gauges, the station's own climatology for that calendar month and the length of the zero run; a zero was reclassified as missing only when at least one </w:t>
      </w:r>
      <w:proofErr w:type="spellStart"/>
      <w:r>
        <w:t>neighbour</w:t>
      </w:r>
      <w:proofErr w:type="spellEnd"/>
      <w:r>
        <w:t>-based diagnostic and at least two in total supported it. Of 5,712 station-months, 136 were classified as probable missing and 214 as uncertain and left unaltered; no value was imputed.</w:t>
      </w:r>
    </w:p>
    <w:p w14:paraId="256C7AB4" w14:textId="77777777" w:rsidR="00E91697" w:rsidRDefault="00000000">
      <w:pPr>
        <w:spacing w:line="480" w:lineRule="auto"/>
        <w:ind w:firstLine="360"/>
        <w:jc w:val="both"/>
      </w:pPr>
      <w:r>
        <w:t>Homogeneity was screened by the ratio of wet-day frequency in the validation period to that in the calibration period, with a gauge flagged when the ratio falls outside 0.75–1.33. Under the split-sample used in the companion study, 12 of the 14 Nan gauges were flagged, and 11 of those showed the frequency roughly halving. Section 3.1 examines that result before the methods are compared, because it determines which periods the comparison can use.</w:t>
      </w:r>
    </w:p>
    <w:p w14:paraId="4DAC053C" w14:textId="77777777" w:rsidR="00E91697" w:rsidRDefault="00000000">
      <w:pPr>
        <w:keepNext/>
        <w:spacing w:before="100" w:after="20" w:line="480" w:lineRule="auto"/>
      </w:pPr>
      <w:r>
        <w:rPr>
          <w:i/>
          <w:iCs/>
        </w:rPr>
        <w:t>2.3 Climate model data and experimental design</w:t>
      </w:r>
    </w:p>
    <w:p w14:paraId="5B51B154" w14:textId="77777777" w:rsidR="00E91697" w:rsidRDefault="00000000">
      <w:pPr>
        <w:spacing w:line="480" w:lineRule="auto"/>
        <w:ind w:firstLine="360"/>
        <w:jc w:val="both"/>
      </w:pPr>
      <w:r>
        <w:t xml:space="preserve">Daily precipitation was used from seven CMIP6 models [8, 9] for the historical experiment and for SSP2-4.5 and SSP5-8.5: ACCESS-ESM1-5 [10], CESM2 [11], CanESM5 [12], EC-Earth3 [13], FGOALS-g3 [14], MIROC6 [15] and MRI-ESM2-0 [16], all </w:t>
      </w:r>
      <w:proofErr w:type="spellStart"/>
      <w:r>
        <w:t>realisation</w:t>
      </w:r>
      <w:proofErr w:type="spellEnd"/>
      <w:r>
        <w:t xml:space="preserve"> r1i1p1f1 except CESM2 (r11i1p1f1). CESM2, CanESM5 and FGOALS-g3 use a 365-day calendar and the remainder the standard calendar; calendars were detected from the data. Across the 14 </w:t>
      </w:r>
      <w:proofErr w:type="spellStart"/>
      <w:r>
        <w:t>analysed</w:t>
      </w:r>
      <w:proofErr w:type="spellEnd"/>
      <w:r>
        <w:t xml:space="preserve"> gauges each model delivers between one and four distinct daily series (Supplementary Table S10), so the raw fields carry limited sub-provincial structure.</w:t>
      </w:r>
    </w:p>
    <w:p w14:paraId="680CB7E2" w14:textId="77777777" w:rsidR="00E91697" w:rsidRDefault="00000000">
      <w:pPr>
        <w:spacing w:line="480" w:lineRule="auto"/>
        <w:ind w:firstLine="360"/>
        <w:jc w:val="both"/>
      </w:pPr>
      <w:r>
        <w:t xml:space="preserve">Parameters were estimated on 1981–1992 and frozen. The frozen parameters were applied to the calibration period itself, to the independent validation period 1993–2004, to the baseline 1985–2004 and to the future window 2021–2050. All statistics for 2021–2050 were recomputed from </w:t>
      </w:r>
      <w:r>
        <w:lastRenderedPageBreak/>
        <w:t>the daily corrected series over that 30-year window. Acceptance criteria governing what may be claimed are given in Supplementary Table S9.</w:t>
      </w:r>
    </w:p>
    <w:p w14:paraId="4AF7472C" w14:textId="77777777" w:rsidR="00E91697" w:rsidRDefault="00000000">
      <w:pPr>
        <w:keepNext/>
        <w:spacing w:before="100" w:after="20" w:line="480" w:lineRule="auto"/>
      </w:pPr>
      <w:r>
        <w:rPr>
          <w:i/>
          <w:iCs/>
        </w:rPr>
        <w:t>2.4 Bias-correction methods</w:t>
      </w:r>
    </w:p>
    <w:p w14:paraId="0B72364F" w14:textId="77777777" w:rsidR="00E91697" w:rsidRDefault="00000000">
      <w:pPr>
        <w:spacing w:line="480" w:lineRule="auto"/>
        <w:ind w:firstLine="360"/>
        <w:jc w:val="both"/>
      </w:pPr>
      <w:r>
        <w:t xml:space="preserve">Supplementary Table S1 </w:t>
      </w:r>
      <w:proofErr w:type="spellStart"/>
      <w:r>
        <w:t>summarises</w:t>
      </w:r>
      <w:proofErr w:type="spellEnd"/>
      <w:r>
        <w:t xml:space="preserve"> the design of the three methods and the settings they share. All operate on wet days defined by a 1.0 mm d-1 threshold. Frequency adaptation is applied once per gauge–model pair before any intensity mapping: the model wet-day threshold is raised until the model wet-day frequency over the calibration period matches the observed frequency [17]. Because this occurrence model is estimated once and shared, differences between the methods arise from the intensity transformation alone.</w:t>
      </w:r>
    </w:p>
    <w:p w14:paraId="379A2794" w14:textId="77777777" w:rsidR="00E91697" w:rsidRDefault="00000000">
      <w:pPr>
        <w:spacing w:line="480" w:lineRule="auto"/>
        <w:ind w:firstLine="360"/>
        <w:jc w:val="both"/>
      </w:pPr>
      <w:r>
        <w:t>Writing F⁻¹</w:t>
      </w:r>
      <w:proofErr w:type="gramStart"/>
      <w:r>
        <w:t>obs,cal</w:t>
      </w:r>
      <w:proofErr w:type="gramEnd"/>
      <w:r>
        <w:t xml:space="preserve"> and F⁻¹</w:t>
      </w:r>
      <w:proofErr w:type="gramStart"/>
      <w:r>
        <w:t>mod,cal</w:t>
      </w:r>
      <w:proofErr w:type="gramEnd"/>
      <w:r>
        <w:t xml:space="preserve"> for the observed and modelled wet-day quantile functions over the calibration period, and x for a target-period value,</w:t>
      </w:r>
    </w:p>
    <w:p w14:paraId="2FED190E" w14:textId="77777777" w:rsidR="00E91697" w:rsidRDefault="00000000">
      <w:pPr>
        <w:spacing w:before="60" w:after="60" w:line="480" w:lineRule="auto"/>
        <w:ind w:left="720"/>
      </w:pPr>
      <m:oMath>
        <m:r>
          <w:rPr>
            <w:rFonts w:ascii="Cambria Math" w:hAnsi="Cambria Math"/>
          </w:rPr>
          <m:t>BC</m:t>
        </m:r>
        <m:d>
          <m:dPr>
            <m:ctrlPr>
              <w:rPr>
                <w:rFonts w:ascii="Cambria Math" w:hAnsi="Cambria Math"/>
              </w:rPr>
            </m:ctrlPr>
          </m:dPr>
          <m:e>
            <m:r>
              <w:rPr>
                <w:rFonts w:ascii="Cambria Math" w:hAnsi="Cambria Math"/>
              </w:rPr>
              <m:t>x</m:t>
            </m:r>
          </m:e>
        </m:d>
        <m:r>
          <w:rPr>
            <w:rFonts w:ascii="Cambria Math" w:hAnsi="Cambria Math"/>
          </w:rPr>
          <m:t xml:space="preserve"> = </m:t>
        </m:r>
        <m:sSubSup>
          <m:sSubSupPr>
            <m:ctrlPr>
              <w:rPr>
                <w:rFonts w:ascii="Cambria Math" w:hAnsi="Cambria Math"/>
              </w:rPr>
            </m:ctrlPr>
          </m:sSubSupPr>
          <m:e>
            <m:r>
              <w:rPr>
                <w:rFonts w:ascii="Cambria Math" w:hAnsi="Cambria Math"/>
              </w:rPr>
              <m:t>F</m:t>
            </m:r>
          </m:e>
          <m:sub>
            <m:r>
              <w:rPr>
                <w:rFonts w:ascii="Cambria Math" w:hAnsi="Cambria Math"/>
              </w:rPr>
              <m:t>obs,cal</m:t>
            </m:r>
          </m:sub>
          <m:sup>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mod,cal</m:t>
                </m:r>
              </m:sub>
            </m:sSub>
            <m:d>
              <m:dPr>
                <m:ctrlPr>
                  <w:rPr>
                    <w:rFonts w:ascii="Cambria Math" w:hAnsi="Cambria Math"/>
                  </w:rPr>
                </m:ctrlPr>
              </m:dPr>
              <m:e>
                <m:r>
                  <w:rPr>
                    <w:rFonts w:ascii="Cambria Math" w:hAnsi="Cambria Math"/>
                  </w:rPr>
                  <m:t>x</m:t>
                </m:r>
              </m:e>
            </m:d>
          </m:e>
        </m:d>
      </m:oMath>
      <w:r>
        <w:tab/>
      </w:r>
      <w:r>
        <w:tab/>
        <w:t>(1)</w:t>
      </w:r>
    </w:p>
    <w:p w14:paraId="35E70215" w14:textId="77777777" w:rsidR="00E91697" w:rsidRDefault="00000000">
      <w:pPr>
        <w:spacing w:before="60" w:after="60" w:line="480" w:lineRule="auto"/>
        <w:ind w:left="720"/>
      </w:pPr>
      <m:oMath>
        <m:r>
          <w:rPr>
            <w:rFonts w:ascii="Cambria Math" w:hAnsi="Cambria Math"/>
          </w:rPr>
          <m:t>BC</m:t>
        </m:r>
        <m:d>
          <m:dPr>
            <m:ctrlPr>
              <w:rPr>
                <w:rFonts w:ascii="Cambria Math" w:hAnsi="Cambria Math"/>
              </w:rPr>
            </m:ctrlPr>
          </m:dPr>
          <m:e>
            <m:r>
              <w:rPr>
                <w:rFonts w:ascii="Cambria Math" w:hAnsi="Cambria Math"/>
              </w:rPr>
              <m:t>x</m:t>
            </m:r>
          </m:e>
        </m:d>
        <m:r>
          <w:rPr>
            <w:rFonts w:ascii="Cambria Math" w:hAnsi="Cambria Math"/>
          </w:rPr>
          <m:t xml:space="preserve"> = s · </m:t>
        </m:r>
        <m:sSubSup>
          <m:sSubSupPr>
            <m:ctrlPr>
              <w:rPr>
                <w:rFonts w:ascii="Cambria Math" w:hAnsi="Cambria Math"/>
              </w:rPr>
            </m:ctrlPr>
          </m:sSubSupPr>
          <m:e>
            <m:r>
              <w:rPr>
                <w:rFonts w:ascii="Cambria Math" w:hAnsi="Cambria Math"/>
              </w:rPr>
              <m:t>F</m:t>
            </m:r>
          </m:e>
          <m:sub>
            <m:r>
              <w:rPr>
                <w:rFonts w:ascii="Cambria Math" w:hAnsi="Cambria Math"/>
              </w:rPr>
              <m:t>obs,cal</m:t>
            </m:r>
          </m:sub>
          <m:sup>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mod,cal</m:t>
                </m:r>
              </m:sub>
            </m:sSub>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s</m:t>
                    </m:r>
                  </m:den>
                </m:f>
              </m:e>
            </m:d>
          </m:e>
        </m:d>
        <m:r>
          <w:rPr>
            <w:rFonts w:ascii="Cambria Math" w:hAnsi="Cambria Math"/>
          </w:rPr>
          <m:t xml:space="preserve">,   s = </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tgt</m:t>
                </m:r>
              </m:sub>
            </m:sSub>
          </m:num>
          <m:den>
            <m:sSub>
              <m:sSubPr>
                <m:ctrlPr>
                  <w:rPr>
                    <w:rFonts w:ascii="Cambria Math" w:hAnsi="Cambria Math"/>
                  </w:rPr>
                </m:ctrlPr>
              </m:sSubPr>
              <m:e>
                <m:r>
                  <w:rPr>
                    <w:rFonts w:ascii="Cambria Math" w:hAnsi="Cambria Math"/>
                  </w:rPr>
                  <m:t>μ</m:t>
                </m:r>
              </m:e>
              <m:sub>
                <m:r>
                  <w:rPr>
                    <w:rFonts w:ascii="Cambria Math" w:hAnsi="Cambria Math"/>
                  </w:rPr>
                  <m:t>cal</m:t>
                </m:r>
              </m:sub>
            </m:sSub>
          </m:den>
        </m:f>
      </m:oMath>
      <w:r>
        <w:tab/>
      </w:r>
      <w:r>
        <w:tab/>
        <w:t>(2)</w:t>
      </w:r>
    </w:p>
    <w:p w14:paraId="7A47AADB" w14:textId="77777777" w:rsidR="00E91697" w:rsidRDefault="00000000">
      <w:pPr>
        <w:spacing w:before="60" w:after="60" w:line="480" w:lineRule="auto"/>
        <w:ind w:left="720"/>
      </w:pPr>
      <m:oMath>
        <m:r>
          <w:rPr>
            <w:rFonts w:ascii="Cambria Math" w:hAnsi="Cambria Math"/>
          </w:rPr>
          <m:t>BC</m:t>
        </m:r>
        <m:d>
          <m:dPr>
            <m:ctrlPr>
              <w:rPr>
                <w:rFonts w:ascii="Cambria Math" w:hAnsi="Cambria Math"/>
              </w:rPr>
            </m:ctrlPr>
          </m:dPr>
          <m:e>
            <m:r>
              <w:rPr>
                <w:rFonts w:ascii="Cambria Math" w:hAnsi="Cambria Math"/>
              </w:rPr>
              <m:t>x</m:t>
            </m:r>
          </m:e>
        </m:d>
        <m:r>
          <w:rPr>
            <w:rFonts w:ascii="Cambria Math" w:hAnsi="Cambria Math"/>
          </w:rPr>
          <m:t xml:space="preserve"> = </m:t>
        </m:r>
        <m:sSubSup>
          <m:sSubSupPr>
            <m:ctrlPr>
              <w:rPr>
                <w:rFonts w:ascii="Cambria Math" w:hAnsi="Cambria Math"/>
              </w:rPr>
            </m:ctrlPr>
          </m:sSubSupPr>
          <m:e>
            <m:r>
              <w:rPr>
                <w:rFonts w:ascii="Cambria Math" w:hAnsi="Cambria Math"/>
              </w:rPr>
              <m:t>F</m:t>
            </m:r>
          </m:e>
          <m:sub>
            <m:r>
              <w:rPr>
                <w:rFonts w:ascii="Cambria Math" w:hAnsi="Cambria Math"/>
              </w:rPr>
              <m:t>obs,cal</m:t>
            </m:r>
          </m:sub>
          <m:sup>
            <m:r>
              <w:rPr>
                <w:rFonts w:ascii="Cambria Math" w:hAnsi="Cambria Math"/>
              </w:rPr>
              <m:t>-1</m:t>
            </m:r>
          </m:sup>
        </m:sSubSup>
        <m:d>
          <m:dPr>
            <m:ctrlPr>
              <w:rPr>
                <w:rFonts w:ascii="Cambria Math" w:hAnsi="Cambria Math"/>
              </w:rPr>
            </m:ctrlPr>
          </m:dPr>
          <m:e>
            <m:r>
              <w:rPr>
                <w:rFonts w:ascii="Cambria Math" w:hAnsi="Cambria Math"/>
              </w:rPr>
              <m:t>p</m:t>
            </m:r>
          </m:e>
        </m:d>
        <m:r>
          <w:rPr>
            <w:rFonts w:ascii="Cambria Math" w:hAnsi="Cambria Math"/>
          </w:rPr>
          <m:t xml:space="preserve"> · </m:t>
        </m:r>
        <m:d>
          <m:dPr>
            <m:begChr m:val="["/>
            <m:endChr m:val="]"/>
            <m:ctrlPr>
              <w:rPr>
                <w:rFonts w:ascii="Cambria Math" w:hAnsi="Cambria Math"/>
              </w:rPr>
            </m:ctrlPr>
          </m:dPr>
          <m:e>
            <m:f>
              <m:fPr>
                <m:ctrlPr>
                  <w:rPr>
                    <w:rFonts w:ascii="Cambria Math" w:hAnsi="Cambria Math"/>
                  </w:rPr>
                </m:ctrlPr>
              </m:fPr>
              <m:num>
                <m:r>
                  <w:rPr>
                    <w:rFonts w:ascii="Cambria Math" w:hAnsi="Cambria Math"/>
                  </w:rPr>
                  <m:t>x</m:t>
                </m:r>
              </m:num>
              <m:den>
                <m:sSubSup>
                  <m:sSubSupPr>
                    <m:ctrlPr>
                      <w:rPr>
                        <w:rFonts w:ascii="Cambria Math" w:hAnsi="Cambria Math"/>
                      </w:rPr>
                    </m:ctrlPr>
                  </m:sSubSupPr>
                  <m:e>
                    <m:r>
                      <w:rPr>
                        <w:rFonts w:ascii="Cambria Math" w:hAnsi="Cambria Math"/>
                      </w:rPr>
                      <m:t>F</m:t>
                    </m:r>
                  </m:e>
                  <m:sub>
                    <m:r>
                      <w:rPr>
                        <w:rFonts w:ascii="Cambria Math" w:hAnsi="Cambria Math"/>
                      </w:rPr>
                      <m:t>mod,cal</m:t>
                    </m:r>
                  </m:sub>
                  <m:sup>
                    <m:r>
                      <w:rPr>
                        <w:rFonts w:ascii="Cambria Math" w:hAnsi="Cambria Math"/>
                      </w:rPr>
                      <m:t>-1</m:t>
                    </m:r>
                  </m:sup>
                </m:sSubSup>
                <m:d>
                  <m:dPr>
                    <m:ctrlPr>
                      <w:rPr>
                        <w:rFonts w:ascii="Cambria Math" w:hAnsi="Cambria Math"/>
                      </w:rPr>
                    </m:ctrlPr>
                  </m:dPr>
                  <m:e>
                    <m:r>
                      <w:rPr>
                        <w:rFonts w:ascii="Cambria Math" w:hAnsi="Cambria Math"/>
                      </w:rPr>
                      <m:t>p</m:t>
                    </m:r>
                  </m:e>
                </m:d>
              </m:den>
            </m:f>
          </m:e>
        </m:d>
        <m:r>
          <w:rPr>
            <w:rFonts w:ascii="Cambria Math" w:hAnsi="Cambria Math"/>
          </w:rPr>
          <m:t xml:space="preserve">,   p = </m:t>
        </m:r>
        <m:sSub>
          <m:sSubPr>
            <m:ctrlPr>
              <w:rPr>
                <w:rFonts w:ascii="Cambria Math" w:hAnsi="Cambria Math"/>
              </w:rPr>
            </m:ctrlPr>
          </m:sSubPr>
          <m:e>
            <m:r>
              <w:rPr>
                <w:rFonts w:ascii="Cambria Math" w:hAnsi="Cambria Math"/>
              </w:rPr>
              <m:t>F</m:t>
            </m:r>
          </m:e>
          <m:sub>
            <m:r>
              <w:rPr>
                <w:rFonts w:ascii="Cambria Math" w:hAnsi="Cambria Math"/>
              </w:rPr>
              <m:t>mod,tgt</m:t>
            </m:r>
          </m:sub>
        </m:sSub>
        <m:d>
          <m:dPr>
            <m:ctrlPr>
              <w:rPr>
                <w:rFonts w:ascii="Cambria Math" w:hAnsi="Cambria Math"/>
              </w:rPr>
            </m:ctrlPr>
          </m:dPr>
          <m:e>
            <m:r>
              <w:rPr>
                <w:rFonts w:ascii="Cambria Math" w:hAnsi="Cambria Math"/>
              </w:rPr>
              <m:t>x</m:t>
            </m:r>
          </m:e>
        </m:d>
      </m:oMath>
      <w:r>
        <w:tab/>
      </w:r>
      <w:r>
        <w:tab/>
        <w:t>(3)</w:t>
      </w:r>
    </w:p>
    <w:p w14:paraId="2A727B7C" w14:textId="77777777" w:rsidR="00E91697" w:rsidRDefault="00000000">
      <w:pPr>
        <w:spacing w:line="480" w:lineRule="auto"/>
        <w:ind w:firstLine="360"/>
        <w:jc w:val="both"/>
      </w:pPr>
      <w:r>
        <w:t>where s is the ratio of the target-period to the calibration-period wet-day mean of the model. Empirical distributions were estimated from the sorted wet-day sample with Hazen plotting positions and linear interpolation. Beyond the calibration range the multiplicative correction ratio at the nearest calibration quantile was held constant, with no clipping; extrapolation affected 0.41% of wet days on average.</w:t>
      </w:r>
    </w:p>
    <w:p w14:paraId="04F81B7E" w14:textId="77777777" w:rsidR="00E91697" w:rsidRDefault="00000000">
      <w:pPr>
        <w:keepNext/>
        <w:spacing w:before="100" w:after="20" w:line="480" w:lineRule="auto"/>
      </w:pPr>
      <w:r>
        <w:rPr>
          <w:i/>
          <w:iCs/>
        </w:rPr>
        <w:lastRenderedPageBreak/>
        <w:t>2.5 Rainfall indices</w:t>
      </w:r>
    </w:p>
    <w:p w14:paraId="3D436347" w14:textId="77777777" w:rsidR="00E91697" w:rsidRDefault="00000000">
      <w:pPr>
        <w:spacing w:line="480" w:lineRule="auto"/>
        <w:ind w:firstLine="360"/>
        <w:jc w:val="both"/>
      </w:pPr>
      <w:r>
        <w:t>Indices follow the definitions of the Expert Team on Climate Change Detection and Indices [18] where applicable, supplemented by wet-day frequency and empirical wet-day quantiles: PRCPTOT, wet-day frequency, SDII, q50, q90, q95, q99, Rx1day, Rx5day, R10mm, R20mm, R50mm, R95p, R99p, CDD and CWD. Percentile thresholds for R95p and R99p came from observed wet days over the calibration period at each gauge. Direct quantiles, derived extremes and sequence-dependent indices are reported separately throughout.</w:t>
      </w:r>
    </w:p>
    <w:p w14:paraId="5D445E9A" w14:textId="77777777" w:rsidR="00E91697" w:rsidRDefault="00000000">
      <w:pPr>
        <w:keepNext/>
        <w:spacing w:before="100" w:after="20" w:line="480" w:lineRule="auto"/>
      </w:pPr>
      <w:r>
        <w:rPr>
          <w:i/>
          <w:iCs/>
        </w:rPr>
        <w:t>2.6 Performance metric</w:t>
      </w:r>
    </w:p>
    <w:p w14:paraId="22EE228C" w14:textId="77777777" w:rsidR="00E91697" w:rsidRDefault="00000000">
      <w:pPr>
        <w:spacing w:line="480" w:lineRule="auto"/>
        <w:ind w:firstLine="360"/>
        <w:jc w:val="both"/>
      </w:pPr>
      <w:r>
        <w:t>Historical performance is the mean absolute bias,</w:t>
      </w:r>
    </w:p>
    <w:p w14:paraId="24B01E37" w14:textId="77777777" w:rsidR="00E91697" w:rsidRDefault="00000000">
      <w:pPr>
        <w:spacing w:before="60" w:after="60" w:line="480" w:lineRule="auto"/>
        <w:ind w:left="720"/>
      </w:pPr>
      <m:oMath>
        <m:r>
          <w:rPr>
            <w:rFonts w:ascii="Cambria Math" w:hAnsi="Cambria Math"/>
          </w:rPr>
          <m:t>MAB</m:t>
        </m:r>
        <m:d>
          <m:dPr>
            <m:ctrlPr>
              <w:rPr>
                <w:rFonts w:ascii="Cambria Math" w:hAnsi="Cambria Math"/>
              </w:rPr>
            </m:ctrlPr>
          </m:dPr>
          <m:e>
            <m:r>
              <w:rPr>
                <w:rFonts w:ascii="Cambria Math" w:hAnsi="Cambria Math"/>
              </w:rPr>
              <m:t>k</m:t>
            </m:r>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m:t>
            </m:r>
          </m:den>
        </m:f>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j = 1</m:t>
                </m:r>
              </m:sub>
              <m:sup>
                <m:r>
                  <w:rPr>
                    <w:rFonts w:ascii="Cambria Math" w:hAnsi="Cambria Math"/>
                  </w:rPr>
                  <m:t>M</m:t>
                </m:r>
              </m:sup>
              <m:e>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ijk</m:t>
                    </m:r>
                  </m:sub>
                </m:sSub>
                <m:r>
                  <w:rPr>
                    <w:rFonts w:ascii="Cambria Math" w:hAnsi="Cambria Math"/>
                  </w:rPr>
                  <m:t>∣</m:t>
                </m:r>
              </m:e>
            </m:nary>
          </m:e>
        </m:nary>
      </m:oMath>
      <w:r>
        <w:tab/>
      </w:r>
      <w:r>
        <w:tab/>
        <w:t>(4)</w:t>
      </w:r>
    </w:p>
    <w:p w14:paraId="1383F727" w14:textId="77777777" w:rsidR="00E91697" w:rsidRDefault="00000000">
      <w:pPr>
        <w:spacing w:before="60" w:after="60" w:line="480" w:lineRule="auto"/>
        <w:ind w:left="720"/>
      </w:pPr>
      <m:oMath>
        <m:sSub>
          <m:sSubPr>
            <m:ctrlPr>
              <w:rPr>
                <w:rFonts w:ascii="Cambria Math" w:hAnsi="Cambria Math"/>
              </w:rPr>
            </m:ctrlPr>
          </m:sSubPr>
          <m:e>
            <m:r>
              <w:rPr>
                <w:rFonts w:ascii="Cambria Math" w:hAnsi="Cambria Math"/>
              </w:rPr>
              <m:t>ε</m:t>
            </m:r>
          </m:e>
          <m:sub>
            <m:r>
              <w:rPr>
                <w:rFonts w:ascii="Cambria Math" w:hAnsi="Cambria Math"/>
              </w:rPr>
              <m:t>ijk</m:t>
            </m:r>
          </m:sub>
        </m:sSub>
        <m:r>
          <w:rPr>
            <w:rFonts w:ascii="Cambria Math" w:hAnsi="Cambria Math"/>
          </w:rPr>
          <m:t xml:space="preserve"> = 100 ·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ijk</m:t>
                </m:r>
              </m:sub>
            </m:sSub>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ik</m:t>
                </m:r>
              </m:sub>
            </m:sSub>
          </m:num>
          <m:den>
            <m:sSub>
              <m:sSubPr>
                <m:ctrlPr>
                  <w:rPr>
                    <w:rFonts w:ascii="Cambria Math" w:hAnsi="Cambria Math"/>
                  </w:rPr>
                </m:ctrlPr>
              </m:sSubPr>
              <m:e>
                <m:r>
                  <w:rPr>
                    <w:rFonts w:ascii="Cambria Math" w:hAnsi="Cambria Math"/>
                  </w:rPr>
                  <m:t>O</m:t>
                </m:r>
              </m:e>
              <m:sub>
                <m:r>
                  <w:rPr>
                    <w:rFonts w:ascii="Cambria Math" w:hAnsi="Cambria Math"/>
                  </w:rPr>
                  <m:t>ik</m:t>
                </m:r>
              </m:sub>
            </m:sSub>
          </m:den>
        </m:f>
      </m:oMath>
      <w:r>
        <w:tab/>
      </w:r>
      <w:r>
        <w:tab/>
        <w:t>(5)</w:t>
      </w:r>
    </w:p>
    <w:p w14:paraId="48AD5E78" w14:textId="77777777" w:rsidR="00E91697" w:rsidRDefault="00000000">
      <w:pPr>
        <w:spacing w:line="480" w:lineRule="auto"/>
        <w:ind w:firstLine="360"/>
        <w:jc w:val="both"/>
      </w:pPr>
      <w:r>
        <w:t>where S and O are the simulated and observed values of index k, N = 13 gauges and M = 7 models; cases with a zero observed denominator were excluded.</w:t>
      </w:r>
    </w:p>
    <w:p w14:paraId="3E0E107D" w14:textId="77777777" w:rsidR="00E91697" w:rsidRDefault="00000000">
      <w:pPr>
        <w:keepNext/>
        <w:spacing w:before="100" w:after="20" w:line="480" w:lineRule="auto"/>
      </w:pPr>
      <w:r>
        <w:rPr>
          <w:i/>
          <w:iCs/>
        </w:rPr>
        <w:t>2.7 Climate-signal preservation</w:t>
      </w:r>
    </w:p>
    <w:p w14:paraId="3C9B5EA8" w14:textId="77777777" w:rsidR="00E91697" w:rsidRDefault="00000000">
      <w:pPr>
        <w:spacing w:line="480" w:lineRule="auto"/>
        <w:ind w:firstLine="360"/>
        <w:jc w:val="both"/>
      </w:pPr>
      <w:r>
        <w:t xml:space="preserve">For a statistic q, the raw and corrected signals are the ratios of its 2021–2050 value to its 1985–2004 baseline value within the same model, written </w:t>
      </w:r>
      <w:proofErr w:type="spellStart"/>
      <w:r>
        <w:t>qfut</w:t>
      </w:r>
      <w:proofErr w:type="spellEnd"/>
      <w:r>
        <w:t xml:space="preserve"> and </w:t>
      </w:r>
      <w:proofErr w:type="spellStart"/>
      <w:r>
        <w:t>qbase</w:t>
      </w:r>
      <w:proofErr w:type="spellEnd"/>
      <w:r>
        <w:t>,</w:t>
      </w:r>
    </w:p>
    <w:p w14:paraId="2F8B254E" w14:textId="77777777" w:rsidR="00E91697" w:rsidRDefault="00000000">
      <w:pPr>
        <w:spacing w:before="60" w:after="60" w:line="480" w:lineRule="auto"/>
        <w:ind w:left="720"/>
      </w:pPr>
      <m:oMath>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fut,raw</m:t>
                </m:r>
              </m:sub>
            </m:sSub>
          </m:num>
          <m:den>
            <m:sSub>
              <m:sSubPr>
                <m:ctrlPr>
                  <w:rPr>
                    <w:rFonts w:ascii="Cambria Math" w:hAnsi="Cambria Math"/>
                  </w:rPr>
                </m:ctrlPr>
              </m:sSubPr>
              <m:e>
                <m:r>
                  <w:rPr>
                    <w:rFonts w:ascii="Cambria Math" w:hAnsi="Cambria Math"/>
                  </w:rPr>
                  <m:t>q</m:t>
                </m:r>
              </m:e>
              <m:sub>
                <m:r>
                  <w:rPr>
                    <w:rFonts w:ascii="Cambria Math" w:hAnsi="Cambria Math"/>
                  </w:rPr>
                  <m:t>base,raw</m:t>
                </m:r>
              </m:sub>
            </m:sSub>
          </m:den>
        </m:f>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BC</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fut,BC</m:t>
                </m:r>
              </m:sub>
            </m:sSub>
          </m:num>
          <m:den>
            <m:sSub>
              <m:sSubPr>
                <m:ctrlPr>
                  <w:rPr>
                    <w:rFonts w:ascii="Cambria Math" w:hAnsi="Cambria Math"/>
                  </w:rPr>
                </m:ctrlPr>
              </m:sSubPr>
              <m:e>
                <m:r>
                  <w:rPr>
                    <w:rFonts w:ascii="Cambria Math" w:hAnsi="Cambria Math"/>
                  </w:rPr>
                  <m:t>q</m:t>
                </m:r>
              </m:e>
              <m:sub>
                <m:r>
                  <w:rPr>
                    <w:rFonts w:ascii="Cambria Math" w:hAnsi="Cambria Math"/>
                  </w:rPr>
                  <m:t>base,BC</m:t>
                </m:r>
              </m:sub>
            </m:sSub>
          </m:den>
        </m:f>
      </m:oMath>
      <w:r>
        <w:tab/>
      </w:r>
      <w:r>
        <w:tab/>
        <w:t>(6)</w:t>
      </w:r>
    </w:p>
    <w:p w14:paraId="0822E5C0" w14:textId="77777777" w:rsidR="00E91697" w:rsidRDefault="00000000">
      <w:pPr>
        <w:spacing w:line="480" w:lineRule="auto"/>
        <w:ind w:firstLine="360"/>
        <w:jc w:val="both"/>
      </w:pPr>
      <w:r>
        <w:t>and the signal-preservation error is</w:t>
      </w:r>
    </w:p>
    <w:p w14:paraId="3DD4A402" w14:textId="77777777" w:rsidR="00E91697" w:rsidRDefault="00000000">
      <w:pPr>
        <w:spacing w:before="60" w:after="60" w:line="480" w:lineRule="auto"/>
        <w:ind w:left="720"/>
      </w:pPr>
      <m:oMath>
        <m:r>
          <w:rPr>
            <w:rFonts w:ascii="Cambria Math" w:hAnsi="Cambria Math"/>
          </w:rPr>
          <m:t>PE</m:t>
        </m:r>
        <m:d>
          <m:dPr>
            <m:ctrlPr>
              <w:rPr>
                <w:rFonts w:ascii="Cambria Math" w:hAnsi="Cambria Math"/>
              </w:rPr>
            </m:ctrlPr>
          </m:dPr>
          <m:e>
            <m:r>
              <w:rPr>
                <w:rFonts w:ascii="Cambria Math" w:hAnsi="Cambria Math"/>
              </w:rPr>
              <m:t>q</m:t>
            </m:r>
          </m:e>
        </m:d>
        <m:r>
          <w:rPr>
            <w:rFonts w:ascii="Cambria Math" w:hAnsi="Cambria Math"/>
          </w:rPr>
          <m:t xml:space="preserve"> = 100 ·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BC</m:t>
                </m:r>
              </m:sub>
            </m:sSub>
            <m:d>
              <m:dPr>
                <m:ctrlPr>
                  <w:rPr>
                    <w:rFonts w:ascii="Cambria Math" w:hAnsi="Cambria Math"/>
                  </w:rPr>
                </m:ctrlPr>
              </m:dPr>
              <m:e>
                <m:r>
                  <w:rPr>
                    <w:rFonts w:ascii="Cambria Math" w:hAnsi="Cambria Math"/>
                  </w:rPr>
                  <m:t>q</m:t>
                </m:r>
              </m:e>
            </m:d>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raw</m:t>
                </m:r>
              </m:sub>
            </m:sSub>
            <m:d>
              <m:dPr>
                <m:ctrlPr>
                  <w:rPr>
                    <w:rFonts w:ascii="Cambria Math" w:hAnsi="Cambria Math"/>
                  </w:rPr>
                </m:ctrlPr>
              </m:dPr>
              <m:e>
                <m:r>
                  <w:rPr>
                    <w:rFonts w:ascii="Cambria Math" w:hAnsi="Cambria Math"/>
                  </w:rPr>
                  <m:t>q</m:t>
                </m:r>
              </m:e>
            </m:d>
          </m:num>
          <m:den>
            <m:sSub>
              <m:sSubPr>
                <m:ctrlPr>
                  <w:rPr>
                    <w:rFonts w:ascii="Cambria Math" w:hAnsi="Cambria Math"/>
                  </w:rPr>
                </m:ctrlPr>
              </m:sSubPr>
              <m:e>
                <m:r>
                  <w:rPr>
                    <w:rFonts w:ascii="Cambria Math" w:hAnsi="Cambria Math"/>
                  </w:rPr>
                  <m:t>S</m:t>
                </m:r>
              </m:e>
              <m:sub>
                <m:r>
                  <w:rPr>
                    <w:rFonts w:ascii="Cambria Math" w:hAnsi="Cambria Math"/>
                  </w:rPr>
                  <m:t>raw</m:t>
                </m:r>
              </m:sub>
            </m:sSub>
            <m:d>
              <m:dPr>
                <m:ctrlPr>
                  <w:rPr>
                    <w:rFonts w:ascii="Cambria Math" w:hAnsi="Cambria Math"/>
                  </w:rPr>
                </m:ctrlPr>
              </m:dPr>
              <m:e>
                <m:r>
                  <w:rPr>
                    <w:rFonts w:ascii="Cambria Math" w:hAnsi="Cambria Math"/>
                  </w:rPr>
                  <m:t>q</m:t>
                </m:r>
              </m:e>
            </m:d>
          </m:den>
        </m:f>
      </m:oMath>
      <w:r>
        <w:tab/>
      </w:r>
      <w:r>
        <w:tab/>
        <w:t>(7)</w:t>
      </w:r>
    </w:p>
    <w:p w14:paraId="21A4AF7A" w14:textId="77777777" w:rsidR="00E91697" w:rsidRDefault="00000000">
      <w:pPr>
        <w:spacing w:line="480" w:lineRule="auto"/>
        <w:ind w:firstLine="360"/>
        <w:jc w:val="both"/>
      </w:pPr>
      <w:r>
        <w:t>PE near zero indicates close preservation, positive values amplification and negative values attenuation. Observations never enter the denominator of a climate-change signal.</w:t>
      </w:r>
    </w:p>
    <w:p w14:paraId="45ECB17D" w14:textId="77777777" w:rsidR="00E91697" w:rsidRDefault="00000000">
      <w:pPr>
        <w:keepNext/>
        <w:spacing w:before="100" w:after="20" w:line="480" w:lineRule="auto"/>
      </w:pPr>
      <w:r>
        <w:rPr>
          <w:i/>
          <w:iCs/>
        </w:rPr>
        <w:lastRenderedPageBreak/>
        <w:t>2.8 Method and model effects</w:t>
      </w:r>
    </w:p>
    <w:p w14:paraId="2461DDE8" w14:textId="77777777" w:rsidR="00E91697" w:rsidRDefault="00000000">
      <w:pPr>
        <w:spacing w:line="480" w:lineRule="auto"/>
        <w:ind w:firstLine="360"/>
        <w:jc w:val="both"/>
      </w:pPr>
      <w:r>
        <w:t xml:space="preserve">The spread of projected changes was </w:t>
      </w:r>
      <w:proofErr w:type="spellStart"/>
      <w:r>
        <w:t>summarised</w:t>
      </w:r>
      <w:proofErr w:type="spellEnd"/>
      <w:r>
        <w:t xml:space="preserve"> by a descriptive two-factor sum-of-squares partition with GCM and bias-correction method as the explicit factors, computed separately for each scenario. Because station is not modelled as a factor although the data are indexed by GCM × method × station, the residual carries the GCM × method interaction together with station-level and higher-order unmodelled variation; it should not be read as interaction alone, and this is not a full variance-component analysis.</w:t>
      </w:r>
    </w:p>
    <w:p w14:paraId="598ACA6C" w14:textId="77777777" w:rsidR="00E91697" w:rsidRDefault="00000000">
      <w:pPr>
        <w:keepNext/>
        <w:spacing w:before="100" w:after="20" w:line="480" w:lineRule="auto"/>
      </w:pPr>
      <w:r>
        <w:rPr>
          <w:i/>
          <w:iCs/>
        </w:rPr>
        <w:t>2.9 Statistical interpretation</w:t>
      </w:r>
    </w:p>
    <w:p w14:paraId="3C847377" w14:textId="77777777" w:rsidR="00E91697" w:rsidRDefault="00000000">
      <w:pPr>
        <w:spacing w:line="480" w:lineRule="auto"/>
        <w:ind w:firstLine="360"/>
        <w:jc w:val="both"/>
      </w:pPr>
      <w:r>
        <w:t>One estimator is used for every reported ensemble quantity. Within each GCM the signal-preservation error is averaged across the gauge evaluation locations at which it is defined, giving one value per model; the reported summary is the median of those values across the GCMs, with the inter-model interquartile range as a measure of spread rather than a confidence interval. Formally, for scenario c, index k and method m,</w:t>
      </w:r>
    </w:p>
    <w:p w14:paraId="404E7B17" w14:textId="77777777" w:rsidR="00E91697" w:rsidRDefault="00000000">
      <w:pPr>
        <w:spacing w:before="60" w:after="60" w:line="480" w:lineRule="auto"/>
        <w:ind w:left="720"/>
      </w:pPr>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ctrlPr>
              <w:rPr>
                <w:rFonts w:ascii="Cambria Math" w:hAnsi="Cambria Math"/>
              </w:rPr>
            </m:ctrlPr>
          </m:naryPr>
          <m:sub>
            <m:r>
              <w:rPr>
                <w:rFonts w:ascii="Cambria Math" w:hAnsi="Cambria Math"/>
              </w:rPr>
              <m:t>i = 1</m:t>
            </m:r>
          </m:sub>
          <m:sup>
            <m:sSub>
              <m:sSubPr>
                <m:ctrlPr>
                  <w:rPr>
                    <w:rFonts w:ascii="Cambria Math" w:hAnsi="Cambria Math"/>
                  </w:rPr>
                </m:ctrlPr>
              </m:sSubPr>
              <m:e>
                <m:r>
                  <w:rPr>
                    <w:rFonts w:ascii="Cambria Math" w:hAnsi="Cambria Math"/>
                  </w:rPr>
                  <m:t>N</m:t>
                </m:r>
              </m:e>
              <m:sub>
                <m:r>
                  <w:rPr>
                    <w:rFonts w:ascii="Cambria Math" w:hAnsi="Cambria Math"/>
                  </w:rPr>
                  <m:t>j</m:t>
                </m:r>
              </m:sub>
            </m:sSub>
          </m:sup>
          <m:e>
            <m:sSub>
              <m:sSubPr>
                <m:ctrlPr>
                  <w:rPr>
                    <w:rFonts w:ascii="Cambria Math" w:hAnsi="Cambria Math"/>
                  </w:rPr>
                </m:ctrlPr>
              </m:sSubPr>
              <m:e>
                <m:r>
                  <w:rPr>
                    <w:rFonts w:ascii="Cambria Math" w:hAnsi="Cambria Math"/>
                  </w:rPr>
                  <m:t>PE</m:t>
                </m:r>
              </m:e>
              <m:sub>
                <m:r>
                  <w:rPr>
                    <w:rFonts w:ascii="Cambria Math" w:hAnsi="Cambria Math"/>
                  </w:rPr>
                  <m:t>ijkmc</m:t>
                </m:r>
              </m:sub>
            </m:sSub>
          </m:e>
        </m:nary>
        <m:r>
          <w:rPr>
            <w:rFonts w:ascii="Cambria Math" w:hAnsi="Cambria Math"/>
          </w:rPr>
          <m:t>,    reported value = median</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sub>
            </m:sSub>
          </m:e>
        </m:d>
      </m:oMath>
      <w:r>
        <w:tab/>
      </w:r>
      <w:r>
        <w:tab/>
        <w:t>(8)</w:t>
      </w:r>
    </w:p>
    <w:p w14:paraId="1DD4F98C" w14:textId="77777777" w:rsidR="00E91697" w:rsidRDefault="00000000">
      <w:pPr>
        <w:spacing w:line="480" w:lineRule="auto"/>
        <w:ind w:firstLine="360"/>
        <w:jc w:val="both"/>
      </w:pPr>
      <w:r>
        <w:t xml:space="preserve">where </w:t>
      </w:r>
      <w:proofErr w:type="spellStart"/>
      <w:r>
        <w:t>i</w:t>
      </w:r>
      <w:proofErr w:type="spellEnd"/>
      <w:r>
        <w:t xml:space="preserve"> runs over gauges and j over GCMs. The gauges are evaluation locations, not independent model realizations, so they are averaged inside a model before the ensemble summary is taken; pooling gauge-by-model combinations into a single sample would allow the number of gauges to outweigh the inter-model spread, which is the quantity of interest here. Estimation is always separate by scenario: no aggregation across forcing pathways is defined, and none is reported. Where a threshold index has no qualifying day in a model's baseline the ratio is undefined, so the number of contributing GCMs is stated with every table.</w:t>
      </w:r>
    </w:p>
    <w:p w14:paraId="0E7641AF" w14:textId="77777777" w:rsidR="00E91697" w:rsidRDefault="00000000">
      <w:pPr>
        <w:spacing w:line="480" w:lineRule="auto"/>
        <w:ind w:firstLine="360"/>
        <w:jc w:val="both"/>
      </w:pPr>
      <w:r>
        <w:t xml:space="preserve">When identifying the method closest to the raw signal, methods are compared on the absolute value of the ensemble-median PE. Paired method contrasts, given in Supplementary Table S8, are </w:t>
      </w:r>
      <w:r>
        <w:lastRenderedPageBreak/>
        <w:t>descriptive and carry no significance test. Seven models are too few, and are not a random sample of a defined population, to support an inferential claim about between-method differences; a non-significant result would be read as equivalence when it would only indicate low power.</w:t>
      </w:r>
    </w:p>
    <w:p w14:paraId="69C29789" w14:textId="77777777" w:rsidR="00E91697" w:rsidRDefault="00000000">
      <w:pPr>
        <w:keepNext/>
        <w:spacing w:before="120" w:after="40" w:line="480" w:lineRule="auto"/>
      </w:pPr>
      <w:r>
        <w:rPr>
          <w:b/>
          <w:bCs/>
        </w:rPr>
        <w:t>3. Results and discussion</w:t>
      </w:r>
    </w:p>
    <w:p w14:paraId="693C4F1D" w14:textId="77777777" w:rsidR="00E91697" w:rsidRDefault="00000000">
      <w:pPr>
        <w:keepNext/>
        <w:spacing w:before="100" w:after="20" w:line="480" w:lineRule="auto"/>
      </w:pPr>
      <w:r>
        <w:rPr>
          <w:i/>
          <w:iCs/>
        </w:rPr>
        <w:t>3.1 A discontinuity in the observed record</w:t>
      </w:r>
    </w:p>
    <w:p w14:paraId="49B3FE66" w14:textId="77777777" w:rsidR="00E91697" w:rsidRDefault="00000000">
      <w:pPr>
        <w:spacing w:line="480" w:lineRule="auto"/>
        <w:ind w:firstLine="360"/>
        <w:jc w:val="both"/>
      </w:pPr>
      <w:r>
        <w:t>The homogeneity screening flagged 12 of the 14 gauges, and 11 of those in the same direction: the wet-day frequency after 2002 was roughly half its earlier value, with ratios between 0.41 and 0.67. Because a screening result of that size governs what the rest of the analysis can support, it was examined before the methods were compared.</w:t>
      </w:r>
    </w:p>
    <w:p w14:paraId="19337A5B" w14:textId="77777777" w:rsidR="00E91697" w:rsidRDefault="00000000">
      <w:pPr>
        <w:spacing w:line="480" w:lineRule="auto"/>
        <w:ind w:firstLine="360"/>
        <w:jc w:val="both"/>
      </w:pPr>
      <w:r>
        <w:t xml:space="preserve">Three features of the record place the change in the observations rather than in the climate. First, the network-mean wet-day frequency is stable from 1981 to 2004, ending that era at 56.73% in 2004; it falls to 36.32% in 2005, returns to 55.73% in 2006, and then settles between 22.92% and 30.85% for 2007 to 2014. Seven gauges cross below 45% in 2005 and five in 2007. Second, the reduction is present in every calendar month and is proportionally larger in the dry season than in the wet season: January falls from 18.68% to 5.00% and August from 88.73% to 45.71%, ratios of 0.268 and 0.515. A monsoon signal would not remove three-quarters of the January rain days. Third, the </w:t>
      </w:r>
      <w:proofErr w:type="spellStart"/>
      <w:r>
        <w:t>neighbouring</w:t>
      </w:r>
      <w:proofErr w:type="spellEnd"/>
      <w:r>
        <w:t xml:space="preserve"> province of Uttaradit, which shares the same monsoon regime and was </w:t>
      </w:r>
      <w:proofErr w:type="spellStart"/>
      <w:r>
        <w:t>analysed</w:t>
      </w:r>
      <w:proofErr w:type="spellEnd"/>
      <w:r>
        <w:t xml:space="preserve"> with the identical framework, is nearly unchanged across the same years, moving from 36.35% to 35.10% wet days and from 1,128 to 1,096 mm per year, while Nan moves from 61.55% to 30.69% and from 1,512 to 1,040 mm. Before 2005 the Nan network records 1.69 times as many rain days as its </w:t>
      </w:r>
      <w:proofErr w:type="spellStart"/>
      <w:r>
        <w:t>neighbour</w:t>
      </w:r>
      <w:proofErr w:type="spellEnd"/>
      <w:r>
        <w:t>; from 2005 it records 0.87 times as many.</w:t>
      </w:r>
    </w:p>
    <w:p w14:paraId="66E9ACBA" w14:textId="77777777" w:rsidR="00E91697" w:rsidRDefault="00000000">
      <w:pPr>
        <w:spacing w:line="480" w:lineRule="auto"/>
        <w:ind w:firstLine="360"/>
        <w:jc w:val="both"/>
      </w:pPr>
      <w:r>
        <w:t xml:space="preserve">The direction of the anomaly follows from the same comparison: it is the earlier period that is unusual. A wet-day frequency of 84.59% to 91.44% from May to October, sustained for more than </w:t>
      </w:r>
      <w:r>
        <w:lastRenderedPageBreak/>
        <w:t xml:space="preserve">two decades, means measurable rain on almost every day of the monsoon at almost every gauge, which the </w:t>
      </w:r>
      <w:proofErr w:type="spellStart"/>
      <w:r>
        <w:t>neighbouring</w:t>
      </w:r>
      <w:proofErr w:type="spellEnd"/>
      <w:r>
        <w:t xml:space="preserve"> network does not show. The most likely explanation is a change in observing or </w:t>
      </w:r>
      <w:proofErr w:type="spellStart"/>
      <w:r>
        <w:t>digitising</w:t>
      </w:r>
      <w:proofErr w:type="spellEnd"/>
      <w:r>
        <w:t xml:space="preserve"> practice, but station history metadata were not available and the record is therefore flagged diagnostically rather than attributed to a specific cause.</w:t>
      </w:r>
    </w:p>
    <w:p w14:paraId="2D945A33" w14:textId="77777777" w:rsidR="00E91697" w:rsidRDefault="00000000">
      <w:pPr>
        <w:spacing w:line="480" w:lineRule="auto"/>
        <w:ind w:firstLine="360"/>
        <w:jc w:val="both"/>
      </w:pPr>
      <w:r>
        <w:t>The consequence for method evaluation is direct. With calibration on 1981–2002 and validation on 2003–2014, the split straddles the change: the parameters are fitted entirely inside the early regime and applied to a period that is half early and half late. The out-of-sample mean absolute bias in wet-day frequency was then 83.26% for QM/EQM and 82.18% for QDM against 35.62% for the uncorrected models, and the network-mean residual across the four primary metrics was 52.09%. Correction made the models worse than leaving them alone, and the acceptance criterion on independent validation was not met.</w:t>
      </w:r>
    </w:p>
    <w:p w14:paraId="2F552F52" w14:textId="77777777" w:rsidR="00E91697" w:rsidRDefault="00000000">
      <w:pPr>
        <w:spacing w:line="480" w:lineRule="auto"/>
        <w:ind w:firstLine="360"/>
        <w:jc w:val="both"/>
      </w:pPr>
      <w:r>
        <w:t>Moving both periods inside the homogeneous era, with calibration on 1981–1992 and validation on 1993–2004, removes the problem: the residual falls to 14.56% and every primary metric improves on the uncorrected model. All results that follow use this split. The cost is a shorter calibration sample, twelve years rather than twenty-two, and a baseline of 1985–2004 rather than a recent twenty years; both are stated wherever they affect interpretation.</w:t>
      </w:r>
    </w:p>
    <w:p w14:paraId="720519A1" w14:textId="77777777" w:rsidR="00E91697" w:rsidRDefault="00000000">
      <w:pPr>
        <w:spacing w:line="480" w:lineRule="auto"/>
        <w:ind w:firstLine="360"/>
        <w:jc w:val="both"/>
      </w:pPr>
      <w:r>
        <w:t>This is the first finding of the study, and it is a methodological one. A comparison of bias-correction methods measures the transformations only if the target record is homogeneous over the periods used to fit and to test them. Had the screening been treated as a reporting formality rather than as a precondition, the same data would have supported the conclusion that all three methods fail out of sample, when what fails is the pairing of the periods with the record.</w:t>
      </w:r>
    </w:p>
    <w:p w14:paraId="48B52236" w14:textId="77777777" w:rsidR="00E91697" w:rsidRDefault="00000000">
      <w:pPr>
        <w:keepNext/>
        <w:spacing w:before="100" w:after="20" w:line="480" w:lineRule="auto"/>
      </w:pPr>
      <w:r>
        <w:rPr>
          <w:i/>
          <w:iCs/>
        </w:rPr>
        <w:lastRenderedPageBreak/>
        <w:t>3.2 Historical bias reduction</w:t>
      </w:r>
    </w:p>
    <w:p w14:paraId="67EE3AAC" w14:textId="77777777" w:rsidR="00E91697" w:rsidRDefault="00000000">
      <w:pPr>
        <w:spacing w:line="480" w:lineRule="auto"/>
        <w:ind w:firstLine="360"/>
        <w:jc w:val="both"/>
      </w:pPr>
      <w:r>
        <w:t xml:space="preserve">Over the calibration period 1981–1992 all three methods removed almost all of the marginal bias (Supplementary Table S2, Figure 2). The mean absolute bias in wet-day frequency fell from 36.70% in the raw models to 0.03% under QM/EQM and QDM and 0.43% under </w:t>
      </w:r>
      <w:proofErr w:type="spellStart"/>
      <w:r>
        <w:t>DetQM</w:t>
      </w:r>
      <w:proofErr w:type="spellEnd"/>
      <w:r>
        <w:t>; annual precipitation fell from 44.39% to 1.67–1.72%, the simple daily intensity index from 31.30% to 0.00–0.37%, and the 95th wet-day percentile from 42.98% to 0.03–0.19%. QM/EQM and QDM are numerically identical here because the delta term of Eq. (3) equals unity over the period used to fit it, so the sub-1% figures describe the estimator rather than its skill.</w:t>
      </w:r>
    </w:p>
    <w:p w14:paraId="394DB625" w14:textId="77777777" w:rsidR="00E91697" w:rsidRDefault="00000000">
      <w:pPr>
        <w:spacing w:line="480" w:lineRule="auto"/>
        <w:ind w:firstLine="360"/>
        <w:jc w:val="both"/>
      </w:pPr>
      <w:r>
        <w:t>The largest reduction was for the frequency of days above 50 mm, from 367.24% to 0.86%. Sequence-dependent indices behaved differently: maximum consecutive wet days improved only from 79.38% to 56.94–57.23%, and maximum consecutive dry days was made worse, rising from 23.88% in the raw models to 51.39–51.77% after correction. Frequency adaptation raises the model wet-day threshold until the modelled wet-day count matches the observed count, and where the observed count is as high as it is here that lengthens the modelled wet spells and shortens the dry ones.</w:t>
      </w:r>
    </w:p>
    <w:p w14:paraId="7551853A" w14:textId="77777777" w:rsidR="00E91697" w:rsidRDefault="00000000">
      <w:pPr>
        <w:keepNext/>
        <w:spacing w:before="60" w:after="20"/>
        <w:jc w:val="center"/>
      </w:pPr>
      <w:r>
        <w:rPr>
          <w:noProof/>
        </w:rPr>
        <w:lastRenderedPageBreak/>
        <w:drawing>
          <wp:inline distT="0" distB="0" distL="0" distR="0" wp14:anchorId="39B2339C" wp14:editId="0472ADA9">
            <wp:extent cx="4648200" cy="2581275"/>
            <wp:effectExtent l="0" t="0" r="0" b="0"/>
            <wp:docPr id="1189486877" name="รูปภาพ 1189486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48200" cy="2581275"/>
                    </a:xfrm>
                    <a:prstGeom prst="rect">
                      <a:avLst/>
                    </a:prstGeom>
                  </pic:spPr>
                </pic:pic>
              </a:graphicData>
            </a:graphic>
          </wp:inline>
        </w:drawing>
      </w:r>
    </w:p>
    <w:p w14:paraId="5370EF77" w14:textId="77777777" w:rsidR="00E91697" w:rsidRDefault="00000000">
      <w:pPr>
        <w:keepLines/>
        <w:spacing w:before="40" w:after="80"/>
      </w:pPr>
      <w:r>
        <w:rPr>
          <w:b/>
          <w:bCs/>
          <w:sz w:val="20"/>
          <w:szCs w:val="20"/>
        </w:rPr>
        <w:t>Figure 2</w:t>
      </w:r>
      <w:r>
        <w:rPr>
          <w:sz w:val="20"/>
          <w:szCs w:val="20"/>
        </w:rPr>
        <w:t xml:space="preserve"> Mean absolute bias of raw and bias-corrected daily precipitation against gauge observations over the calibration period 1981-1992, averaged across 14 gauges and 7 climate models. Indices to the right of the dashed rule, on the shaded background, are sequence-dependent: quantile mapping does not reorder days, so it does not reconstruct them. The vertical axis is logarithmic because the corrected and uncorrected values differ by more than two orders of magnitude over the period used to fit the correction.</w:t>
      </w:r>
    </w:p>
    <w:p w14:paraId="2E9F8990" w14:textId="77777777" w:rsidR="00E91697" w:rsidRDefault="00000000">
      <w:pPr>
        <w:keepNext/>
        <w:spacing w:before="100" w:after="20" w:line="480" w:lineRule="auto"/>
      </w:pPr>
      <w:r>
        <w:rPr>
          <w:i/>
          <w:iCs/>
        </w:rPr>
        <w:t>3.3 Independent validation</w:t>
      </w:r>
    </w:p>
    <w:p w14:paraId="396D3147" w14:textId="77777777" w:rsidR="00E91697" w:rsidRDefault="00000000">
      <w:pPr>
        <w:spacing w:line="480" w:lineRule="auto"/>
        <w:ind w:firstLine="360"/>
        <w:jc w:val="both"/>
      </w:pPr>
      <w:r>
        <w:t xml:space="preserve">Applying the frozen parameters to 1993–2004 gives the out-of-sample picture (Supplementary Table S3, Figure 3). Mean absolute bias in wet-day frequency was 15.62% for QM/EQM, 15.81% for </w:t>
      </w:r>
      <w:proofErr w:type="spellStart"/>
      <w:r>
        <w:t>DetQM</w:t>
      </w:r>
      <w:proofErr w:type="spellEnd"/>
      <w:r>
        <w:t xml:space="preserve"> and 16.21% for QDM against 43.21% for the raw models; annual precipitation 12.09%, 12.35% and 12.73% against 43.16%; the simple daily intensity index 12.51%, 13.50% and 14.57% against 31.03%; and the 95th wet-day percentile 11.95%, 13.45% and 14.72% against 41.41%.</w:t>
      </w:r>
    </w:p>
    <w:p w14:paraId="2D085413" w14:textId="77777777" w:rsidR="00E91697" w:rsidRDefault="00000000">
      <w:pPr>
        <w:spacing w:line="480" w:lineRule="auto"/>
        <w:ind w:firstLine="360"/>
        <w:jc w:val="both"/>
      </w:pPr>
      <w:r>
        <w:t xml:space="preserve">The three methods therefore converge out of sample, differing by at most 2.8 percentage points on any primary metric while the residual against observations is an order of magnitude larger than the difference between them. The ordering also changes: QM/EQM has the smallest error on all four primary metrics, whereas QDM has the smallest for Rx1day (19.28% against 19.99%), Rx5day (25.14% against 25.82%) and the frequency of days above 50 mm (60.64% against 83.90%). No method is uniformly better. A multi-continent comparison of the same three formulations on CMIP6 daily precipitation reached the same shape of result, with empirical </w:t>
      </w:r>
      <w:r>
        <w:lastRenderedPageBreak/>
        <w:t>quantile mapping performing best overall while the relative ranking varied by region and by the metric chosen [19].</w:t>
      </w:r>
    </w:p>
    <w:p w14:paraId="338E2A3B" w14:textId="77777777" w:rsidR="00E91697" w:rsidRDefault="00000000">
      <w:pPr>
        <w:spacing w:line="480" w:lineRule="auto"/>
        <w:ind w:firstLine="360"/>
        <w:jc w:val="both"/>
      </w:pPr>
      <w:r>
        <w:t>Sequence-dependent indices are not corrected. Maximum consecutive dry days remains worse after correction than before it, at 47.85–48.79% against 29.42%, and maximum consecutive wet days improves only from 88.73% to 71.09–71.40%.</w:t>
      </w:r>
    </w:p>
    <w:p w14:paraId="6FF6DE4A" w14:textId="77777777" w:rsidR="00E91697" w:rsidRDefault="00000000">
      <w:pPr>
        <w:keepNext/>
        <w:spacing w:before="60" w:after="20"/>
        <w:jc w:val="center"/>
      </w:pPr>
      <w:r>
        <w:rPr>
          <w:noProof/>
        </w:rPr>
        <w:drawing>
          <wp:inline distT="0" distB="0" distL="0" distR="0" wp14:anchorId="3E7CD289" wp14:editId="55A596B4">
            <wp:extent cx="4648200" cy="2581275"/>
            <wp:effectExtent l="0" t="0" r="0" b="0"/>
            <wp:docPr id="413507979" name="รูปภาพ 413507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48200" cy="2581275"/>
                    </a:xfrm>
                    <a:prstGeom prst="rect">
                      <a:avLst/>
                    </a:prstGeom>
                  </pic:spPr>
                </pic:pic>
              </a:graphicData>
            </a:graphic>
          </wp:inline>
        </w:drawing>
      </w:r>
    </w:p>
    <w:p w14:paraId="6CBABA4F" w14:textId="77777777" w:rsidR="00E91697" w:rsidRDefault="00000000">
      <w:pPr>
        <w:keepLines/>
        <w:spacing w:before="40" w:after="80"/>
      </w:pPr>
      <w:r>
        <w:rPr>
          <w:b/>
          <w:bCs/>
          <w:sz w:val="20"/>
          <w:szCs w:val="20"/>
        </w:rPr>
        <w:t>Figure 3</w:t>
      </w:r>
      <w:r>
        <w:rPr>
          <w:sz w:val="20"/>
          <w:szCs w:val="20"/>
        </w:rPr>
        <w:t xml:space="preserve"> As Figure 2, for the independent validation period 1993-2004, using parameters fitted on 1981-1992 and frozen. Both periods lie inside the homogeneous part of the gauge record, before the discontinuity described in Section 3.1.</w:t>
      </w:r>
    </w:p>
    <w:p w14:paraId="528A6B99" w14:textId="77777777" w:rsidR="00E91697" w:rsidRDefault="00000000">
      <w:pPr>
        <w:keepNext/>
        <w:spacing w:before="100" w:after="20" w:line="480" w:lineRule="auto"/>
      </w:pPr>
      <w:r>
        <w:rPr>
          <w:i/>
          <w:iCs/>
        </w:rPr>
        <w:t>3.4 Preservation of bulk and distributional climate signals</w:t>
      </w:r>
    </w:p>
    <w:p w14:paraId="234EB303" w14:textId="77777777" w:rsidR="00E91697" w:rsidRDefault="00000000">
      <w:pPr>
        <w:spacing w:line="480" w:lineRule="auto"/>
        <w:ind w:firstLine="360"/>
        <w:jc w:val="both"/>
      </w:pPr>
      <w:r>
        <w:t>Signal-preservation errors for the bulk statistics and the direct wet-day quantiles were small under every method and in both scenarios (Table 1, Figure 4; all indices in Supplementary Table S4 and the full listing in Supplementary Data S5). Preservation here is measured against each model's own raw change, not against observations, so an error near zero means the modelled change was carried through, not that the corrected series matches the gauges. The largest absolute median error in this group was +3.49% for q99 under QM/EQM in SSP2-4.5 and +4.84% for q50 under QM/EQM in SSP5-8.5.</w:t>
      </w:r>
    </w:p>
    <w:p w14:paraId="1D36392F" w14:textId="77777777" w:rsidR="00E91697" w:rsidRDefault="00000000">
      <w:pPr>
        <w:spacing w:line="480" w:lineRule="auto"/>
        <w:ind w:firstLine="360"/>
        <w:jc w:val="both"/>
      </w:pPr>
      <w:r>
        <w:lastRenderedPageBreak/>
        <w:t xml:space="preserve">Which method came closest to the raw signal depended on the quantile and on the scenario. At q99 QDM gave the smallest absolute error under SSP5-8.5, with a median of +0.14% against +3.62% for QM/EQM, but under SSP2-4.5 </w:t>
      </w:r>
      <w:proofErr w:type="spellStart"/>
      <w:r>
        <w:t>DetQM</w:t>
      </w:r>
      <w:proofErr w:type="spellEnd"/>
      <w:r>
        <w:t xml:space="preserve"> was smallest at +0.39% while QDM gave −2.77%. At q90 </w:t>
      </w:r>
      <w:proofErr w:type="spellStart"/>
      <w:r>
        <w:t>DetQM</w:t>
      </w:r>
      <w:proofErr w:type="spellEnd"/>
      <w:r>
        <w:t xml:space="preserve"> was smallest under SSP2-4.5 and QDM under SSP5-8.5. The spread between the best and the worst method is 0.67 and 1.08 percentage points for annual precipitation and 0.31 and 1.41 for q95, so at this level the choice among the three has little consequence.</w:t>
      </w:r>
    </w:p>
    <w:p w14:paraId="443C714D" w14:textId="77777777" w:rsidR="00E91697" w:rsidRDefault="00000000">
      <w:pPr>
        <w:keepNext/>
        <w:keepLines/>
        <w:spacing w:before="40" w:after="60"/>
      </w:pPr>
      <w:r>
        <w:rPr>
          <w:b/>
          <w:bCs/>
          <w:sz w:val="20"/>
          <w:szCs w:val="20"/>
        </w:rPr>
        <w:t>Table 1</w:t>
      </w:r>
      <w:r>
        <w:rPr>
          <w:sz w:val="20"/>
          <w:szCs w:val="20"/>
        </w:rPr>
        <w:t xml:space="preserve"> Climate-signal preservation for bulk statistics and wet-day quantiles, 2021-2050 relative to the 1985-2004 baseline of the same model and method. Each cell is the median [interquartile range] of the signal-preservation error from Eq. (7), where the error is first averaged across the </w:t>
      </w:r>
      <w:proofErr w:type="gramStart"/>
      <w:r>
        <w:rPr>
          <w:sz w:val="20"/>
          <w:szCs w:val="20"/>
        </w:rPr>
        <w:t>14 gauge</w:t>
      </w:r>
      <w:proofErr w:type="gramEnd"/>
      <w:r>
        <w:rPr>
          <w:sz w:val="20"/>
          <w:szCs w:val="20"/>
        </w:rPr>
        <w:t xml:space="preserve"> evaluation locations within each climate model and the summary is then taken across models, as defined by Eq. (8). Scenarios are reported separately and are never pooled. The column </w:t>
      </w:r>
      <w:r>
        <w:rPr>
          <w:i/>
          <w:iCs/>
          <w:sz w:val="20"/>
          <w:szCs w:val="20"/>
        </w:rPr>
        <w:t>n</w:t>
      </w:r>
      <w:r>
        <w:rPr>
          <w:sz w:val="20"/>
          <w:szCs w:val="20"/>
        </w:rPr>
        <w:t xml:space="preserve"> gives the number of contributing climate models.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9"/>
        <w:gridCol w:w="1098"/>
        <w:gridCol w:w="1001"/>
        <w:gridCol w:w="1814"/>
        <w:gridCol w:w="1813"/>
        <w:gridCol w:w="1812"/>
        <w:gridCol w:w="333"/>
      </w:tblGrid>
      <w:tr w:rsidR="00E91697" w14:paraId="3DB07A51" w14:textId="77777777">
        <w:tblPrEx>
          <w:tblCellMar>
            <w:top w:w="0" w:type="dxa"/>
            <w:bottom w:w="0" w:type="dxa"/>
          </w:tblCellMar>
        </w:tblPrEx>
        <w:trPr>
          <w:tblHeader/>
        </w:trPr>
        <w:tc>
          <w:tcPr>
            <w:tcW w:w="1151" w:type="dxa"/>
            <w:tcBorders>
              <w:top w:val="single" w:sz="6" w:space="0" w:color="000000"/>
              <w:left w:val="none" w:sz="0" w:space="0" w:color="FFFFFF"/>
              <w:bottom w:val="single" w:sz="6" w:space="0" w:color="000000"/>
              <w:right w:val="none" w:sz="0" w:space="0" w:color="FFFFFF"/>
            </w:tcBorders>
            <w:shd w:val="clear" w:color="auto" w:fill="FFFFFF"/>
          </w:tcPr>
          <w:p w14:paraId="5DD37DC6" w14:textId="77777777" w:rsidR="00E91697" w:rsidRDefault="00000000">
            <w:pPr>
              <w:spacing w:before="20" w:after="20"/>
            </w:pPr>
            <w:r>
              <w:rPr>
                <w:b/>
                <w:bCs/>
                <w:sz w:val="20"/>
                <w:szCs w:val="20"/>
              </w:rPr>
              <w:t>Index</w:t>
            </w:r>
          </w:p>
        </w:tc>
        <w:tc>
          <w:tcPr>
            <w:tcW w:w="1076" w:type="dxa"/>
            <w:tcBorders>
              <w:top w:val="single" w:sz="6" w:space="0" w:color="000000"/>
              <w:left w:val="none" w:sz="0" w:space="0" w:color="FFFFFF"/>
              <w:bottom w:val="single" w:sz="6" w:space="0" w:color="000000"/>
              <w:right w:val="none" w:sz="0" w:space="0" w:color="FFFFFF"/>
            </w:tcBorders>
            <w:shd w:val="clear" w:color="auto" w:fill="FFFFFF"/>
          </w:tcPr>
          <w:p w14:paraId="158CF6DD" w14:textId="77777777" w:rsidR="00E91697" w:rsidRDefault="00000000">
            <w:pPr>
              <w:spacing w:before="20" w:after="20"/>
            </w:pPr>
            <w:r>
              <w:rPr>
                <w:b/>
                <w:bCs/>
                <w:sz w:val="20"/>
                <w:szCs w:val="20"/>
              </w:rPr>
              <w:t>Type</w:t>
            </w:r>
          </w:p>
        </w:tc>
        <w:tc>
          <w:tcPr>
            <w:tcW w:w="1002" w:type="dxa"/>
            <w:tcBorders>
              <w:top w:val="single" w:sz="6" w:space="0" w:color="000000"/>
              <w:left w:val="none" w:sz="0" w:space="0" w:color="FFFFFF"/>
              <w:bottom w:val="single" w:sz="6" w:space="0" w:color="000000"/>
              <w:right w:val="none" w:sz="0" w:space="0" w:color="FFFFFF"/>
            </w:tcBorders>
            <w:shd w:val="clear" w:color="auto" w:fill="FFFFFF"/>
          </w:tcPr>
          <w:p w14:paraId="5BE73F45" w14:textId="77777777" w:rsidR="00E91697" w:rsidRDefault="00000000">
            <w:pPr>
              <w:spacing w:before="20" w:after="20"/>
            </w:pPr>
            <w:r>
              <w:rPr>
                <w:b/>
                <w:bCs/>
                <w:sz w:val="20"/>
                <w:szCs w:val="20"/>
              </w:rPr>
              <w:t>Scenario</w:t>
            </w:r>
          </w:p>
        </w:tc>
        <w:tc>
          <w:tcPr>
            <w:tcW w:w="1819" w:type="dxa"/>
            <w:tcBorders>
              <w:top w:val="single" w:sz="6" w:space="0" w:color="000000"/>
              <w:left w:val="none" w:sz="0" w:space="0" w:color="FFFFFF"/>
              <w:bottom w:val="single" w:sz="6" w:space="0" w:color="000000"/>
              <w:right w:val="none" w:sz="0" w:space="0" w:color="FFFFFF"/>
            </w:tcBorders>
            <w:shd w:val="clear" w:color="auto" w:fill="FFFFFF"/>
          </w:tcPr>
          <w:p w14:paraId="517322BE" w14:textId="77777777" w:rsidR="00E91697" w:rsidRDefault="00000000">
            <w:pPr>
              <w:spacing w:before="20" w:after="20"/>
              <w:jc w:val="center"/>
            </w:pPr>
            <w:r>
              <w:rPr>
                <w:b/>
                <w:bCs/>
                <w:sz w:val="20"/>
                <w:szCs w:val="20"/>
              </w:rPr>
              <w:t>QM/EQM</w:t>
            </w:r>
          </w:p>
        </w:tc>
        <w:tc>
          <w:tcPr>
            <w:tcW w:w="1819" w:type="dxa"/>
            <w:tcBorders>
              <w:top w:val="single" w:sz="6" w:space="0" w:color="000000"/>
              <w:left w:val="none" w:sz="0" w:space="0" w:color="FFFFFF"/>
              <w:bottom w:val="single" w:sz="6" w:space="0" w:color="000000"/>
              <w:right w:val="none" w:sz="0" w:space="0" w:color="FFFFFF"/>
            </w:tcBorders>
            <w:shd w:val="clear" w:color="auto" w:fill="FFFFFF"/>
          </w:tcPr>
          <w:p w14:paraId="4908A359" w14:textId="77777777" w:rsidR="00E91697" w:rsidRDefault="00000000">
            <w:pPr>
              <w:spacing w:before="20" w:after="20"/>
              <w:jc w:val="center"/>
            </w:pPr>
            <w:proofErr w:type="spellStart"/>
            <w:r>
              <w:rPr>
                <w:b/>
                <w:bCs/>
                <w:sz w:val="20"/>
                <w:szCs w:val="20"/>
              </w:rPr>
              <w:t>DetQM</w:t>
            </w:r>
            <w:proofErr w:type="spellEnd"/>
          </w:p>
        </w:tc>
        <w:tc>
          <w:tcPr>
            <w:tcW w:w="1819" w:type="dxa"/>
            <w:tcBorders>
              <w:top w:val="single" w:sz="6" w:space="0" w:color="000000"/>
              <w:left w:val="none" w:sz="0" w:space="0" w:color="FFFFFF"/>
              <w:bottom w:val="single" w:sz="6" w:space="0" w:color="000000"/>
              <w:right w:val="none" w:sz="0" w:space="0" w:color="FFFFFF"/>
            </w:tcBorders>
            <w:shd w:val="clear" w:color="auto" w:fill="FFFFFF"/>
          </w:tcPr>
          <w:p w14:paraId="6B6F5C61" w14:textId="77777777" w:rsidR="00E91697" w:rsidRDefault="00000000">
            <w:pPr>
              <w:spacing w:before="20" w:after="20"/>
              <w:jc w:val="center"/>
            </w:pPr>
            <w:r>
              <w:rPr>
                <w:b/>
                <w:bCs/>
                <w:sz w:val="20"/>
                <w:szCs w:val="20"/>
              </w:rPr>
              <w:t>QDM</w:t>
            </w:r>
          </w:p>
        </w:tc>
        <w:tc>
          <w:tcPr>
            <w:tcW w:w="334" w:type="dxa"/>
            <w:tcBorders>
              <w:top w:val="single" w:sz="6" w:space="0" w:color="000000"/>
              <w:left w:val="none" w:sz="0" w:space="0" w:color="FFFFFF"/>
              <w:bottom w:val="single" w:sz="6" w:space="0" w:color="000000"/>
              <w:right w:val="none" w:sz="0" w:space="0" w:color="FFFFFF"/>
            </w:tcBorders>
            <w:shd w:val="clear" w:color="auto" w:fill="FFFFFF"/>
          </w:tcPr>
          <w:p w14:paraId="2A37E748" w14:textId="77777777" w:rsidR="00E91697" w:rsidRDefault="00000000">
            <w:pPr>
              <w:spacing w:before="20" w:after="20"/>
              <w:jc w:val="center"/>
            </w:pPr>
            <w:r>
              <w:rPr>
                <w:b/>
                <w:bCs/>
                <w:sz w:val="20"/>
                <w:szCs w:val="20"/>
              </w:rPr>
              <w:t>n</w:t>
            </w:r>
          </w:p>
        </w:tc>
      </w:tr>
      <w:tr w:rsidR="00E91697" w14:paraId="063B1A99"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36514201" w14:textId="77777777" w:rsidR="00E91697" w:rsidRDefault="00000000">
            <w:pPr>
              <w:spacing w:before="20" w:after="20"/>
            </w:pPr>
            <w:r>
              <w:rPr>
                <w:sz w:val="20"/>
                <w:szCs w:val="20"/>
              </w:rPr>
              <w:t>Wet days</w:t>
            </w:r>
          </w:p>
        </w:tc>
        <w:tc>
          <w:tcPr>
            <w:tcW w:w="1076" w:type="dxa"/>
            <w:tcBorders>
              <w:top w:val="none" w:sz="0" w:space="0" w:color="FFFFFF"/>
              <w:left w:val="none" w:sz="0" w:space="0" w:color="FFFFFF"/>
              <w:bottom w:val="none" w:sz="0" w:space="0" w:color="FFFFFF"/>
              <w:right w:val="none" w:sz="0" w:space="0" w:color="FFFFFF"/>
            </w:tcBorders>
          </w:tcPr>
          <w:p w14:paraId="665DEC43" w14:textId="77777777" w:rsidR="00E91697" w:rsidRDefault="00000000">
            <w:pPr>
              <w:spacing w:before="20" w:after="20"/>
            </w:pPr>
            <w:r>
              <w:rPr>
                <w:sz w:val="20"/>
                <w:szCs w:val="20"/>
              </w:rPr>
              <w:t>occurrence</w:t>
            </w:r>
          </w:p>
        </w:tc>
        <w:tc>
          <w:tcPr>
            <w:tcW w:w="1002" w:type="dxa"/>
            <w:tcBorders>
              <w:top w:val="none" w:sz="0" w:space="0" w:color="FFFFFF"/>
              <w:left w:val="none" w:sz="0" w:space="0" w:color="FFFFFF"/>
              <w:bottom w:val="none" w:sz="0" w:space="0" w:color="FFFFFF"/>
              <w:right w:val="none" w:sz="0" w:space="0" w:color="FFFFFF"/>
            </w:tcBorders>
          </w:tcPr>
          <w:p w14:paraId="3C3DC69E"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28F9740A" w14:textId="77777777" w:rsidR="00E91697" w:rsidRDefault="00000000">
            <w:pPr>
              <w:spacing w:before="20" w:after="20"/>
              <w:jc w:val="center"/>
            </w:pPr>
            <w:r>
              <w:rPr>
                <w:sz w:val="20"/>
                <w:szCs w:val="20"/>
              </w:rPr>
              <w:t>-0.55 [-1.86, +0.84]</w:t>
            </w:r>
          </w:p>
        </w:tc>
        <w:tc>
          <w:tcPr>
            <w:tcW w:w="1819" w:type="dxa"/>
            <w:tcBorders>
              <w:top w:val="none" w:sz="0" w:space="0" w:color="FFFFFF"/>
              <w:left w:val="none" w:sz="0" w:space="0" w:color="FFFFFF"/>
              <w:bottom w:val="none" w:sz="0" w:space="0" w:color="FFFFFF"/>
              <w:right w:val="none" w:sz="0" w:space="0" w:color="FFFFFF"/>
            </w:tcBorders>
          </w:tcPr>
          <w:p w14:paraId="04E578E8" w14:textId="77777777" w:rsidR="00E91697" w:rsidRDefault="00000000">
            <w:pPr>
              <w:spacing w:before="20" w:after="20"/>
              <w:jc w:val="center"/>
            </w:pPr>
            <w:r>
              <w:rPr>
                <w:sz w:val="20"/>
                <w:szCs w:val="20"/>
              </w:rPr>
              <w:t>-0.01 [-1.14, +1.21]</w:t>
            </w:r>
          </w:p>
        </w:tc>
        <w:tc>
          <w:tcPr>
            <w:tcW w:w="1819" w:type="dxa"/>
            <w:tcBorders>
              <w:top w:val="none" w:sz="0" w:space="0" w:color="FFFFFF"/>
              <w:left w:val="none" w:sz="0" w:space="0" w:color="FFFFFF"/>
              <w:bottom w:val="none" w:sz="0" w:space="0" w:color="FFFFFF"/>
              <w:right w:val="none" w:sz="0" w:space="0" w:color="FFFFFF"/>
            </w:tcBorders>
          </w:tcPr>
          <w:p w14:paraId="725C0484" w14:textId="77777777" w:rsidR="00E91697" w:rsidRDefault="00000000">
            <w:pPr>
              <w:spacing w:before="20" w:after="20"/>
              <w:jc w:val="center"/>
            </w:pPr>
            <w:r>
              <w:rPr>
                <w:sz w:val="20"/>
                <w:szCs w:val="20"/>
              </w:rPr>
              <w:t>-0.55 [-1.42, +0.73]</w:t>
            </w:r>
          </w:p>
        </w:tc>
        <w:tc>
          <w:tcPr>
            <w:tcW w:w="334" w:type="dxa"/>
            <w:tcBorders>
              <w:top w:val="none" w:sz="0" w:space="0" w:color="FFFFFF"/>
              <w:left w:val="none" w:sz="0" w:space="0" w:color="FFFFFF"/>
              <w:bottom w:val="none" w:sz="0" w:space="0" w:color="FFFFFF"/>
              <w:right w:val="none" w:sz="0" w:space="0" w:color="FFFFFF"/>
            </w:tcBorders>
          </w:tcPr>
          <w:p w14:paraId="4F262A8C" w14:textId="77777777" w:rsidR="00E91697" w:rsidRDefault="00000000">
            <w:pPr>
              <w:spacing w:before="20" w:after="20"/>
              <w:jc w:val="center"/>
            </w:pPr>
            <w:r>
              <w:rPr>
                <w:sz w:val="20"/>
                <w:szCs w:val="20"/>
              </w:rPr>
              <w:t>7</w:t>
            </w:r>
          </w:p>
        </w:tc>
      </w:tr>
      <w:tr w:rsidR="00E91697" w14:paraId="3874C07D"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24781BFA"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2ED608BC"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6419CFA3"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4D3F9B06" w14:textId="77777777" w:rsidR="00E91697" w:rsidRDefault="00000000">
            <w:pPr>
              <w:spacing w:before="20" w:after="20"/>
              <w:jc w:val="center"/>
            </w:pPr>
            <w:r>
              <w:rPr>
                <w:sz w:val="20"/>
                <w:szCs w:val="20"/>
              </w:rPr>
              <w:t>-1.43 [-2.94, -0.47]</w:t>
            </w:r>
          </w:p>
        </w:tc>
        <w:tc>
          <w:tcPr>
            <w:tcW w:w="1819" w:type="dxa"/>
            <w:tcBorders>
              <w:top w:val="none" w:sz="0" w:space="0" w:color="FFFFFF"/>
              <w:left w:val="none" w:sz="0" w:space="0" w:color="FFFFFF"/>
              <w:bottom w:val="none" w:sz="0" w:space="0" w:color="FFFFFF"/>
              <w:right w:val="none" w:sz="0" w:space="0" w:color="FFFFFF"/>
            </w:tcBorders>
          </w:tcPr>
          <w:p w14:paraId="1C2B03DB" w14:textId="77777777" w:rsidR="00E91697" w:rsidRDefault="00000000">
            <w:pPr>
              <w:spacing w:before="20" w:after="20"/>
              <w:jc w:val="center"/>
            </w:pPr>
            <w:r>
              <w:rPr>
                <w:sz w:val="20"/>
                <w:szCs w:val="20"/>
              </w:rPr>
              <w:t>-1.51 [-2.63, -0.41]</w:t>
            </w:r>
          </w:p>
        </w:tc>
        <w:tc>
          <w:tcPr>
            <w:tcW w:w="1819" w:type="dxa"/>
            <w:tcBorders>
              <w:top w:val="none" w:sz="0" w:space="0" w:color="FFFFFF"/>
              <w:left w:val="none" w:sz="0" w:space="0" w:color="FFFFFF"/>
              <w:bottom w:val="none" w:sz="0" w:space="0" w:color="FFFFFF"/>
              <w:right w:val="none" w:sz="0" w:space="0" w:color="FFFFFF"/>
            </w:tcBorders>
          </w:tcPr>
          <w:p w14:paraId="393FB7C2" w14:textId="77777777" w:rsidR="00E91697" w:rsidRDefault="00000000">
            <w:pPr>
              <w:spacing w:before="20" w:after="20"/>
              <w:jc w:val="center"/>
            </w:pPr>
            <w:r>
              <w:rPr>
                <w:sz w:val="20"/>
                <w:szCs w:val="20"/>
              </w:rPr>
              <w:t>-1.13 [-3.10, -0.46]</w:t>
            </w:r>
          </w:p>
        </w:tc>
        <w:tc>
          <w:tcPr>
            <w:tcW w:w="334" w:type="dxa"/>
            <w:tcBorders>
              <w:top w:val="none" w:sz="0" w:space="0" w:color="FFFFFF"/>
              <w:left w:val="none" w:sz="0" w:space="0" w:color="FFFFFF"/>
              <w:bottom w:val="none" w:sz="0" w:space="0" w:color="FFFFFF"/>
              <w:right w:val="none" w:sz="0" w:space="0" w:color="FFFFFF"/>
            </w:tcBorders>
          </w:tcPr>
          <w:p w14:paraId="5C796717" w14:textId="77777777" w:rsidR="00E91697" w:rsidRDefault="00E91697">
            <w:pPr>
              <w:spacing w:before="20" w:after="20"/>
              <w:jc w:val="center"/>
            </w:pPr>
          </w:p>
        </w:tc>
      </w:tr>
      <w:tr w:rsidR="00E91697" w14:paraId="3DCBBCB5"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72093ACC" w14:textId="77777777" w:rsidR="00E91697" w:rsidRDefault="00000000">
            <w:pPr>
              <w:spacing w:before="20" w:after="20"/>
            </w:pPr>
            <w:r>
              <w:rPr>
                <w:sz w:val="20"/>
                <w:szCs w:val="20"/>
              </w:rPr>
              <w:t>PRCPTOT</w:t>
            </w:r>
          </w:p>
        </w:tc>
        <w:tc>
          <w:tcPr>
            <w:tcW w:w="1076" w:type="dxa"/>
            <w:tcBorders>
              <w:top w:val="none" w:sz="0" w:space="0" w:color="FFFFFF"/>
              <w:left w:val="none" w:sz="0" w:space="0" w:color="FFFFFF"/>
              <w:bottom w:val="none" w:sz="0" w:space="0" w:color="FFFFFF"/>
              <w:right w:val="none" w:sz="0" w:space="0" w:color="FFFFFF"/>
            </w:tcBorders>
          </w:tcPr>
          <w:p w14:paraId="67219792" w14:textId="77777777" w:rsidR="00E91697" w:rsidRDefault="00000000">
            <w:pPr>
              <w:spacing w:before="20" w:after="20"/>
            </w:pPr>
            <w:r>
              <w:rPr>
                <w:sz w:val="20"/>
                <w:szCs w:val="20"/>
              </w:rPr>
              <w:t>accumulation</w:t>
            </w:r>
          </w:p>
        </w:tc>
        <w:tc>
          <w:tcPr>
            <w:tcW w:w="1002" w:type="dxa"/>
            <w:tcBorders>
              <w:top w:val="none" w:sz="0" w:space="0" w:color="FFFFFF"/>
              <w:left w:val="none" w:sz="0" w:space="0" w:color="FFFFFF"/>
              <w:bottom w:val="none" w:sz="0" w:space="0" w:color="FFFFFF"/>
              <w:right w:val="none" w:sz="0" w:space="0" w:color="FFFFFF"/>
            </w:tcBorders>
          </w:tcPr>
          <w:p w14:paraId="0EC0B8CC"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127E2E26" w14:textId="77777777" w:rsidR="00E91697" w:rsidRDefault="00000000">
            <w:pPr>
              <w:spacing w:before="20" w:after="20"/>
              <w:jc w:val="center"/>
            </w:pPr>
            <w:r>
              <w:rPr>
                <w:sz w:val="20"/>
                <w:szCs w:val="20"/>
              </w:rPr>
              <w:t>-0.88 [-1.39, +0.19]</w:t>
            </w:r>
          </w:p>
        </w:tc>
        <w:tc>
          <w:tcPr>
            <w:tcW w:w="1819" w:type="dxa"/>
            <w:tcBorders>
              <w:top w:val="none" w:sz="0" w:space="0" w:color="FFFFFF"/>
              <w:left w:val="none" w:sz="0" w:space="0" w:color="FFFFFF"/>
              <w:bottom w:val="none" w:sz="0" w:space="0" w:color="FFFFFF"/>
              <w:right w:val="none" w:sz="0" w:space="0" w:color="FFFFFF"/>
            </w:tcBorders>
          </w:tcPr>
          <w:p w14:paraId="0DBD1896" w14:textId="77777777" w:rsidR="00E91697" w:rsidRDefault="00000000">
            <w:pPr>
              <w:spacing w:before="20" w:after="20"/>
              <w:jc w:val="center"/>
            </w:pPr>
            <w:r>
              <w:rPr>
                <w:sz w:val="20"/>
                <w:szCs w:val="20"/>
              </w:rPr>
              <w:t>-0.36 [-0.68, +0.77]</w:t>
            </w:r>
          </w:p>
        </w:tc>
        <w:tc>
          <w:tcPr>
            <w:tcW w:w="1819" w:type="dxa"/>
            <w:tcBorders>
              <w:top w:val="none" w:sz="0" w:space="0" w:color="FFFFFF"/>
              <w:left w:val="none" w:sz="0" w:space="0" w:color="FFFFFF"/>
              <w:bottom w:val="none" w:sz="0" w:space="0" w:color="FFFFFF"/>
              <w:right w:val="none" w:sz="0" w:space="0" w:color="FFFFFF"/>
            </w:tcBorders>
          </w:tcPr>
          <w:p w14:paraId="2A64EF7C" w14:textId="77777777" w:rsidR="00E91697" w:rsidRDefault="00000000">
            <w:pPr>
              <w:spacing w:before="20" w:after="20"/>
              <w:jc w:val="center"/>
            </w:pPr>
            <w:r>
              <w:rPr>
                <w:sz w:val="20"/>
                <w:szCs w:val="20"/>
              </w:rPr>
              <w:t>-0.21 [-2.33, +0.68]</w:t>
            </w:r>
          </w:p>
        </w:tc>
        <w:tc>
          <w:tcPr>
            <w:tcW w:w="334" w:type="dxa"/>
            <w:tcBorders>
              <w:top w:val="none" w:sz="0" w:space="0" w:color="FFFFFF"/>
              <w:left w:val="none" w:sz="0" w:space="0" w:color="FFFFFF"/>
              <w:bottom w:val="none" w:sz="0" w:space="0" w:color="FFFFFF"/>
              <w:right w:val="none" w:sz="0" w:space="0" w:color="FFFFFF"/>
            </w:tcBorders>
          </w:tcPr>
          <w:p w14:paraId="7D443C56" w14:textId="77777777" w:rsidR="00E91697" w:rsidRDefault="00000000">
            <w:pPr>
              <w:spacing w:before="20" w:after="20"/>
              <w:jc w:val="center"/>
            </w:pPr>
            <w:r>
              <w:rPr>
                <w:sz w:val="20"/>
                <w:szCs w:val="20"/>
              </w:rPr>
              <w:t>7</w:t>
            </w:r>
          </w:p>
        </w:tc>
      </w:tr>
      <w:tr w:rsidR="00E91697" w14:paraId="3A4F973A"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4C134332"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1A05AE08"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66F22CB7"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73AA5114" w14:textId="77777777" w:rsidR="00E91697" w:rsidRDefault="00000000">
            <w:pPr>
              <w:spacing w:before="20" w:after="20"/>
              <w:jc w:val="center"/>
            </w:pPr>
            <w:r>
              <w:rPr>
                <w:sz w:val="20"/>
                <w:szCs w:val="20"/>
              </w:rPr>
              <w:t>-0.43 [-1.04, +0.72]</w:t>
            </w:r>
          </w:p>
        </w:tc>
        <w:tc>
          <w:tcPr>
            <w:tcW w:w="1819" w:type="dxa"/>
            <w:tcBorders>
              <w:top w:val="none" w:sz="0" w:space="0" w:color="FFFFFF"/>
              <w:left w:val="none" w:sz="0" w:space="0" w:color="FFFFFF"/>
              <w:bottom w:val="none" w:sz="0" w:space="0" w:color="FFFFFF"/>
              <w:right w:val="none" w:sz="0" w:space="0" w:color="FFFFFF"/>
            </w:tcBorders>
          </w:tcPr>
          <w:p w14:paraId="67F55BFB" w14:textId="77777777" w:rsidR="00E91697" w:rsidRDefault="00000000">
            <w:pPr>
              <w:spacing w:before="20" w:after="20"/>
              <w:jc w:val="center"/>
            </w:pPr>
            <w:r>
              <w:rPr>
                <w:sz w:val="20"/>
                <w:szCs w:val="20"/>
              </w:rPr>
              <w:t>+0.65 [-0.11, +0.83]</w:t>
            </w:r>
          </w:p>
        </w:tc>
        <w:tc>
          <w:tcPr>
            <w:tcW w:w="1819" w:type="dxa"/>
            <w:tcBorders>
              <w:top w:val="none" w:sz="0" w:space="0" w:color="FFFFFF"/>
              <w:left w:val="none" w:sz="0" w:space="0" w:color="FFFFFF"/>
              <w:bottom w:val="none" w:sz="0" w:space="0" w:color="FFFFFF"/>
              <w:right w:val="none" w:sz="0" w:space="0" w:color="FFFFFF"/>
            </w:tcBorders>
          </w:tcPr>
          <w:p w14:paraId="4AD6A5CB" w14:textId="77777777" w:rsidR="00E91697" w:rsidRDefault="00000000">
            <w:pPr>
              <w:spacing w:before="20" w:after="20"/>
              <w:jc w:val="center"/>
            </w:pPr>
            <w:r>
              <w:rPr>
                <w:sz w:val="20"/>
                <w:szCs w:val="20"/>
              </w:rPr>
              <w:t>+0.11 [-1.13, +0.30]</w:t>
            </w:r>
          </w:p>
        </w:tc>
        <w:tc>
          <w:tcPr>
            <w:tcW w:w="334" w:type="dxa"/>
            <w:tcBorders>
              <w:top w:val="none" w:sz="0" w:space="0" w:color="FFFFFF"/>
              <w:left w:val="none" w:sz="0" w:space="0" w:color="FFFFFF"/>
              <w:bottom w:val="none" w:sz="0" w:space="0" w:color="FFFFFF"/>
              <w:right w:val="none" w:sz="0" w:space="0" w:color="FFFFFF"/>
            </w:tcBorders>
          </w:tcPr>
          <w:p w14:paraId="27A32F05" w14:textId="77777777" w:rsidR="00E91697" w:rsidRDefault="00E91697">
            <w:pPr>
              <w:spacing w:before="20" w:after="20"/>
              <w:jc w:val="center"/>
            </w:pPr>
          </w:p>
        </w:tc>
      </w:tr>
      <w:tr w:rsidR="00E91697" w14:paraId="7A763FC5"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1A695FB1" w14:textId="77777777" w:rsidR="00E91697" w:rsidRDefault="00000000">
            <w:pPr>
              <w:spacing w:before="20" w:after="20"/>
            </w:pPr>
            <w:r>
              <w:rPr>
                <w:sz w:val="20"/>
                <w:szCs w:val="20"/>
              </w:rPr>
              <w:t>SDII</w:t>
            </w:r>
          </w:p>
        </w:tc>
        <w:tc>
          <w:tcPr>
            <w:tcW w:w="1076" w:type="dxa"/>
            <w:tcBorders>
              <w:top w:val="none" w:sz="0" w:space="0" w:color="FFFFFF"/>
              <w:left w:val="none" w:sz="0" w:space="0" w:color="FFFFFF"/>
              <w:bottom w:val="none" w:sz="0" w:space="0" w:color="FFFFFF"/>
              <w:right w:val="none" w:sz="0" w:space="0" w:color="FFFFFF"/>
            </w:tcBorders>
          </w:tcPr>
          <w:p w14:paraId="5788D80D" w14:textId="77777777" w:rsidR="00E91697" w:rsidRDefault="00000000">
            <w:pPr>
              <w:spacing w:before="20" w:after="20"/>
            </w:pPr>
            <w:r>
              <w:rPr>
                <w:sz w:val="20"/>
                <w:szCs w:val="20"/>
              </w:rPr>
              <w:t>intensity</w:t>
            </w:r>
          </w:p>
        </w:tc>
        <w:tc>
          <w:tcPr>
            <w:tcW w:w="1002" w:type="dxa"/>
            <w:tcBorders>
              <w:top w:val="none" w:sz="0" w:space="0" w:color="FFFFFF"/>
              <w:left w:val="none" w:sz="0" w:space="0" w:color="FFFFFF"/>
              <w:bottom w:val="none" w:sz="0" w:space="0" w:color="FFFFFF"/>
              <w:right w:val="none" w:sz="0" w:space="0" w:color="FFFFFF"/>
            </w:tcBorders>
          </w:tcPr>
          <w:p w14:paraId="37D540E4"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0B274053" w14:textId="77777777" w:rsidR="00E91697" w:rsidRDefault="00000000">
            <w:pPr>
              <w:spacing w:before="20" w:after="20"/>
              <w:jc w:val="center"/>
            </w:pPr>
            <w:r>
              <w:rPr>
                <w:sz w:val="20"/>
                <w:szCs w:val="20"/>
              </w:rPr>
              <w:t>-0.34 [-2.26, +2.95]</w:t>
            </w:r>
          </w:p>
        </w:tc>
        <w:tc>
          <w:tcPr>
            <w:tcW w:w="1819" w:type="dxa"/>
            <w:tcBorders>
              <w:top w:val="none" w:sz="0" w:space="0" w:color="FFFFFF"/>
              <w:left w:val="none" w:sz="0" w:space="0" w:color="FFFFFF"/>
              <w:bottom w:val="none" w:sz="0" w:space="0" w:color="FFFFFF"/>
              <w:right w:val="none" w:sz="0" w:space="0" w:color="FFFFFF"/>
            </w:tcBorders>
          </w:tcPr>
          <w:p w14:paraId="7BDB6D4A" w14:textId="77777777" w:rsidR="00E91697" w:rsidRDefault="00000000">
            <w:pPr>
              <w:spacing w:before="20" w:after="20"/>
              <w:jc w:val="center"/>
            </w:pPr>
            <w:r>
              <w:rPr>
                <w:sz w:val="20"/>
                <w:szCs w:val="20"/>
              </w:rPr>
              <w:t>-0.39 [-2.00, +2.16]</w:t>
            </w:r>
          </w:p>
        </w:tc>
        <w:tc>
          <w:tcPr>
            <w:tcW w:w="1819" w:type="dxa"/>
            <w:tcBorders>
              <w:top w:val="none" w:sz="0" w:space="0" w:color="FFFFFF"/>
              <w:left w:val="none" w:sz="0" w:space="0" w:color="FFFFFF"/>
              <w:bottom w:val="none" w:sz="0" w:space="0" w:color="FFFFFF"/>
              <w:right w:val="none" w:sz="0" w:space="0" w:color="FFFFFF"/>
            </w:tcBorders>
          </w:tcPr>
          <w:p w14:paraId="2BFCB87B" w14:textId="77777777" w:rsidR="00E91697" w:rsidRDefault="00000000">
            <w:pPr>
              <w:spacing w:before="20" w:after="20"/>
              <w:jc w:val="center"/>
            </w:pPr>
            <w:r>
              <w:rPr>
                <w:sz w:val="20"/>
                <w:szCs w:val="20"/>
              </w:rPr>
              <w:t>+0.08 [-1.39, +1.13]</w:t>
            </w:r>
          </w:p>
        </w:tc>
        <w:tc>
          <w:tcPr>
            <w:tcW w:w="334" w:type="dxa"/>
            <w:tcBorders>
              <w:top w:val="none" w:sz="0" w:space="0" w:color="FFFFFF"/>
              <w:left w:val="none" w:sz="0" w:space="0" w:color="FFFFFF"/>
              <w:bottom w:val="none" w:sz="0" w:space="0" w:color="FFFFFF"/>
              <w:right w:val="none" w:sz="0" w:space="0" w:color="FFFFFF"/>
            </w:tcBorders>
          </w:tcPr>
          <w:p w14:paraId="193DFF42" w14:textId="77777777" w:rsidR="00E91697" w:rsidRDefault="00000000">
            <w:pPr>
              <w:spacing w:before="20" w:after="20"/>
              <w:jc w:val="center"/>
            </w:pPr>
            <w:r>
              <w:rPr>
                <w:sz w:val="20"/>
                <w:szCs w:val="20"/>
              </w:rPr>
              <w:t>7</w:t>
            </w:r>
          </w:p>
        </w:tc>
      </w:tr>
      <w:tr w:rsidR="00E91697" w14:paraId="4EE3E32D"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25795CA2"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3BE37444"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1FF01E23"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59C0D87D" w14:textId="77777777" w:rsidR="00E91697" w:rsidRDefault="00000000">
            <w:pPr>
              <w:spacing w:before="20" w:after="20"/>
              <w:jc w:val="center"/>
            </w:pPr>
            <w:r>
              <w:rPr>
                <w:sz w:val="20"/>
                <w:szCs w:val="20"/>
              </w:rPr>
              <w:t>+2.18 [+0.90, +3.18]</w:t>
            </w:r>
          </w:p>
        </w:tc>
        <w:tc>
          <w:tcPr>
            <w:tcW w:w="1819" w:type="dxa"/>
            <w:tcBorders>
              <w:top w:val="none" w:sz="0" w:space="0" w:color="FFFFFF"/>
              <w:left w:val="none" w:sz="0" w:space="0" w:color="FFFFFF"/>
              <w:bottom w:val="none" w:sz="0" w:space="0" w:color="FFFFFF"/>
              <w:right w:val="none" w:sz="0" w:space="0" w:color="FFFFFF"/>
            </w:tcBorders>
          </w:tcPr>
          <w:p w14:paraId="563E20F4" w14:textId="77777777" w:rsidR="00E91697" w:rsidRDefault="00000000">
            <w:pPr>
              <w:spacing w:before="20" w:after="20"/>
              <w:jc w:val="center"/>
            </w:pPr>
            <w:r>
              <w:rPr>
                <w:sz w:val="20"/>
                <w:szCs w:val="20"/>
              </w:rPr>
              <w:t>+3.00 [+1.25, +3.55]</w:t>
            </w:r>
          </w:p>
        </w:tc>
        <w:tc>
          <w:tcPr>
            <w:tcW w:w="1819" w:type="dxa"/>
            <w:tcBorders>
              <w:top w:val="none" w:sz="0" w:space="0" w:color="FFFFFF"/>
              <w:left w:val="none" w:sz="0" w:space="0" w:color="FFFFFF"/>
              <w:bottom w:val="none" w:sz="0" w:space="0" w:color="FFFFFF"/>
              <w:right w:val="none" w:sz="0" w:space="0" w:color="FFFFFF"/>
            </w:tcBorders>
          </w:tcPr>
          <w:p w14:paraId="28831FE9" w14:textId="77777777" w:rsidR="00E91697" w:rsidRDefault="00000000">
            <w:pPr>
              <w:spacing w:before="20" w:after="20"/>
              <w:jc w:val="center"/>
            </w:pPr>
            <w:r>
              <w:rPr>
                <w:sz w:val="20"/>
                <w:szCs w:val="20"/>
              </w:rPr>
              <w:t>+1.69 [-0.07, +3.14]</w:t>
            </w:r>
          </w:p>
        </w:tc>
        <w:tc>
          <w:tcPr>
            <w:tcW w:w="334" w:type="dxa"/>
            <w:tcBorders>
              <w:top w:val="none" w:sz="0" w:space="0" w:color="FFFFFF"/>
              <w:left w:val="none" w:sz="0" w:space="0" w:color="FFFFFF"/>
              <w:bottom w:val="none" w:sz="0" w:space="0" w:color="FFFFFF"/>
              <w:right w:val="none" w:sz="0" w:space="0" w:color="FFFFFF"/>
            </w:tcBorders>
          </w:tcPr>
          <w:p w14:paraId="496BFD5E" w14:textId="77777777" w:rsidR="00E91697" w:rsidRDefault="00E91697">
            <w:pPr>
              <w:spacing w:before="20" w:after="20"/>
              <w:jc w:val="center"/>
            </w:pPr>
          </w:p>
        </w:tc>
      </w:tr>
      <w:tr w:rsidR="00E91697" w14:paraId="4EBAC80B"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178F21FF" w14:textId="77777777" w:rsidR="00E91697" w:rsidRDefault="00000000">
            <w:pPr>
              <w:spacing w:before="20" w:after="20"/>
            </w:pPr>
            <w:r>
              <w:rPr>
                <w:sz w:val="20"/>
                <w:szCs w:val="20"/>
              </w:rPr>
              <w:t>q50</w:t>
            </w:r>
          </w:p>
        </w:tc>
        <w:tc>
          <w:tcPr>
            <w:tcW w:w="1076" w:type="dxa"/>
            <w:tcBorders>
              <w:top w:val="none" w:sz="0" w:space="0" w:color="FFFFFF"/>
              <w:left w:val="none" w:sz="0" w:space="0" w:color="FFFFFF"/>
              <w:bottom w:val="none" w:sz="0" w:space="0" w:color="FFFFFF"/>
              <w:right w:val="none" w:sz="0" w:space="0" w:color="FFFFFF"/>
            </w:tcBorders>
          </w:tcPr>
          <w:p w14:paraId="6917F5A5" w14:textId="77777777" w:rsidR="00E91697" w:rsidRDefault="00000000">
            <w:pPr>
              <w:spacing w:before="20" w:after="20"/>
            </w:pPr>
            <w:r>
              <w:rPr>
                <w:sz w:val="20"/>
                <w:szCs w:val="20"/>
              </w:rPr>
              <w:t>direct quantile</w:t>
            </w:r>
          </w:p>
        </w:tc>
        <w:tc>
          <w:tcPr>
            <w:tcW w:w="1002" w:type="dxa"/>
            <w:tcBorders>
              <w:top w:val="none" w:sz="0" w:space="0" w:color="FFFFFF"/>
              <w:left w:val="none" w:sz="0" w:space="0" w:color="FFFFFF"/>
              <w:bottom w:val="none" w:sz="0" w:space="0" w:color="FFFFFF"/>
              <w:right w:val="none" w:sz="0" w:space="0" w:color="FFFFFF"/>
            </w:tcBorders>
          </w:tcPr>
          <w:p w14:paraId="5737BC1E"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1038AA6F" w14:textId="77777777" w:rsidR="00E91697" w:rsidRDefault="00000000">
            <w:pPr>
              <w:spacing w:before="20" w:after="20"/>
              <w:jc w:val="center"/>
            </w:pPr>
            <w:r>
              <w:rPr>
                <w:sz w:val="20"/>
                <w:szCs w:val="20"/>
              </w:rPr>
              <w:t>+1.48 [+0.84, +4.57]</w:t>
            </w:r>
          </w:p>
        </w:tc>
        <w:tc>
          <w:tcPr>
            <w:tcW w:w="1819" w:type="dxa"/>
            <w:tcBorders>
              <w:top w:val="none" w:sz="0" w:space="0" w:color="FFFFFF"/>
              <w:left w:val="none" w:sz="0" w:space="0" w:color="FFFFFF"/>
              <w:bottom w:val="none" w:sz="0" w:space="0" w:color="FFFFFF"/>
              <w:right w:val="none" w:sz="0" w:space="0" w:color="FFFFFF"/>
            </w:tcBorders>
          </w:tcPr>
          <w:p w14:paraId="68EF2E80" w14:textId="77777777" w:rsidR="00E91697" w:rsidRDefault="00000000">
            <w:pPr>
              <w:spacing w:before="20" w:after="20"/>
              <w:jc w:val="center"/>
            </w:pPr>
            <w:r>
              <w:rPr>
                <w:sz w:val="20"/>
                <w:szCs w:val="20"/>
              </w:rPr>
              <w:t>+0.66 [-0.62, +2.63]</w:t>
            </w:r>
          </w:p>
        </w:tc>
        <w:tc>
          <w:tcPr>
            <w:tcW w:w="1819" w:type="dxa"/>
            <w:tcBorders>
              <w:top w:val="none" w:sz="0" w:space="0" w:color="FFFFFF"/>
              <w:left w:val="none" w:sz="0" w:space="0" w:color="FFFFFF"/>
              <w:bottom w:val="none" w:sz="0" w:space="0" w:color="FFFFFF"/>
              <w:right w:val="none" w:sz="0" w:space="0" w:color="FFFFFF"/>
            </w:tcBorders>
          </w:tcPr>
          <w:p w14:paraId="3AD7DDF6" w14:textId="77777777" w:rsidR="00E91697" w:rsidRDefault="00000000">
            <w:pPr>
              <w:spacing w:before="20" w:after="20"/>
              <w:jc w:val="center"/>
            </w:pPr>
            <w:r>
              <w:rPr>
                <w:sz w:val="20"/>
                <w:szCs w:val="20"/>
              </w:rPr>
              <w:t>+1.51 [+0.76, +2.77]</w:t>
            </w:r>
          </w:p>
        </w:tc>
        <w:tc>
          <w:tcPr>
            <w:tcW w:w="334" w:type="dxa"/>
            <w:tcBorders>
              <w:top w:val="none" w:sz="0" w:space="0" w:color="FFFFFF"/>
              <w:left w:val="none" w:sz="0" w:space="0" w:color="FFFFFF"/>
              <w:bottom w:val="none" w:sz="0" w:space="0" w:color="FFFFFF"/>
              <w:right w:val="none" w:sz="0" w:space="0" w:color="FFFFFF"/>
            </w:tcBorders>
          </w:tcPr>
          <w:p w14:paraId="066AEAB5" w14:textId="77777777" w:rsidR="00E91697" w:rsidRDefault="00000000">
            <w:pPr>
              <w:spacing w:before="20" w:after="20"/>
              <w:jc w:val="center"/>
            </w:pPr>
            <w:r>
              <w:rPr>
                <w:sz w:val="20"/>
                <w:szCs w:val="20"/>
              </w:rPr>
              <w:t>7</w:t>
            </w:r>
          </w:p>
        </w:tc>
      </w:tr>
      <w:tr w:rsidR="00E91697" w14:paraId="647FED04"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6E9920DD"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038EBA72"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15935A25"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50F5EFCB" w14:textId="77777777" w:rsidR="00E91697" w:rsidRDefault="00000000">
            <w:pPr>
              <w:spacing w:before="20" w:after="20"/>
              <w:jc w:val="center"/>
            </w:pPr>
            <w:r>
              <w:rPr>
                <w:sz w:val="20"/>
                <w:szCs w:val="20"/>
              </w:rPr>
              <w:t>+4.84 [+2.44, +6.15]</w:t>
            </w:r>
          </w:p>
        </w:tc>
        <w:tc>
          <w:tcPr>
            <w:tcW w:w="1819" w:type="dxa"/>
            <w:tcBorders>
              <w:top w:val="none" w:sz="0" w:space="0" w:color="FFFFFF"/>
              <w:left w:val="none" w:sz="0" w:space="0" w:color="FFFFFF"/>
              <w:bottom w:val="none" w:sz="0" w:space="0" w:color="FFFFFF"/>
              <w:right w:val="none" w:sz="0" w:space="0" w:color="FFFFFF"/>
            </w:tcBorders>
          </w:tcPr>
          <w:p w14:paraId="05FD1AFD" w14:textId="77777777" w:rsidR="00E91697" w:rsidRDefault="00000000">
            <w:pPr>
              <w:spacing w:before="20" w:after="20"/>
              <w:jc w:val="center"/>
            </w:pPr>
            <w:r>
              <w:rPr>
                <w:sz w:val="20"/>
                <w:szCs w:val="20"/>
              </w:rPr>
              <w:t>+3.55 [+1.48, +5.53]</w:t>
            </w:r>
          </w:p>
        </w:tc>
        <w:tc>
          <w:tcPr>
            <w:tcW w:w="1819" w:type="dxa"/>
            <w:tcBorders>
              <w:top w:val="none" w:sz="0" w:space="0" w:color="FFFFFF"/>
              <w:left w:val="none" w:sz="0" w:space="0" w:color="FFFFFF"/>
              <w:bottom w:val="none" w:sz="0" w:space="0" w:color="FFFFFF"/>
              <w:right w:val="none" w:sz="0" w:space="0" w:color="FFFFFF"/>
            </w:tcBorders>
          </w:tcPr>
          <w:p w14:paraId="5A010006" w14:textId="77777777" w:rsidR="00E91697" w:rsidRDefault="00000000">
            <w:pPr>
              <w:spacing w:before="20" w:after="20"/>
              <w:jc w:val="center"/>
            </w:pPr>
            <w:r>
              <w:rPr>
                <w:sz w:val="20"/>
                <w:szCs w:val="20"/>
              </w:rPr>
              <w:t>+3.73 [+1.94, +4.69]</w:t>
            </w:r>
          </w:p>
        </w:tc>
        <w:tc>
          <w:tcPr>
            <w:tcW w:w="334" w:type="dxa"/>
            <w:tcBorders>
              <w:top w:val="none" w:sz="0" w:space="0" w:color="FFFFFF"/>
              <w:left w:val="none" w:sz="0" w:space="0" w:color="FFFFFF"/>
              <w:bottom w:val="none" w:sz="0" w:space="0" w:color="FFFFFF"/>
              <w:right w:val="none" w:sz="0" w:space="0" w:color="FFFFFF"/>
            </w:tcBorders>
          </w:tcPr>
          <w:p w14:paraId="736AD525" w14:textId="77777777" w:rsidR="00E91697" w:rsidRDefault="00E91697">
            <w:pPr>
              <w:spacing w:before="20" w:after="20"/>
              <w:jc w:val="center"/>
            </w:pPr>
          </w:p>
        </w:tc>
      </w:tr>
      <w:tr w:rsidR="00E91697" w14:paraId="4C5758A6"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1AB4A6F8" w14:textId="77777777" w:rsidR="00E91697" w:rsidRDefault="00000000">
            <w:pPr>
              <w:spacing w:before="20" w:after="20"/>
            </w:pPr>
            <w:r>
              <w:rPr>
                <w:sz w:val="20"/>
                <w:szCs w:val="20"/>
              </w:rPr>
              <w:t>q90</w:t>
            </w:r>
          </w:p>
        </w:tc>
        <w:tc>
          <w:tcPr>
            <w:tcW w:w="1076" w:type="dxa"/>
            <w:tcBorders>
              <w:top w:val="none" w:sz="0" w:space="0" w:color="FFFFFF"/>
              <w:left w:val="none" w:sz="0" w:space="0" w:color="FFFFFF"/>
              <w:bottom w:val="none" w:sz="0" w:space="0" w:color="FFFFFF"/>
              <w:right w:val="none" w:sz="0" w:space="0" w:color="FFFFFF"/>
            </w:tcBorders>
          </w:tcPr>
          <w:p w14:paraId="1F763CE1" w14:textId="77777777" w:rsidR="00E91697" w:rsidRDefault="00000000">
            <w:pPr>
              <w:spacing w:before="20" w:after="20"/>
            </w:pPr>
            <w:r>
              <w:rPr>
                <w:sz w:val="20"/>
                <w:szCs w:val="20"/>
              </w:rPr>
              <w:t>direct quantile</w:t>
            </w:r>
          </w:p>
        </w:tc>
        <w:tc>
          <w:tcPr>
            <w:tcW w:w="1002" w:type="dxa"/>
            <w:tcBorders>
              <w:top w:val="none" w:sz="0" w:space="0" w:color="FFFFFF"/>
              <w:left w:val="none" w:sz="0" w:space="0" w:color="FFFFFF"/>
              <w:bottom w:val="none" w:sz="0" w:space="0" w:color="FFFFFF"/>
              <w:right w:val="none" w:sz="0" w:space="0" w:color="FFFFFF"/>
            </w:tcBorders>
          </w:tcPr>
          <w:p w14:paraId="160A53D7"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253F1940" w14:textId="77777777" w:rsidR="00E91697" w:rsidRDefault="00000000">
            <w:pPr>
              <w:spacing w:before="20" w:after="20"/>
              <w:jc w:val="center"/>
            </w:pPr>
            <w:r>
              <w:rPr>
                <w:sz w:val="20"/>
                <w:szCs w:val="20"/>
              </w:rPr>
              <w:t>-0.98 [-4.70, +0.71]</w:t>
            </w:r>
          </w:p>
        </w:tc>
        <w:tc>
          <w:tcPr>
            <w:tcW w:w="1819" w:type="dxa"/>
            <w:tcBorders>
              <w:top w:val="none" w:sz="0" w:space="0" w:color="FFFFFF"/>
              <w:left w:val="none" w:sz="0" w:space="0" w:color="FFFFFF"/>
              <w:bottom w:val="none" w:sz="0" w:space="0" w:color="FFFFFF"/>
              <w:right w:val="none" w:sz="0" w:space="0" w:color="FFFFFF"/>
            </w:tcBorders>
          </w:tcPr>
          <w:p w14:paraId="00B8844C" w14:textId="77777777" w:rsidR="00E91697" w:rsidRDefault="00000000">
            <w:pPr>
              <w:spacing w:before="20" w:after="20"/>
              <w:jc w:val="center"/>
            </w:pPr>
            <w:r>
              <w:rPr>
                <w:sz w:val="20"/>
                <w:szCs w:val="20"/>
              </w:rPr>
              <w:t>-0.01 [-3.03, +1.41]</w:t>
            </w:r>
          </w:p>
        </w:tc>
        <w:tc>
          <w:tcPr>
            <w:tcW w:w="1819" w:type="dxa"/>
            <w:tcBorders>
              <w:top w:val="none" w:sz="0" w:space="0" w:color="FFFFFF"/>
              <w:left w:val="none" w:sz="0" w:space="0" w:color="FFFFFF"/>
              <w:bottom w:val="none" w:sz="0" w:space="0" w:color="FFFFFF"/>
              <w:right w:val="none" w:sz="0" w:space="0" w:color="FFFFFF"/>
            </w:tcBorders>
          </w:tcPr>
          <w:p w14:paraId="41B7F522" w14:textId="77777777" w:rsidR="00E91697" w:rsidRDefault="00000000">
            <w:pPr>
              <w:spacing w:before="20" w:after="20"/>
              <w:jc w:val="center"/>
            </w:pPr>
            <w:r>
              <w:rPr>
                <w:sz w:val="20"/>
                <w:szCs w:val="20"/>
              </w:rPr>
              <w:t>-0.18 [-4.37, +1.05]</w:t>
            </w:r>
          </w:p>
        </w:tc>
        <w:tc>
          <w:tcPr>
            <w:tcW w:w="334" w:type="dxa"/>
            <w:tcBorders>
              <w:top w:val="none" w:sz="0" w:space="0" w:color="FFFFFF"/>
              <w:left w:val="none" w:sz="0" w:space="0" w:color="FFFFFF"/>
              <w:bottom w:val="none" w:sz="0" w:space="0" w:color="FFFFFF"/>
              <w:right w:val="none" w:sz="0" w:space="0" w:color="FFFFFF"/>
            </w:tcBorders>
          </w:tcPr>
          <w:p w14:paraId="4943E28F" w14:textId="77777777" w:rsidR="00E91697" w:rsidRDefault="00000000">
            <w:pPr>
              <w:spacing w:before="20" w:after="20"/>
              <w:jc w:val="center"/>
            </w:pPr>
            <w:r>
              <w:rPr>
                <w:sz w:val="20"/>
                <w:szCs w:val="20"/>
              </w:rPr>
              <w:t>7</w:t>
            </w:r>
          </w:p>
        </w:tc>
      </w:tr>
      <w:tr w:rsidR="00E91697" w14:paraId="0633BD16"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4DF0A3D5"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23C9FFD1"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1767BBD0"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019CC799" w14:textId="77777777" w:rsidR="00E91697" w:rsidRDefault="00000000">
            <w:pPr>
              <w:spacing w:before="20" w:after="20"/>
              <w:jc w:val="center"/>
            </w:pPr>
            <w:r>
              <w:rPr>
                <w:sz w:val="20"/>
                <w:szCs w:val="20"/>
              </w:rPr>
              <w:t>-1.20 [-2.54, +1.96]</w:t>
            </w:r>
          </w:p>
        </w:tc>
        <w:tc>
          <w:tcPr>
            <w:tcW w:w="1819" w:type="dxa"/>
            <w:tcBorders>
              <w:top w:val="none" w:sz="0" w:space="0" w:color="FFFFFF"/>
              <w:left w:val="none" w:sz="0" w:space="0" w:color="FFFFFF"/>
              <w:bottom w:val="none" w:sz="0" w:space="0" w:color="FFFFFF"/>
              <w:right w:val="none" w:sz="0" w:space="0" w:color="FFFFFF"/>
            </w:tcBorders>
          </w:tcPr>
          <w:p w14:paraId="76A1F26C" w14:textId="77777777" w:rsidR="00E91697" w:rsidRDefault="00000000">
            <w:pPr>
              <w:spacing w:before="20" w:after="20"/>
              <w:jc w:val="center"/>
            </w:pPr>
            <w:r>
              <w:rPr>
                <w:sz w:val="20"/>
                <w:szCs w:val="20"/>
              </w:rPr>
              <w:t>-0.36 [-0.88, +5.26]</w:t>
            </w:r>
          </w:p>
        </w:tc>
        <w:tc>
          <w:tcPr>
            <w:tcW w:w="1819" w:type="dxa"/>
            <w:tcBorders>
              <w:top w:val="none" w:sz="0" w:space="0" w:color="FFFFFF"/>
              <w:left w:val="none" w:sz="0" w:space="0" w:color="FFFFFF"/>
              <w:bottom w:val="none" w:sz="0" w:space="0" w:color="FFFFFF"/>
              <w:right w:val="none" w:sz="0" w:space="0" w:color="FFFFFF"/>
            </w:tcBorders>
          </w:tcPr>
          <w:p w14:paraId="3DDE2221" w14:textId="77777777" w:rsidR="00E91697" w:rsidRDefault="00000000">
            <w:pPr>
              <w:spacing w:before="20" w:after="20"/>
              <w:jc w:val="center"/>
            </w:pPr>
            <w:r>
              <w:rPr>
                <w:sz w:val="20"/>
                <w:szCs w:val="20"/>
              </w:rPr>
              <w:t>+0.07 [-0.56, +2.31]</w:t>
            </w:r>
          </w:p>
        </w:tc>
        <w:tc>
          <w:tcPr>
            <w:tcW w:w="334" w:type="dxa"/>
            <w:tcBorders>
              <w:top w:val="none" w:sz="0" w:space="0" w:color="FFFFFF"/>
              <w:left w:val="none" w:sz="0" w:space="0" w:color="FFFFFF"/>
              <w:bottom w:val="none" w:sz="0" w:space="0" w:color="FFFFFF"/>
              <w:right w:val="none" w:sz="0" w:space="0" w:color="FFFFFF"/>
            </w:tcBorders>
          </w:tcPr>
          <w:p w14:paraId="0DD02BFA" w14:textId="77777777" w:rsidR="00E91697" w:rsidRDefault="00E91697">
            <w:pPr>
              <w:spacing w:before="20" w:after="20"/>
              <w:jc w:val="center"/>
            </w:pPr>
          </w:p>
        </w:tc>
      </w:tr>
      <w:tr w:rsidR="00E91697" w14:paraId="32BA2C2D"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09E9AF5D" w14:textId="77777777" w:rsidR="00E91697" w:rsidRDefault="00000000">
            <w:pPr>
              <w:spacing w:before="20" w:after="20"/>
            </w:pPr>
            <w:r>
              <w:rPr>
                <w:sz w:val="20"/>
                <w:szCs w:val="20"/>
              </w:rPr>
              <w:t>q95</w:t>
            </w:r>
          </w:p>
        </w:tc>
        <w:tc>
          <w:tcPr>
            <w:tcW w:w="1076" w:type="dxa"/>
            <w:tcBorders>
              <w:top w:val="none" w:sz="0" w:space="0" w:color="FFFFFF"/>
              <w:left w:val="none" w:sz="0" w:space="0" w:color="FFFFFF"/>
              <w:bottom w:val="none" w:sz="0" w:space="0" w:color="FFFFFF"/>
              <w:right w:val="none" w:sz="0" w:space="0" w:color="FFFFFF"/>
            </w:tcBorders>
          </w:tcPr>
          <w:p w14:paraId="64F9495E" w14:textId="77777777" w:rsidR="00E91697" w:rsidRDefault="00000000">
            <w:pPr>
              <w:spacing w:before="20" w:after="20"/>
            </w:pPr>
            <w:r>
              <w:rPr>
                <w:sz w:val="20"/>
                <w:szCs w:val="20"/>
              </w:rPr>
              <w:t>direct quantile</w:t>
            </w:r>
          </w:p>
        </w:tc>
        <w:tc>
          <w:tcPr>
            <w:tcW w:w="1002" w:type="dxa"/>
            <w:tcBorders>
              <w:top w:val="none" w:sz="0" w:space="0" w:color="FFFFFF"/>
              <w:left w:val="none" w:sz="0" w:space="0" w:color="FFFFFF"/>
              <w:bottom w:val="none" w:sz="0" w:space="0" w:color="FFFFFF"/>
              <w:right w:val="none" w:sz="0" w:space="0" w:color="FFFFFF"/>
            </w:tcBorders>
          </w:tcPr>
          <w:p w14:paraId="4A807909"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3DB01899" w14:textId="77777777" w:rsidR="00E91697" w:rsidRDefault="00000000">
            <w:pPr>
              <w:spacing w:before="20" w:after="20"/>
              <w:jc w:val="center"/>
            </w:pPr>
            <w:r>
              <w:rPr>
                <w:sz w:val="20"/>
                <w:szCs w:val="20"/>
              </w:rPr>
              <w:t>-1.48 [-6.16, +2.00]</w:t>
            </w:r>
          </w:p>
        </w:tc>
        <w:tc>
          <w:tcPr>
            <w:tcW w:w="1819" w:type="dxa"/>
            <w:tcBorders>
              <w:top w:val="none" w:sz="0" w:space="0" w:color="FFFFFF"/>
              <w:left w:val="none" w:sz="0" w:space="0" w:color="FFFFFF"/>
              <w:bottom w:val="none" w:sz="0" w:space="0" w:color="FFFFFF"/>
              <w:right w:val="none" w:sz="0" w:space="0" w:color="FFFFFF"/>
            </w:tcBorders>
          </w:tcPr>
          <w:p w14:paraId="27AC869E" w14:textId="77777777" w:rsidR="00E91697" w:rsidRDefault="00000000">
            <w:pPr>
              <w:spacing w:before="20" w:after="20"/>
              <w:jc w:val="center"/>
            </w:pPr>
            <w:r>
              <w:rPr>
                <w:sz w:val="20"/>
                <w:szCs w:val="20"/>
              </w:rPr>
              <w:t>-1.30 [-3.50, +1.33]</w:t>
            </w:r>
          </w:p>
        </w:tc>
        <w:tc>
          <w:tcPr>
            <w:tcW w:w="1819" w:type="dxa"/>
            <w:tcBorders>
              <w:top w:val="none" w:sz="0" w:space="0" w:color="FFFFFF"/>
              <w:left w:val="none" w:sz="0" w:space="0" w:color="FFFFFF"/>
              <w:bottom w:val="none" w:sz="0" w:space="0" w:color="FFFFFF"/>
              <w:right w:val="none" w:sz="0" w:space="0" w:color="FFFFFF"/>
            </w:tcBorders>
          </w:tcPr>
          <w:p w14:paraId="20B5177E" w14:textId="77777777" w:rsidR="00E91697" w:rsidRDefault="00000000">
            <w:pPr>
              <w:spacing w:before="20" w:after="20"/>
              <w:jc w:val="center"/>
            </w:pPr>
            <w:r>
              <w:rPr>
                <w:sz w:val="20"/>
                <w:szCs w:val="20"/>
              </w:rPr>
              <w:t>-1.61 [-2.57, +1.33]</w:t>
            </w:r>
          </w:p>
        </w:tc>
        <w:tc>
          <w:tcPr>
            <w:tcW w:w="334" w:type="dxa"/>
            <w:tcBorders>
              <w:top w:val="none" w:sz="0" w:space="0" w:color="FFFFFF"/>
              <w:left w:val="none" w:sz="0" w:space="0" w:color="FFFFFF"/>
              <w:bottom w:val="none" w:sz="0" w:space="0" w:color="FFFFFF"/>
              <w:right w:val="none" w:sz="0" w:space="0" w:color="FFFFFF"/>
            </w:tcBorders>
          </w:tcPr>
          <w:p w14:paraId="5E530A2C" w14:textId="77777777" w:rsidR="00E91697" w:rsidRDefault="00000000">
            <w:pPr>
              <w:spacing w:before="20" w:after="20"/>
              <w:jc w:val="center"/>
            </w:pPr>
            <w:r>
              <w:rPr>
                <w:sz w:val="20"/>
                <w:szCs w:val="20"/>
              </w:rPr>
              <w:t>7</w:t>
            </w:r>
          </w:p>
        </w:tc>
      </w:tr>
      <w:tr w:rsidR="00E91697" w14:paraId="3BB9B7BC"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2B3D8D4B"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73625301"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1E17489F"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7E49CDF4" w14:textId="77777777" w:rsidR="00E91697" w:rsidRDefault="00000000">
            <w:pPr>
              <w:spacing w:before="20" w:after="20"/>
              <w:jc w:val="center"/>
            </w:pPr>
            <w:r>
              <w:rPr>
                <w:sz w:val="20"/>
                <w:szCs w:val="20"/>
              </w:rPr>
              <w:t>+0.32 [-2.86, +1.14]</w:t>
            </w:r>
          </w:p>
        </w:tc>
        <w:tc>
          <w:tcPr>
            <w:tcW w:w="1819" w:type="dxa"/>
            <w:tcBorders>
              <w:top w:val="none" w:sz="0" w:space="0" w:color="FFFFFF"/>
              <w:left w:val="none" w:sz="0" w:space="0" w:color="FFFFFF"/>
              <w:bottom w:val="none" w:sz="0" w:space="0" w:color="FFFFFF"/>
              <w:right w:val="none" w:sz="0" w:space="0" w:color="FFFFFF"/>
            </w:tcBorders>
          </w:tcPr>
          <w:p w14:paraId="706F13CE" w14:textId="77777777" w:rsidR="00E91697" w:rsidRDefault="00000000">
            <w:pPr>
              <w:spacing w:before="20" w:after="20"/>
              <w:jc w:val="center"/>
            </w:pPr>
            <w:r>
              <w:rPr>
                <w:sz w:val="20"/>
                <w:szCs w:val="20"/>
              </w:rPr>
              <w:t>-0.44 [-2.40, +3.24]</w:t>
            </w:r>
          </w:p>
        </w:tc>
        <w:tc>
          <w:tcPr>
            <w:tcW w:w="1819" w:type="dxa"/>
            <w:tcBorders>
              <w:top w:val="none" w:sz="0" w:space="0" w:color="FFFFFF"/>
              <w:left w:val="none" w:sz="0" w:space="0" w:color="FFFFFF"/>
              <w:bottom w:val="none" w:sz="0" w:space="0" w:color="FFFFFF"/>
              <w:right w:val="none" w:sz="0" w:space="0" w:color="FFFFFF"/>
            </w:tcBorders>
          </w:tcPr>
          <w:p w14:paraId="7057C3F0" w14:textId="77777777" w:rsidR="00E91697" w:rsidRDefault="00000000">
            <w:pPr>
              <w:spacing w:before="20" w:after="20"/>
              <w:jc w:val="center"/>
            </w:pPr>
            <w:r>
              <w:rPr>
                <w:sz w:val="20"/>
                <w:szCs w:val="20"/>
              </w:rPr>
              <w:t>-1.09 [-3.27, +3.08]</w:t>
            </w:r>
          </w:p>
        </w:tc>
        <w:tc>
          <w:tcPr>
            <w:tcW w:w="334" w:type="dxa"/>
            <w:tcBorders>
              <w:top w:val="none" w:sz="0" w:space="0" w:color="FFFFFF"/>
              <w:left w:val="none" w:sz="0" w:space="0" w:color="FFFFFF"/>
              <w:bottom w:val="none" w:sz="0" w:space="0" w:color="FFFFFF"/>
              <w:right w:val="none" w:sz="0" w:space="0" w:color="FFFFFF"/>
            </w:tcBorders>
          </w:tcPr>
          <w:p w14:paraId="7204C2FF" w14:textId="77777777" w:rsidR="00E91697" w:rsidRDefault="00E91697">
            <w:pPr>
              <w:spacing w:before="20" w:after="20"/>
              <w:jc w:val="center"/>
            </w:pPr>
          </w:p>
        </w:tc>
      </w:tr>
      <w:tr w:rsidR="00E91697" w14:paraId="3B39A5F7"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5ECA6DF4" w14:textId="77777777" w:rsidR="00E91697" w:rsidRDefault="00000000">
            <w:pPr>
              <w:spacing w:before="20" w:after="20"/>
            </w:pPr>
            <w:r>
              <w:rPr>
                <w:sz w:val="20"/>
                <w:szCs w:val="20"/>
              </w:rPr>
              <w:t>q99</w:t>
            </w:r>
          </w:p>
        </w:tc>
        <w:tc>
          <w:tcPr>
            <w:tcW w:w="1076" w:type="dxa"/>
            <w:tcBorders>
              <w:top w:val="none" w:sz="0" w:space="0" w:color="FFFFFF"/>
              <w:left w:val="none" w:sz="0" w:space="0" w:color="FFFFFF"/>
              <w:bottom w:val="none" w:sz="0" w:space="0" w:color="FFFFFF"/>
              <w:right w:val="none" w:sz="0" w:space="0" w:color="FFFFFF"/>
            </w:tcBorders>
          </w:tcPr>
          <w:p w14:paraId="16E90E7F" w14:textId="77777777" w:rsidR="00E91697" w:rsidRDefault="00000000">
            <w:pPr>
              <w:spacing w:before="20" w:after="20"/>
            </w:pPr>
            <w:r>
              <w:rPr>
                <w:sz w:val="20"/>
                <w:szCs w:val="20"/>
              </w:rPr>
              <w:t>direct quantile</w:t>
            </w:r>
          </w:p>
        </w:tc>
        <w:tc>
          <w:tcPr>
            <w:tcW w:w="1002" w:type="dxa"/>
            <w:tcBorders>
              <w:top w:val="none" w:sz="0" w:space="0" w:color="FFFFFF"/>
              <w:left w:val="none" w:sz="0" w:space="0" w:color="FFFFFF"/>
              <w:bottom w:val="none" w:sz="0" w:space="0" w:color="FFFFFF"/>
              <w:right w:val="none" w:sz="0" w:space="0" w:color="FFFFFF"/>
            </w:tcBorders>
          </w:tcPr>
          <w:p w14:paraId="05DDE459"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2C8DE561" w14:textId="77777777" w:rsidR="00E91697" w:rsidRDefault="00000000">
            <w:pPr>
              <w:spacing w:before="20" w:after="20"/>
              <w:jc w:val="center"/>
            </w:pPr>
            <w:r>
              <w:rPr>
                <w:sz w:val="20"/>
                <w:szCs w:val="20"/>
              </w:rPr>
              <w:t>+3.49 [-0.50, +4.55]</w:t>
            </w:r>
          </w:p>
        </w:tc>
        <w:tc>
          <w:tcPr>
            <w:tcW w:w="1819" w:type="dxa"/>
            <w:tcBorders>
              <w:top w:val="none" w:sz="0" w:space="0" w:color="FFFFFF"/>
              <w:left w:val="none" w:sz="0" w:space="0" w:color="FFFFFF"/>
              <w:bottom w:val="none" w:sz="0" w:space="0" w:color="FFFFFF"/>
              <w:right w:val="none" w:sz="0" w:space="0" w:color="FFFFFF"/>
            </w:tcBorders>
          </w:tcPr>
          <w:p w14:paraId="5AA572CF" w14:textId="77777777" w:rsidR="00E91697" w:rsidRDefault="00000000">
            <w:pPr>
              <w:spacing w:before="20" w:after="20"/>
              <w:jc w:val="center"/>
            </w:pPr>
            <w:r>
              <w:rPr>
                <w:sz w:val="20"/>
                <w:szCs w:val="20"/>
              </w:rPr>
              <w:t>+0.39 [-2.37, +1.78]</w:t>
            </w:r>
          </w:p>
        </w:tc>
        <w:tc>
          <w:tcPr>
            <w:tcW w:w="1819" w:type="dxa"/>
            <w:tcBorders>
              <w:top w:val="none" w:sz="0" w:space="0" w:color="FFFFFF"/>
              <w:left w:val="none" w:sz="0" w:space="0" w:color="FFFFFF"/>
              <w:bottom w:val="none" w:sz="0" w:space="0" w:color="FFFFFF"/>
              <w:right w:val="none" w:sz="0" w:space="0" w:color="FFFFFF"/>
            </w:tcBorders>
          </w:tcPr>
          <w:p w14:paraId="18324E5C" w14:textId="77777777" w:rsidR="00E91697" w:rsidRDefault="00000000">
            <w:pPr>
              <w:spacing w:before="20" w:after="20"/>
              <w:jc w:val="center"/>
            </w:pPr>
            <w:r>
              <w:rPr>
                <w:sz w:val="20"/>
                <w:szCs w:val="20"/>
              </w:rPr>
              <w:t>-2.77 [-4.02, +1.81]</w:t>
            </w:r>
          </w:p>
        </w:tc>
        <w:tc>
          <w:tcPr>
            <w:tcW w:w="334" w:type="dxa"/>
            <w:tcBorders>
              <w:top w:val="none" w:sz="0" w:space="0" w:color="FFFFFF"/>
              <w:left w:val="none" w:sz="0" w:space="0" w:color="FFFFFF"/>
              <w:bottom w:val="none" w:sz="0" w:space="0" w:color="FFFFFF"/>
              <w:right w:val="none" w:sz="0" w:space="0" w:color="FFFFFF"/>
            </w:tcBorders>
          </w:tcPr>
          <w:p w14:paraId="5CF4ED1F" w14:textId="77777777" w:rsidR="00E91697" w:rsidRDefault="00000000">
            <w:pPr>
              <w:spacing w:before="20" w:after="20"/>
              <w:jc w:val="center"/>
            </w:pPr>
            <w:r>
              <w:rPr>
                <w:sz w:val="20"/>
                <w:szCs w:val="20"/>
              </w:rPr>
              <w:t>7</w:t>
            </w:r>
          </w:p>
        </w:tc>
      </w:tr>
      <w:tr w:rsidR="00E91697" w14:paraId="560BD76A" w14:textId="77777777">
        <w:tblPrEx>
          <w:tblCellMar>
            <w:top w:w="0" w:type="dxa"/>
            <w:bottom w:w="0" w:type="dxa"/>
          </w:tblCellMar>
        </w:tblPrEx>
        <w:tc>
          <w:tcPr>
            <w:tcW w:w="1151" w:type="dxa"/>
            <w:tcBorders>
              <w:top w:val="none" w:sz="0" w:space="0" w:color="FFFFFF"/>
              <w:left w:val="none" w:sz="0" w:space="0" w:color="FFFFFF"/>
              <w:bottom w:val="single" w:sz="6" w:space="0" w:color="000000"/>
              <w:right w:val="none" w:sz="0" w:space="0" w:color="FFFFFF"/>
            </w:tcBorders>
          </w:tcPr>
          <w:p w14:paraId="2DA0B731" w14:textId="77777777" w:rsidR="00E91697" w:rsidRDefault="00E91697">
            <w:pPr>
              <w:spacing w:before="20" w:after="20"/>
            </w:pPr>
          </w:p>
        </w:tc>
        <w:tc>
          <w:tcPr>
            <w:tcW w:w="1076" w:type="dxa"/>
            <w:tcBorders>
              <w:top w:val="none" w:sz="0" w:space="0" w:color="FFFFFF"/>
              <w:left w:val="none" w:sz="0" w:space="0" w:color="FFFFFF"/>
              <w:bottom w:val="single" w:sz="6" w:space="0" w:color="000000"/>
              <w:right w:val="none" w:sz="0" w:space="0" w:color="FFFFFF"/>
            </w:tcBorders>
          </w:tcPr>
          <w:p w14:paraId="09A0B110" w14:textId="77777777" w:rsidR="00E91697" w:rsidRDefault="00E91697">
            <w:pPr>
              <w:spacing w:before="20" w:after="20"/>
            </w:pPr>
          </w:p>
        </w:tc>
        <w:tc>
          <w:tcPr>
            <w:tcW w:w="1002" w:type="dxa"/>
            <w:tcBorders>
              <w:top w:val="none" w:sz="0" w:space="0" w:color="FFFFFF"/>
              <w:left w:val="none" w:sz="0" w:space="0" w:color="FFFFFF"/>
              <w:bottom w:val="single" w:sz="6" w:space="0" w:color="000000"/>
              <w:right w:val="none" w:sz="0" w:space="0" w:color="FFFFFF"/>
            </w:tcBorders>
          </w:tcPr>
          <w:p w14:paraId="74B5799E"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single" w:sz="6" w:space="0" w:color="000000"/>
              <w:right w:val="none" w:sz="0" w:space="0" w:color="FFFFFF"/>
            </w:tcBorders>
          </w:tcPr>
          <w:p w14:paraId="71079530" w14:textId="77777777" w:rsidR="00E91697" w:rsidRDefault="00000000">
            <w:pPr>
              <w:spacing w:before="20" w:after="20"/>
              <w:jc w:val="center"/>
            </w:pPr>
            <w:r>
              <w:rPr>
                <w:sz w:val="20"/>
                <w:szCs w:val="20"/>
              </w:rPr>
              <w:t>+3.62 [+1.52, +8.90]</w:t>
            </w:r>
          </w:p>
        </w:tc>
        <w:tc>
          <w:tcPr>
            <w:tcW w:w="1819" w:type="dxa"/>
            <w:tcBorders>
              <w:top w:val="none" w:sz="0" w:space="0" w:color="FFFFFF"/>
              <w:left w:val="none" w:sz="0" w:space="0" w:color="FFFFFF"/>
              <w:bottom w:val="single" w:sz="6" w:space="0" w:color="000000"/>
              <w:right w:val="none" w:sz="0" w:space="0" w:color="FFFFFF"/>
            </w:tcBorders>
          </w:tcPr>
          <w:p w14:paraId="4AF336C4" w14:textId="77777777" w:rsidR="00E91697" w:rsidRDefault="00000000">
            <w:pPr>
              <w:spacing w:before="20" w:after="20"/>
              <w:jc w:val="center"/>
            </w:pPr>
            <w:r>
              <w:rPr>
                <w:sz w:val="20"/>
                <w:szCs w:val="20"/>
              </w:rPr>
              <w:t>+4.63 [+1.93, +5.70]</w:t>
            </w:r>
          </w:p>
        </w:tc>
        <w:tc>
          <w:tcPr>
            <w:tcW w:w="1819" w:type="dxa"/>
            <w:tcBorders>
              <w:top w:val="none" w:sz="0" w:space="0" w:color="FFFFFF"/>
              <w:left w:val="none" w:sz="0" w:space="0" w:color="FFFFFF"/>
              <w:bottom w:val="single" w:sz="6" w:space="0" w:color="000000"/>
              <w:right w:val="none" w:sz="0" w:space="0" w:color="FFFFFF"/>
            </w:tcBorders>
          </w:tcPr>
          <w:p w14:paraId="6F88DF6E" w14:textId="77777777" w:rsidR="00E91697" w:rsidRDefault="00000000">
            <w:pPr>
              <w:spacing w:before="20" w:after="20"/>
              <w:jc w:val="center"/>
            </w:pPr>
            <w:r>
              <w:rPr>
                <w:sz w:val="20"/>
                <w:szCs w:val="20"/>
              </w:rPr>
              <w:t>+0.14 [-0.11, +2.78]</w:t>
            </w:r>
          </w:p>
        </w:tc>
        <w:tc>
          <w:tcPr>
            <w:tcW w:w="334" w:type="dxa"/>
            <w:tcBorders>
              <w:top w:val="none" w:sz="0" w:space="0" w:color="FFFFFF"/>
              <w:left w:val="none" w:sz="0" w:space="0" w:color="FFFFFF"/>
              <w:bottom w:val="single" w:sz="6" w:space="0" w:color="000000"/>
              <w:right w:val="none" w:sz="0" w:space="0" w:color="FFFFFF"/>
            </w:tcBorders>
          </w:tcPr>
          <w:p w14:paraId="70F0842E" w14:textId="77777777" w:rsidR="00E91697" w:rsidRDefault="00E91697">
            <w:pPr>
              <w:spacing w:before="20" w:after="20"/>
              <w:jc w:val="center"/>
            </w:pPr>
          </w:p>
        </w:tc>
      </w:tr>
    </w:tbl>
    <w:p w14:paraId="1F53DD58" w14:textId="77777777" w:rsidR="00E91697" w:rsidRDefault="00000000">
      <w:pPr>
        <w:keepNext/>
        <w:spacing w:before="60" w:after="20"/>
        <w:jc w:val="center"/>
      </w:pPr>
      <w:r>
        <w:rPr>
          <w:noProof/>
        </w:rPr>
        <w:lastRenderedPageBreak/>
        <w:drawing>
          <wp:inline distT="0" distB="0" distL="0" distR="0" wp14:anchorId="4C93556D" wp14:editId="4B410EDD">
            <wp:extent cx="4648200" cy="5067300"/>
            <wp:effectExtent l="0" t="0" r="0" b="0"/>
            <wp:docPr id="1318315916" name="รูปภาพ 1318315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48200" cy="5067300"/>
                    </a:xfrm>
                    <a:prstGeom prst="rect">
                      <a:avLst/>
                    </a:prstGeom>
                  </pic:spPr>
                </pic:pic>
              </a:graphicData>
            </a:graphic>
          </wp:inline>
        </w:drawing>
      </w:r>
    </w:p>
    <w:p w14:paraId="6F5F38A8" w14:textId="77777777" w:rsidR="00E91697" w:rsidRDefault="00000000">
      <w:pPr>
        <w:keepLines/>
        <w:spacing w:before="40" w:after="80"/>
      </w:pPr>
      <w:r>
        <w:rPr>
          <w:b/>
          <w:bCs/>
          <w:sz w:val="20"/>
          <w:szCs w:val="20"/>
        </w:rPr>
        <w:t>Figure 4</w:t>
      </w:r>
      <w:r>
        <w:rPr>
          <w:sz w:val="20"/>
          <w:szCs w:val="20"/>
        </w:rPr>
        <w:t xml:space="preserve"> Signal-preservation error for 2021-2050 relative to the 1985-2004 baseline of the same model and method: (a) bulk statistics and (b) wet-day quantiles, each with the two scenarios side by side on a shared vertical scale. Bars are the ensemble median across the seven climate models and whiskers the inter-model interquartile range, a measure of spread and not a confidence interval; both follow Eq. (8). A value of zero means the raw model signal was reproduced exactly.</w:t>
      </w:r>
    </w:p>
    <w:p w14:paraId="330D6E02" w14:textId="77777777" w:rsidR="00E91697" w:rsidRDefault="00000000">
      <w:pPr>
        <w:keepNext/>
        <w:spacing w:before="100" w:after="20" w:line="480" w:lineRule="auto"/>
      </w:pPr>
      <w:r>
        <w:rPr>
          <w:i/>
          <w:iCs/>
        </w:rPr>
        <w:t>3.5 Preservation of extreme-rainfall signals</w:t>
      </w:r>
    </w:p>
    <w:p w14:paraId="254208A3" w14:textId="77777777" w:rsidR="00E91697" w:rsidRDefault="00000000">
      <w:pPr>
        <w:spacing w:line="480" w:lineRule="auto"/>
        <w:ind w:firstLine="360"/>
        <w:jc w:val="both"/>
      </w:pPr>
      <w:r>
        <w:t xml:space="preserve">Errors were larger and the method contrasts wider for the derived extreme indices than for the direct quantiles (Table 2, Figure 5). The largest median error of the study was +24.94% for R99p under QDM in SSP2-4.5, against +6.95% for QM/EQM and +9.05% for </w:t>
      </w:r>
      <w:proofErr w:type="spellStart"/>
      <w:r>
        <w:t>DetQM</w:t>
      </w:r>
      <w:proofErr w:type="spellEnd"/>
      <w:r>
        <w:t>; under SSP5-8.5 the same index gave +15.83%, +20.06% and +9.19%, with QDM now the smallest of the three. For the frequency of days above 50 mm the medians were +1.12%, −5.52% and −17.14% in SSP2-4.5 and +5.90%, +2.57% and +11.46% in SSP5-8.5.</w:t>
      </w:r>
    </w:p>
    <w:p w14:paraId="71521ABF" w14:textId="77777777" w:rsidR="00E91697" w:rsidRDefault="00000000">
      <w:pPr>
        <w:spacing w:line="480" w:lineRule="auto"/>
        <w:ind w:firstLine="360"/>
        <w:jc w:val="both"/>
      </w:pPr>
      <w:r>
        <w:lastRenderedPageBreak/>
        <w:t xml:space="preserve">The spread between the best and the worst method </w:t>
      </w:r>
      <w:proofErr w:type="spellStart"/>
      <w:r>
        <w:t>summarises</w:t>
      </w:r>
      <w:proofErr w:type="spellEnd"/>
      <w:r>
        <w:t xml:space="preserve"> how much the choice matters: 0.67 percentage points for annual precipitation in SSP2-4.5 against 18.26 for the frequency of days above 50 mm and 17.99 for R99p. Method-related differences are therefore substantially larger for several derived extreme indices than for the bulk statistics.</w:t>
      </w:r>
    </w:p>
    <w:p w14:paraId="75D900CD" w14:textId="77777777" w:rsidR="00E91697" w:rsidRDefault="00000000">
      <w:pPr>
        <w:spacing w:line="480" w:lineRule="auto"/>
        <w:ind w:firstLine="360"/>
        <w:jc w:val="both"/>
      </w:pPr>
      <w:r>
        <w:t xml:space="preserve">The method with the smallest absolute error for a direct quantile is not systematically the method with the smallest error for the indices derived from it. Under SSP2-4.5, QDM gave a median error of −2.77% at q99 yet +24.94% at R99p, the largest departure of any index and method in the study; under SSP5-8.5 the ordering reversed, QDM being smallest at both q99 and R99p. Preservation of a direct quantile signal and preservation of a derived threshold or tail index are separate properties, and the Nan results answer that question in the negative as the companion study did. </w:t>
      </w:r>
      <w:proofErr w:type="spellStart"/>
      <w:r>
        <w:t>Padulano</w:t>
      </w:r>
      <w:proofErr w:type="spellEnd"/>
      <w:r>
        <w:t xml:space="preserve"> et al. [20] reported the same for extreme rainfall, finding that the error of a quantile-based correction depends not only on the technique but on the magnitude and direction of the underlying bias and signal, and evidence from southern Africa likewise shows that the choice of quantile-mapping variant materially influences projected heavy precipitation and consecutive dry-day characteristics [21].</w:t>
      </w:r>
    </w:p>
    <w:p w14:paraId="2100BC93" w14:textId="77777777" w:rsidR="00E91697" w:rsidRDefault="00000000">
      <w:pPr>
        <w:spacing w:line="480" w:lineRule="auto"/>
        <w:ind w:firstLine="360"/>
        <w:jc w:val="both"/>
      </w:pPr>
      <w:r>
        <w:t xml:space="preserve">Across the sixteen indices, the smallest absolute error was returned by QDM in 14 of the 32 scenario-index combinations, by QM/EQM in 9 and by </w:t>
      </w:r>
      <w:proofErr w:type="spellStart"/>
      <w:r>
        <w:t>DetQM</w:t>
      </w:r>
      <w:proofErr w:type="spellEnd"/>
      <w:r>
        <w:t xml:space="preserve"> in 9, and the method with the smallest error was the same in both scenarios for only seven of the sixteen indices. A ranking established under one forcing pathway therefore transfers to the other for fewer than half of the indices examined.</w:t>
      </w:r>
    </w:p>
    <w:p w14:paraId="344F0FDF" w14:textId="77777777" w:rsidR="00E91697" w:rsidRDefault="00000000">
      <w:pPr>
        <w:keepNext/>
        <w:keepLines/>
        <w:spacing w:before="40" w:after="60"/>
      </w:pPr>
      <w:r>
        <w:rPr>
          <w:b/>
          <w:bCs/>
          <w:sz w:val="20"/>
          <w:szCs w:val="20"/>
        </w:rPr>
        <w:t>Table 2</w:t>
      </w:r>
      <w:r>
        <w:rPr>
          <w:sz w:val="20"/>
          <w:szCs w:val="20"/>
        </w:rPr>
        <w:t xml:space="preserve"> Climate-signal preservation for derived extreme-rainfall indices. Format and estimator as Table 1. The Type column records how each index is constructed.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1076"/>
        <w:gridCol w:w="1002"/>
        <w:gridCol w:w="1819"/>
        <w:gridCol w:w="1819"/>
        <w:gridCol w:w="1819"/>
        <w:gridCol w:w="334"/>
      </w:tblGrid>
      <w:tr w:rsidR="00E91697" w14:paraId="1050A7AC" w14:textId="77777777">
        <w:tblPrEx>
          <w:tblCellMar>
            <w:top w:w="0" w:type="dxa"/>
            <w:bottom w:w="0" w:type="dxa"/>
          </w:tblCellMar>
        </w:tblPrEx>
        <w:trPr>
          <w:tblHeader/>
        </w:trPr>
        <w:tc>
          <w:tcPr>
            <w:tcW w:w="1151" w:type="dxa"/>
            <w:tcBorders>
              <w:top w:val="single" w:sz="6" w:space="0" w:color="000000"/>
              <w:left w:val="none" w:sz="0" w:space="0" w:color="FFFFFF"/>
              <w:bottom w:val="single" w:sz="6" w:space="0" w:color="000000"/>
              <w:right w:val="none" w:sz="0" w:space="0" w:color="FFFFFF"/>
            </w:tcBorders>
            <w:shd w:val="clear" w:color="auto" w:fill="FFFFFF"/>
          </w:tcPr>
          <w:p w14:paraId="5820A7E4" w14:textId="77777777" w:rsidR="00E91697" w:rsidRDefault="00000000">
            <w:pPr>
              <w:spacing w:before="20" w:after="20"/>
            </w:pPr>
            <w:r>
              <w:rPr>
                <w:b/>
                <w:bCs/>
                <w:sz w:val="20"/>
                <w:szCs w:val="20"/>
              </w:rPr>
              <w:t>Index</w:t>
            </w:r>
          </w:p>
        </w:tc>
        <w:tc>
          <w:tcPr>
            <w:tcW w:w="1076" w:type="dxa"/>
            <w:tcBorders>
              <w:top w:val="single" w:sz="6" w:space="0" w:color="000000"/>
              <w:left w:val="none" w:sz="0" w:space="0" w:color="FFFFFF"/>
              <w:bottom w:val="single" w:sz="6" w:space="0" w:color="000000"/>
              <w:right w:val="none" w:sz="0" w:space="0" w:color="FFFFFF"/>
            </w:tcBorders>
            <w:shd w:val="clear" w:color="auto" w:fill="FFFFFF"/>
          </w:tcPr>
          <w:p w14:paraId="77D5B369" w14:textId="77777777" w:rsidR="00E91697" w:rsidRDefault="00000000">
            <w:pPr>
              <w:spacing w:before="20" w:after="20"/>
            </w:pPr>
            <w:r>
              <w:rPr>
                <w:b/>
                <w:bCs/>
                <w:sz w:val="20"/>
                <w:szCs w:val="20"/>
              </w:rPr>
              <w:t>Type</w:t>
            </w:r>
          </w:p>
        </w:tc>
        <w:tc>
          <w:tcPr>
            <w:tcW w:w="1002" w:type="dxa"/>
            <w:tcBorders>
              <w:top w:val="single" w:sz="6" w:space="0" w:color="000000"/>
              <w:left w:val="none" w:sz="0" w:space="0" w:color="FFFFFF"/>
              <w:bottom w:val="single" w:sz="6" w:space="0" w:color="000000"/>
              <w:right w:val="none" w:sz="0" w:space="0" w:color="FFFFFF"/>
            </w:tcBorders>
            <w:shd w:val="clear" w:color="auto" w:fill="FFFFFF"/>
          </w:tcPr>
          <w:p w14:paraId="5C50BE53" w14:textId="77777777" w:rsidR="00E91697" w:rsidRDefault="00000000">
            <w:pPr>
              <w:spacing w:before="20" w:after="20"/>
            </w:pPr>
            <w:r>
              <w:rPr>
                <w:b/>
                <w:bCs/>
                <w:sz w:val="20"/>
                <w:szCs w:val="20"/>
              </w:rPr>
              <w:t>Scenario</w:t>
            </w:r>
          </w:p>
        </w:tc>
        <w:tc>
          <w:tcPr>
            <w:tcW w:w="1819" w:type="dxa"/>
            <w:tcBorders>
              <w:top w:val="single" w:sz="6" w:space="0" w:color="000000"/>
              <w:left w:val="none" w:sz="0" w:space="0" w:color="FFFFFF"/>
              <w:bottom w:val="single" w:sz="6" w:space="0" w:color="000000"/>
              <w:right w:val="none" w:sz="0" w:space="0" w:color="FFFFFF"/>
            </w:tcBorders>
            <w:shd w:val="clear" w:color="auto" w:fill="FFFFFF"/>
          </w:tcPr>
          <w:p w14:paraId="20A267AC" w14:textId="77777777" w:rsidR="00E91697" w:rsidRDefault="00000000">
            <w:pPr>
              <w:spacing w:before="20" w:after="20"/>
              <w:jc w:val="center"/>
            </w:pPr>
            <w:r>
              <w:rPr>
                <w:b/>
                <w:bCs/>
                <w:sz w:val="20"/>
                <w:szCs w:val="20"/>
              </w:rPr>
              <w:t>QM/EQM</w:t>
            </w:r>
          </w:p>
        </w:tc>
        <w:tc>
          <w:tcPr>
            <w:tcW w:w="1819" w:type="dxa"/>
            <w:tcBorders>
              <w:top w:val="single" w:sz="6" w:space="0" w:color="000000"/>
              <w:left w:val="none" w:sz="0" w:space="0" w:color="FFFFFF"/>
              <w:bottom w:val="single" w:sz="6" w:space="0" w:color="000000"/>
              <w:right w:val="none" w:sz="0" w:space="0" w:color="FFFFFF"/>
            </w:tcBorders>
            <w:shd w:val="clear" w:color="auto" w:fill="FFFFFF"/>
          </w:tcPr>
          <w:p w14:paraId="116FEC15" w14:textId="77777777" w:rsidR="00E91697" w:rsidRDefault="00000000">
            <w:pPr>
              <w:spacing w:before="20" w:after="20"/>
              <w:jc w:val="center"/>
            </w:pPr>
            <w:proofErr w:type="spellStart"/>
            <w:r>
              <w:rPr>
                <w:b/>
                <w:bCs/>
                <w:sz w:val="20"/>
                <w:szCs w:val="20"/>
              </w:rPr>
              <w:t>DetQM</w:t>
            </w:r>
            <w:proofErr w:type="spellEnd"/>
          </w:p>
        </w:tc>
        <w:tc>
          <w:tcPr>
            <w:tcW w:w="1819" w:type="dxa"/>
            <w:tcBorders>
              <w:top w:val="single" w:sz="6" w:space="0" w:color="000000"/>
              <w:left w:val="none" w:sz="0" w:space="0" w:color="FFFFFF"/>
              <w:bottom w:val="single" w:sz="6" w:space="0" w:color="000000"/>
              <w:right w:val="none" w:sz="0" w:space="0" w:color="FFFFFF"/>
            </w:tcBorders>
            <w:shd w:val="clear" w:color="auto" w:fill="FFFFFF"/>
          </w:tcPr>
          <w:p w14:paraId="0DC096C2" w14:textId="77777777" w:rsidR="00E91697" w:rsidRDefault="00000000">
            <w:pPr>
              <w:spacing w:before="20" w:after="20"/>
              <w:jc w:val="center"/>
            </w:pPr>
            <w:r>
              <w:rPr>
                <w:b/>
                <w:bCs/>
                <w:sz w:val="20"/>
                <w:szCs w:val="20"/>
              </w:rPr>
              <w:t>QDM</w:t>
            </w:r>
          </w:p>
        </w:tc>
        <w:tc>
          <w:tcPr>
            <w:tcW w:w="334" w:type="dxa"/>
            <w:tcBorders>
              <w:top w:val="single" w:sz="6" w:space="0" w:color="000000"/>
              <w:left w:val="none" w:sz="0" w:space="0" w:color="FFFFFF"/>
              <w:bottom w:val="single" w:sz="6" w:space="0" w:color="000000"/>
              <w:right w:val="none" w:sz="0" w:space="0" w:color="FFFFFF"/>
            </w:tcBorders>
            <w:shd w:val="clear" w:color="auto" w:fill="FFFFFF"/>
          </w:tcPr>
          <w:p w14:paraId="30643BA3" w14:textId="77777777" w:rsidR="00E91697" w:rsidRDefault="00000000">
            <w:pPr>
              <w:spacing w:before="20" w:after="20"/>
              <w:jc w:val="center"/>
            </w:pPr>
            <w:r>
              <w:rPr>
                <w:b/>
                <w:bCs/>
                <w:sz w:val="20"/>
                <w:szCs w:val="20"/>
              </w:rPr>
              <w:t>n</w:t>
            </w:r>
          </w:p>
        </w:tc>
      </w:tr>
      <w:tr w:rsidR="00E91697" w14:paraId="3FFE557E"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013D2198" w14:textId="77777777" w:rsidR="00E91697" w:rsidRDefault="00000000">
            <w:pPr>
              <w:spacing w:before="20" w:after="20"/>
            </w:pPr>
            <w:r>
              <w:rPr>
                <w:sz w:val="20"/>
                <w:szCs w:val="20"/>
              </w:rPr>
              <w:t>Rx1day</w:t>
            </w:r>
          </w:p>
        </w:tc>
        <w:tc>
          <w:tcPr>
            <w:tcW w:w="1076" w:type="dxa"/>
            <w:tcBorders>
              <w:top w:val="none" w:sz="0" w:space="0" w:color="FFFFFF"/>
              <w:left w:val="none" w:sz="0" w:space="0" w:color="FFFFFF"/>
              <w:bottom w:val="none" w:sz="0" w:space="0" w:color="FFFFFF"/>
              <w:right w:val="none" w:sz="0" w:space="0" w:color="FFFFFF"/>
            </w:tcBorders>
          </w:tcPr>
          <w:p w14:paraId="213E68DC" w14:textId="77777777" w:rsidR="00E91697" w:rsidRDefault="00000000">
            <w:pPr>
              <w:spacing w:before="20" w:after="20"/>
            </w:pPr>
            <w:r>
              <w:rPr>
                <w:sz w:val="20"/>
                <w:szCs w:val="20"/>
              </w:rPr>
              <w:t>derived extreme</w:t>
            </w:r>
          </w:p>
        </w:tc>
        <w:tc>
          <w:tcPr>
            <w:tcW w:w="1002" w:type="dxa"/>
            <w:tcBorders>
              <w:top w:val="none" w:sz="0" w:space="0" w:color="FFFFFF"/>
              <w:left w:val="none" w:sz="0" w:space="0" w:color="FFFFFF"/>
              <w:bottom w:val="none" w:sz="0" w:space="0" w:color="FFFFFF"/>
              <w:right w:val="none" w:sz="0" w:space="0" w:color="FFFFFF"/>
            </w:tcBorders>
          </w:tcPr>
          <w:p w14:paraId="724992F1"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0B9716C9" w14:textId="77777777" w:rsidR="00E91697" w:rsidRDefault="00000000">
            <w:pPr>
              <w:spacing w:before="20" w:after="20"/>
              <w:jc w:val="center"/>
            </w:pPr>
            <w:r>
              <w:rPr>
                <w:sz w:val="20"/>
                <w:szCs w:val="20"/>
              </w:rPr>
              <w:t>+3.91 [-0.43, +9.76]</w:t>
            </w:r>
          </w:p>
        </w:tc>
        <w:tc>
          <w:tcPr>
            <w:tcW w:w="1819" w:type="dxa"/>
            <w:tcBorders>
              <w:top w:val="none" w:sz="0" w:space="0" w:color="FFFFFF"/>
              <w:left w:val="none" w:sz="0" w:space="0" w:color="FFFFFF"/>
              <w:bottom w:val="none" w:sz="0" w:space="0" w:color="FFFFFF"/>
              <w:right w:val="none" w:sz="0" w:space="0" w:color="FFFFFF"/>
            </w:tcBorders>
          </w:tcPr>
          <w:p w14:paraId="3E51D631" w14:textId="77777777" w:rsidR="00E91697" w:rsidRDefault="00000000">
            <w:pPr>
              <w:spacing w:before="20" w:after="20"/>
              <w:jc w:val="center"/>
            </w:pPr>
            <w:r>
              <w:rPr>
                <w:sz w:val="20"/>
                <w:szCs w:val="20"/>
              </w:rPr>
              <w:t>+1.43 [-1.25, +9.85]</w:t>
            </w:r>
          </w:p>
        </w:tc>
        <w:tc>
          <w:tcPr>
            <w:tcW w:w="1819" w:type="dxa"/>
            <w:tcBorders>
              <w:top w:val="none" w:sz="0" w:space="0" w:color="FFFFFF"/>
              <w:left w:val="none" w:sz="0" w:space="0" w:color="FFFFFF"/>
              <w:bottom w:val="none" w:sz="0" w:space="0" w:color="FFFFFF"/>
              <w:right w:val="none" w:sz="0" w:space="0" w:color="FFFFFF"/>
            </w:tcBorders>
          </w:tcPr>
          <w:p w14:paraId="6492DFFA" w14:textId="77777777" w:rsidR="00E91697" w:rsidRDefault="00000000">
            <w:pPr>
              <w:spacing w:before="20" w:after="20"/>
              <w:jc w:val="center"/>
            </w:pPr>
            <w:r>
              <w:rPr>
                <w:sz w:val="20"/>
                <w:szCs w:val="20"/>
              </w:rPr>
              <w:t>+1.16 [-0.13, +2.81]</w:t>
            </w:r>
          </w:p>
        </w:tc>
        <w:tc>
          <w:tcPr>
            <w:tcW w:w="334" w:type="dxa"/>
            <w:tcBorders>
              <w:top w:val="none" w:sz="0" w:space="0" w:color="FFFFFF"/>
              <w:left w:val="none" w:sz="0" w:space="0" w:color="FFFFFF"/>
              <w:bottom w:val="none" w:sz="0" w:space="0" w:color="FFFFFF"/>
              <w:right w:val="none" w:sz="0" w:space="0" w:color="FFFFFF"/>
            </w:tcBorders>
          </w:tcPr>
          <w:p w14:paraId="71A77347" w14:textId="77777777" w:rsidR="00E91697" w:rsidRDefault="00000000">
            <w:pPr>
              <w:spacing w:before="20" w:after="20"/>
              <w:jc w:val="center"/>
            </w:pPr>
            <w:r>
              <w:rPr>
                <w:sz w:val="20"/>
                <w:szCs w:val="20"/>
              </w:rPr>
              <w:t>7</w:t>
            </w:r>
          </w:p>
        </w:tc>
      </w:tr>
      <w:tr w:rsidR="00E91697" w14:paraId="1AD496E5"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1B228F6D"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17E51B79"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4B5BA063"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1524CEFC" w14:textId="77777777" w:rsidR="00E91697" w:rsidRDefault="00000000">
            <w:pPr>
              <w:spacing w:before="20" w:after="20"/>
              <w:jc w:val="center"/>
            </w:pPr>
            <w:r>
              <w:rPr>
                <w:sz w:val="20"/>
                <w:szCs w:val="20"/>
              </w:rPr>
              <w:t>+3.00 [+1.32, +4.13]</w:t>
            </w:r>
          </w:p>
        </w:tc>
        <w:tc>
          <w:tcPr>
            <w:tcW w:w="1819" w:type="dxa"/>
            <w:tcBorders>
              <w:top w:val="none" w:sz="0" w:space="0" w:color="FFFFFF"/>
              <w:left w:val="none" w:sz="0" w:space="0" w:color="FFFFFF"/>
              <w:bottom w:val="none" w:sz="0" w:space="0" w:color="FFFFFF"/>
              <w:right w:val="none" w:sz="0" w:space="0" w:color="FFFFFF"/>
            </w:tcBorders>
          </w:tcPr>
          <w:p w14:paraId="402544EE" w14:textId="77777777" w:rsidR="00E91697" w:rsidRDefault="00000000">
            <w:pPr>
              <w:spacing w:before="20" w:after="20"/>
              <w:jc w:val="center"/>
            </w:pPr>
            <w:r>
              <w:rPr>
                <w:sz w:val="20"/>
                <w:szCs w:val="20"/>
              </w:rPr>
              <w:t>+4.05 [+1.91, +5.25]</w:t>
            </w:r>
          </w:p>
        </w:tc>
        <w:tc>
          <w:tcPr>
            <w:tcW w:w="1819" w:type="dxa"/>
            <w:tcBorders>
              <w:top w:val="none" w:sz="0" w:space="0" w:color="FFFFFF"/>
              <w:left w:val="none" w:sz="0" w:space="0" w:color="FFFFFF"/>
              <w:bottom w:val="none" w:sz="0" w:space="0" w:color="FFFFFF"/>
              <w:right w:val="none" w:sz="0" w:space="0" w:color="FFFFFF"/>
            </w:tcBorders>
          </w:tcPr>
          <w:p w14:paraId="70D23ED1" w14:textId="77777777" w:rsidR="00E91697" w:rsidRDefault="00000000">
            <w:pPr>
              <w:spacing w:before="20" w:after="20"/>
              <w:jc w:val="center"/>
            </w:pPr>
            <w:r>
              <w:rPr>
                <w:sz w:val="20"/>
                <w:szCs w:val="20"/>
              </w:rPr>
              <w:t>+1.64 [-0.01, +2.42]</w:t>
            </w:r>
          </w:p>
        </w:tc>
        <w:tc>
          <w:tcPr>
            <w:tcW w:w="334" w:type="dxa"/>
            <w:tcBorders>
              <w:top w:val="none" w:sz="0" w:space="0" w:color="FFFFFF"/>
              <w:left w:val="none" w:sz="0" w:space="0" w:color="FFFFFF"/>
              <w:bottom w:val="none" w:sz="0" w:space="0" w:color="FFFFFF"/>
              <w:right w:val="none" w:sz="0" w:space="0" w:color="FFFFFF"/>
            </w:tcBorders>
          </w:tcPr>
          <w:p w14:paraId="4CC0C865" w14:textId="77777777" w:rsidR="00E91697" w:rsidRDefault="00E91697">
            <w:pPr>
              <w:spacing w:before="20" w:after="20"/>
              <w:jc w:val="center"/>
            </w:pPr>
          </w:p>
        </w:tc>
      </w:tr>
      <w:tr w:rsidR="00E91697" w14:paraId="11D59EC1"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68AD9E9D" w14:textId="77777777" w:rsidR="00E91697" w:rsidRDefault="00000000">
            <w:pPr>
              <w:spacing w:before="20" w:after="20"/>
            </w:pPr>
            <w:r>
              <w:rPr>
                <w:sz w:val="20"/>
                <w:szCs w:val="20"/>
              </w:rPr>
              <w:lastRenderedPageBreak/>
              <w:t>R10mm</w:t>
            </w:r>
          </w:p>
        </w:tc>
        <w:tc>
          <w:tcPr>
            <w:tcW w:w="1076" w:type="dxa"/>
            <w:tcBorders>
              <w:top w:val="none" w:sz="0" w:space="0" w:color="FFFFFF"/>
              <w:left w:val="none" w:sz="0" w:space="0" w:color="FFFFFF"/>
              <w:bottom w:val="none" w:sz="0" w:space="0" w:color="FFFFFF"/>
              <w:right w:val="none" w:sz="0" w:space="0" w:color="FFFFFF"/>
            </w:tcBorders>
          </w:tcPr>
          <w:p w14:paraId="67AADB8D" w14:textId="77777777" w:rsidR="00E91697" w:rsidRDefault="00000000">
            <w:pPr>
              <w:spacing w:before="20" w:after="20"/>
            </w:pPr>
            <w:r>
              <w:rPr>
                <w:sz w:val="20"/>
                <w:szCs w:val="20"/>
              </w:rPr>
              <w:t>derived threshold</w:t>
            </w:r>
          </w:p>
        </w:tc>
        <w:tc>
          <w:tcPr>
            <w:tcW w:w="1002" w:type="dxa"/>
            <w:tcBorders>
              <w:top w:val="none" w:sz="0" w:space="0" w:color="FFFFFF"/>
              <w:left w:val="none" w:sz="0" w:space="0" w:color="FFFFFF"/>
              <w:bottom w:val="none" w:sz="0" w:space="0" w:color="FFFFFF"/>
              <w:right w:val="none" w:sz="0" w:space="0" w:color="FFFFFF"/>
            </w:tcBorders>
          </w:tcPr>
          <w:p w14:paraId="20B5AD5B"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74C83C92" w14:textId="77777777" w:rsidR="00E91697" w:rsidRDefault="00000000">
            <w:pPr>
              <w:spacing w:before="20" w:after="20"/>
              <w:jc w:val="center"/>
            </w:pPr>
            <w:r>
              <w:rPr>
                <w:sz w:val="20"/>
                <w:szCs w:val="20"/>
              </w:rPr>
              <w:t>-1.66 [-1.96, -0.75]</w:t>
            </w:r>
          </w:p>
        </w:tc>
        <w:tc>
          <w:tcPr>
            <w:tcW w:w="1819" w:type="dxa"/>
            <w:tcBorders>
              <w:top w:val="none" w:sz="0" w:space="0" w:color="FFFFFF"/>
              <w:left w:val="none" w:sz="0" w:space="0" w:color="FFFFFF"/>
              <w:bottom w:val="none" w:sz="0" w:space="0" w:color="FFFFFF"/>
              <w:right w:val="none" w:sz="0" w:space="0" w:color="FFFFFF"/>
            </w:tcBorders>
          </w:tcPr>
          <w:p w14:paraId="40C895F0" w14:textId="77777777" w:rsidR="00E91697" w:rsidRDefault="00000000">
            <w:pPr>
              <w:spacing w:before="20" w:after="20"/>
              <w:jc w:val="center"/>
            </w:pPr>
            <w:r>
              <w:rPr>
                <w:sz w:val="20"/>
                <w:szCs w:val="20"/>
              </w:rPr>
              <w:t>+1.68 [+0.82, +3.94]</w:t>
            </w:r>
          </w:p>
        </w:tc>
        <w:tc>
          <w:tcPr>
            <w:tcW w:w="1819" w:type="dxa"/>
            <w:tcBorders>
              <w:top w:val="none" w:sz="0" w:space="0" w:color="FFFFFF"/>
              <w:left w:val="none" w:sz="0" w:space="0" w:color="FFFFFF"/>
              <w:bottom w:val="none" w:sz="0" w:space="0" w:color="FFFFFF"/>
              <w:right w:val="none" w:sz="0" w:space="0" w:color="FFFFFF"/>
            </w:tcBorders>
          </w:tcPr>
          <w:p w14:paraId="6A2CFD6A" w14:textId="77777777" w:rsidR="00E91697" w:rsidRDefault="00000000">
            <w:pPr>
              <w:spacing w:before="20" w:after="20"/>
              <w:jc w:val="center"/>
            </w:pPr>
            <w:r>
              <w:rPr>
                <w:sz w:val="20"/>
                <w:szCs w:val="20"/>
              </w:rPr>
              <w:t>+0.44 [-2.69, +2.08]</w:t>
            </w:r>
          </w:p>
        </w:tc>
        <w:tc>
          <w:tcPr>
            <w:tcW w:w="334" w:type="dxa"/>
            <w:tcBorders>
              <w:top w:val="none" w:sz="0" w:space="0" w:color="FFFFFF"/>
              <w:left w:val="none" w:sz="0" w:space="0" w:color="FFFFFF"/>
              <w:bottom w:val="none" w:sz="0" w:space="0" w:color="FFFFFF"/>
              <w:right w:val="none" w:sz="0" w:space="0" w:color="FFFFFF"/>
            </w:tcBorders>
          </w:tcPr>
          <w:p w14:paraId="5B02B48E" w14:textId="77777777" w:rsidR="00E91697" w:rsidRDefault="00000000">
            <w:pPr>
              <w:spacing w:before="20" w:after="20"/>
              <w:jc w:val="center"/>
            </w:pPr>
            <w:r>
              <w:rPr>
                <w:sz w:val="20"/>
                <w:szCs w:val="20"/>
              </w:rPr>
              <w:t>7</w:t>
            </w:r>
          </w:p>
        </w:tc>
      </w:tr>
      <w:tr w:rsidR="00E91697" w14:paraId="0006C7BD"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4B380C8F"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40469780"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6F2EE343"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74D17267" w14:textId="77777777" w:rsidR="00E91697" w:rsidRDefault="00000000">
            <w:pPr>
              <w:spacing w:before="20" w:after="20"/>
              <w:jc w:val="center"/>
            </w:pPr>
            <w:r>
              <w:rPr>
                <w:sz w:val="20"/>
                <w:szCs w:val="20"/>
              </w:rPr>
              <w:t>-3.40 [-4.69, +0.14]</w:t>
            </w:r>
          </w:p>
        </w:tc>
        <w:tc>
          <w:tcPr>
            <w:tcW w:w="1819" w:type="dxa"/>
            <w:tcBorders>
              <w:top w:val="none" w:sz="0" w:space="0" w:color="FFFFFF"/>
              <w:left w:val="none" w:sz="0" w:space="0" w:color="FFFFFF"/>
              <w:bottom w:val="none" w:sz="0" w:space="0" w:color="FFFFFF"/>
              <w:right w:val="none" w:sz="0" w:space="0" w:color="FFFFFF"/>
            </w:tcBorders>
          </w:tcPr>
          <w:p w14:paraId="221EDD5E" w14:textId="77777777" w:rsidR="00E91697" w:rsidRDefault="00000000">
            <w:pPr>
              <w:spacing w:before="20" w:after="20"/>
              <w:jc w:val="center"/>
            </w:pPr>
            <w:r>
              <w:rPr>
                <w:sz w:val="20"/>
                <w:szCs w:val="20"/>
              </w:rPr>
              <w:t>+0.69 [-0.90, +3.82]</w:t>
            </w:r>
          </w:p>
        </w:tc>
        <w:tc>
          <w:tcPr>
            <w:tcW w:w="1819" w:type="dxa"/>
            <w:tcBorders>
              <w:top w:val="none" w:sz="0" w:space="0" w:color="FFFFFF"/>
              <w:left w:val="none" w:sz="0" w:space="0" w:color="FFFFFF"/>
              <w:bottom w:val="none" w:sz="0" w:space="0" w:color="FFFFFF"/>
              <w:right w:val="none" w:sz="0" w:space="0" w:color="FFFFFF"/>
            </w:tcBorders>
          </w:tcPr>
          <w:p w14:paraId="151F340C" w14:textId="77777777" w:rsidR="00E91697" w:rsidRDefault="00000000">
            <w:pPr>
              <w:spacing w:before="20" w:after="20"/>
              <w:jc w:val="center"/>
            </w:pPr>
            <w:r>
              <w:rPr>
                <w:sz w:val="20"/>
                <w:szCs w:val="20"/>
              </w:rPr>
              <w:t>-2.99 [-4.82, +1.39]</w:t>
            </w:r>
          </w:p>
        </w:tc>
        <w:tc>
          <w:tcPr>
            <w:tcW w:w="334" w:type="dxa"/>
            <w:tcBorders>
              <w:top w:val="none" w:sz="0" w:space="0" w:color="FFFFFF"/>
              <w:left w:val="none" w:sz="0" w:space="0" w:color="FFFFFF"/>
              <w:bottom w:val="none" w:sz="0" w:space="0" w:color="FFFFFF"/>
              <w:right w:val="none" w:sz="0" w:space="0" w:color="FFFFFF"/>
            </w:tcBorders>
          </w:tcPr>
          <w:p w14:paraId="691C5C1E" w14:textId="77777777" w:rsidR="00E91697" w:rsidRDefault="00E91697">
            <w:pPr>
              <w:spacing w:before="20" w:after="20"/>
              <w:jc w:val="center"/>
            </w:pPr>
          </w:p>
        </w:tc>
      </w:tr>
      <w:tr w:rsidR="00E91697" w14:paraId="3838702C"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1F295329" w14:textId="77777777" w:rsidR="00E91697" w:rsidRDefault="00000000">
            <w:pPr>
              <w:spacing w:before="20" w:after="20"/>
            </w:pPr>
            <w:r>
              <w:rPr>
                <w:sz w:val="20"/>
                <w:szCs w:val="20"/>
              </w:rPr>
              <w:t>R20mm</w:t>
            </w:r>
          </w:p>
        </w:tc>
        <w:tc>
          <w:tcPr>
            <w:tcW w:w="1076" w:type="dxa"/>
            <w:tcBorders>
              <w:top w:val="none" w:sz="0" w:space="0" w:color="FFFFFF"/>
              <w:left w:val="none" w:sz="0" w:space="0" w:color="FFFFFF"/>
              <w:bottom w:val="none" w:sz="0" w:space="0" w:color="FFFFFF"/>
              <w:right w:val="none" w:sz="0" w:space="0" w:color="FFFFFF"/>
            </w:tcBorders>
          </w:tcPr>
          <w:p w14:paraId="0F6819E6" w14:textId="77777777" w:rsidR="00E91697" w:rsidRDefault="00000000">
            <w:pPr>
              <w:spacing w:before="20" w:after="20"/>
            </w:pPr>
            <w:r>
              <w:rPr>
                <w:sz w:val="20"/>
                <w:szCs w:val="20"/>
              </w:rPr>
              <w:t>derived threshold</w:t>
            </w:r>
          </w:p>
        </w:tc>
        <w:tc>
          <w:tcPr>
            <w:tcW w:w="1002" w:type="dxa"/>
            <w:tcBorders>
              <w:top w:val="none" w:sz="0" w:space="0" w:color="FFFFFF"/>
              <w:left w:val="none" w:sz="0" w:space="0" w:color="FFFFFF"/>
              <w:bottom w:val="none" w:sz="0" w:space="0" w:color="FFFFFF"/>
              <w:right w:val="none" w:sz="0" w:space="0" w:color="FFFFFF"/>
            </w:tcBorders>
          </w:tcPr>
          <w:p w14:paraId="27B6510A"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184FC739" w14:textId="77777777" w:rsidR="00E91697" w:rsidRDefault="00000000">
            <w:pPr>
              <w:spacing w:before="20" w:after="20"/>
              <w:jc w:val="center"/>
            </w:pPr>
            <w:r>
              <w:rPr>
                <w:sz w:val="20"/>
                <w:szCs w:val="20"/>
              </w:rPr>
              <w:t>+0.02 [-6.39, +13.62]</w:t>
            </w:r>
          </w:p>
        </w:tc>
        <w:tc>
          <w:tcPr>
            <w:tcW w:w="1819" w:type="dxa"/>
            <w:tcBorders>
              <w:top w:val="none" w:sz="0" w:space="0" w:color="FFFFFF"/>
              <w:left w:val="none" w:sz="0" w:space="0" w:color="FFFFFF"/>
              <w:bottom w:val="none" w:sz="0" w:space="0" w:color="FFFFFF"/>
              <w:right w:val="none" w:sz="0" w:space="0" w:color="FFFFFF"/>
            </w:tcBorders>
          </w:tcPr>
          <w:p w14:paraId="479AA056" w14:textId="77777777" w:rsidR="00E91697" w:rsidRDefault="00000000">
            <w:pPr>
              <w:spacing w:before="20" w:after="20"/>
              <w:jc w:val="center"/>
            </w:pPr>
            <w:r>
              <w:rPr>
                <w:sz w:val="20"/>
                <w:szCs w:val="20"/>
              </w:rPr>
              <w:t>+1.56 [-0.98, +17.24]</w:t>
            </w:r>
          </w:p>
        </w:tc>
        <w:tc>
          <w:tcPr>
            <w:tcW w:w="1819" w:type="dxa"/>
            <w:tcBorders>
              <w:top w:val="none" w:sz="0" w:space="0" w:color="FFFFFF"/>
              <w:left w:val="none" w:sz="0" w:space="0" w:color="FFFFFF"/>
              <w:bottom w:val="none" w:sz="0" w:space="0" w:color="FFFFFF"/>
              <w:right w:val="none" w:sz="0" w:space="0" w:color="FFFFFF"/>
            </w:tcBorders>
          </w:tcPr>
          <w:p w14:paraId="1205D9CA" w14:textId="77777777" w:rsidR="00E91697" w:rsidRDefault="00000000">
            <w:pPr>
              <w:spacing w:before="20" w:after="20"/>
              <w:jc w:val="center"/>
            </w:pPr>
            <w:r>
              <w:rPr>
                <w:sz w:val="20"/>
                <w:szCs w:val="20"/>
              </w:rPr>
              <w:t>+15.95 [+3.52, +27.81]</w:t>
            </w:r>
          </w:p>
        </w:tc>
        <w:tc>
          <w:tcPr>
            <w:tcW w:w="334" w:type="dxa"/>
            <w:tcBorders>
              <w:top w:val="none" w:sz="0" w:space="0" w:color="FFFFFF"/>
              <w:left w:val="none" w:sz="0" w:space="0" w:color="FFFFFF"/>
              <w:bottom w:val="none" w:sz="0" w:space="0" w:color="FFFFFF"/>
              <w:right w:val="none" w:sz="0" w:space="0" w:color="FFFFFF"/>
            </w:tcBorders>
          </w:tcPr>
          <w:p w14:paraId="0580C5FF" w14:textId="77777777" w:rsidR="00E91697" w:rsidRDefault="00000000">
            <w:pPr>
              <w:spacing w:before="20" w:after="20"/>
              <w:jc w:val="center"/>
            </w:pPr>
            <w:r>
              <w:rPr>
                <w:sz w:val="20"/>
                <w:szCs w:val="20"/>
              </w:rPr>
              <w:t>7</w:t>
            </w:r>
          </w:p>
        </w:tc>
      </w:tr>
      <w:tr w:rsidR="00E91697" w14:paraId="1AFB97B1"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68342C16"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348C3B9C"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02D78D91"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225EA881" w14:textId="77777777" w:rsidR="00E91697" w:rsidRDefault="00000000">
            <w:pPr>
              <w:spacing w:before="20" w:after="20"/>
              <w:jc w:val="center"/>
            </w:pPr>
            <w:r>
              <w:rPr>
                <w:sz w:val="20"/>
                <w:szCs w:val="20"/>
              </w:rPr>
              <w:t>+1.30 [+1.19, +7.59]</w:t>
            </w:r>
          </w:p>
        </w:tc>
        <w:tc>
          <w:tcPr>
            <w:tcW w:w="1819" w:type="dxa"/>
            <w:tcBorders>
              <w:top w:val="none" w:sz="0" w:space="0" w:color="FFFFFF"/>
              <w:left w:val="none" w:sz="0" w:space="0" w:color="FFFFFF"/>
              <w:bottom w:val="none" w:sz="0" w:space="0" w:color="FFFFFF"/>
              <w:right w:val="none" w:sz="0" w:space="0" w:color="FFFFFF"/>
            </w:tcBorders>
          </w:tcPr>
          <w:p w14:paraId="24731284" w14:textId="77777777" w:rsidR="00E91697" w:rsidRDefault="00000000">
            <w:pPr>
              <w:spacing w:before="20" w:after="20"/>
              <w:jc w:val="center"/>
            </w:pPr>
            <w:r>
              <w:rPr>
                <w:sz w:val="20"/>
                <w:szCs w:val="20"/>
              </w:rPr>
              <w:t>+7.59 [+2.48, +17.52]</w:t>
            </w:r>
          </w:p>
        </w:tc>
        <w:tc>
          <w:tcPr>
            <w:tcW w:w="1819" w:type="dxa"/>
            <w:tcBorders>
              <w:top w:val="none" w:sz="0" w:space="0" w:color="FFFFFF"/>
              <w:left w:val="none" w:sz="0" w:space="0" w:color="FFFFFF"/>
              <w:bottom w:val="none" w:sz="0" w:space="0" w:color="FFFFFF"/>
              <w:right w:val="none" w:sz="0" w:space="0" w:color="FFFFFF"/>
            </w:tcBorders>
          </w:tcPr>
          <w:p w14:paraId="6D9A1E87" w14:textId="77777777" w:rsidR="00E91697" w:rsidRDefault="00000000">
            <w:pPr>
              <w:spacing w:before="20" w:after="20"/>
              <w:jc w:val="center"/>
            </w:pPr>
            <w:r>
              <w:rPr>
                <w:sz w:val="20"/>
                <w:szCs w:val="20"/>
              </w:rPr>
              <w:t>+10.71 [+6.43, +25.35]</w:t>
            </w:r>
          </w:p>
        </w:tc>
        <w:tc>
          <w:tcPr>
            <w:tcW w:w="334" w:type="dxa"/>
            <w:tcBorders>
              <w:top w:val="none" w:sz="0" w:space="0" w:color="FFFFFF"/>
              <w:left w:val="none" w:sz="0" w:space="0" w:color="FFFFFF"/>
              <w:bottom w:val="none" w:sz="0" w:space="0" w:color="FFFFFF"/>
              <w:right w:val="none" w:sz="0" w:space="0" w:color="FFFFFF"/>
            </w:tcBorders>
          </w:tcPr>
          <w:p w14:paraId="4C92134F" w14:textId="77777777" w:rsidR="00E91697" w:rsidRDefault="00E91697">
            <w:pPr>
              <w:spacing w:before="20" w:after="20"/>
              <w:jc w:val="center"/>
            </w:pPr>
          </w:p>
        </w:tc>
      </w:tr>
      <w:tr w:rsidR="00E91697" w14:paraId="43D54DCF"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40F71A8C" w14:textId="77777777" w:rsidR="00E91697" w:rsidRDefault="00000000">
            <w:pPr>
              <w:spacing w:before="20" w:after="20"/>
            </w:pPr>
            <w:r>
              <w:rPr>
                <w:sz w:val="20"/>
                <w:szCs w:val="20"/>
              </w:rPr>
              <w:t>R50mm</w:t>
            </w:r>
          </w:p>
        </w:tc>
        <w:tc>
          <w:tcPr>
            <w:tcW w:w="1076" w:type="dxa"/>
            <w:tcBorders>
              <w:top w:val="none" w:sz="0" w:space="0" w:color="FFFFFF"/>
              <w:left w:val="none" w:sz="0" w:space="0" w:color="FFFFFF"/>
              <w:bottom w:val="none" w:sz="0" w:space="0" w:color="FFFFFF"/>
              <w:right w:val="none" w:sz="0" w:space="0" w:color="FFFFFF"/>
            </w:tcBorders>
          </w:tcPr>
          <w:p w14:paraId="62C23E01" w14:textId="77777777" w:rsidR="00E91697" w:rsidRDefault="00000000">
            <w:pPr>
              <w:spacing w:before="20" w:after="20"/>
            </w:pPr>
            <w:r>
              <w:rPr>
                <w:sz w:val="20"/>
                <w:szCs w:val="20"/>
              </w:rPr>
              <w:t>derived threshold</w:t>
            </w:r>
          </w:p>
        </w:tc>
        <w:tc>
          <w:tcPr>
            <w:tcW w:w="1002" w:type="dxa"/>
            <w:tcBorders>
              <w:top w:val="none" w:sz="0" w:space="0" w:color="FFFFFF"/>
              <w:left w:val="none" w:sz="0" w:space="0" w:color="FFFFFF"/>
              <w:bottom w:val="none" w:sz="0" w:space="0" w:color="FFFFFF"/>
              <w:right w:val="none" w:sz="0" w:space="0" w:color="FFFFFF"/>
            </w:tcBorders>
          </w:tcPr>
          <w:p w14:paraId="50D1A1B3"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15353B1A" w14:textId="77777777" w:rsidR="00E91697" w:rsidRDefault="00000000">
            <w:pPr>
              <w:spacing w:before="20" w:after="20"/>
              <w:jc w:val="center"/>
            </w:pPr>
            <w:r>
              <w:rPr>
                <w:sz w:val="20"/>
                <w:szCs w:val="20"/>
              </w:rPr>
              <w:t>+1.12 [-23.50, +63.91]</w:t>
            </w:r>
          </w:p>
        </w:tc>
        <w:tc>
          <w:tcPr>
            <w:tcW w:w="1819" w:type="dxa"/>
            <w:tcBorders>
              <w:top w:val="none" w:sz="0" w:space="0" w:color="FFFFFF"/>
              <w:left w:val="none" w:sz="0" w:space="0" w:color="FFFFFF"/>
              <w:bottom w:val="none" w:sz="0" w:space="0" w:color="FFFFFF"/>
              <w:right w:val="none" w:sz="0" w:space="0" w:color="FFFFFF"/>
            </w:tcBorders>
          </w:tcPr>
          <w:p w14:paraId="36291D94" w14:textId="77777777" w:rsidR="00E91697" w:rsidRDefault="00000000">
            <w:pPr>
              <w:spacing w:before="20" w:after="20"/>
              <w:jc w:val="center"/>
            </w:pPr>
            <w:r>
              <w:rPr>
                <w:sz w:val="20"/>
                <w:szCs w:val="20"/>
              </w:rPr>
              <w:t>-5.52 [-28.10, +51.66]</w:t>
            </w:r>
          </w:p>
        </w:tc>
        <w:tc>
          <w:tcPr>
            <w:tcW w:w="1819" w:type="dxa"/>
            <w:tcBorders>
              <w:top w:val="none" w:sz="0" w:space="0" w:color="FFFFFF"/>
              <w:left w:val="none" w:sz="0" w:space="0" w:color="FFFFFF"/>
              <w:bottom w:val="none" w:sz="0" w:space="0" w:color="FFFFFF"/>
              <w:right w:val="none" w:sz="0" w:space="0" w:color="FFFFFF"/>
            </w:tcBorders>
          </w:tcPr>
          <w:p w14:paraId="62607507" w14:textId="77777777" w:rsidR="00E91697" w:rsidRDefault="00000000">
            <w:pPr>
              <w:spacing w:before="20" w:after="20"/>
              <w:jc w:val="center"/>
            </w:pPr>
            <w:r>
              <w:rPr>
                <w:sz w:val="20"/>
                <w:szCs w:val="20"/>
              </w:rPr>
              <w:t>-17.14 [-19.21, +21.05]</w:t>
            </w:r>
          </w:p>
        </w:tc>
        <w:tc>
          <w:tcPr>
            <w:tcW w:w="334" w:type="dxa"/>
            <w:tcBorders>
              <w:top w:val="none" w:sz="0" w:space="0" w:color="FFFFFF"/>
              <w:left w:val="none" w:sz="0" w:space="0" w:color="FFFFFF"/>
              <w:bottom w:val="none" w:sz="0" w:space="0" w:color="FFFFFF"/>
              <w:right w:val="none" w:sz="0" w:space="0" w:color="FFFFFF"/>
            </w:tcBorders>
          </w:tcPr>
          <w:p w14:paraId="29768B93" w14:textId="77777777" w:rsidR="00E91697" w:rsidRDefault="00000000">
            <w:pPr>
              <w:spacing w:before="20" w:after="20"/>
              <w:jc w:val="center"/>
            </w:pPr>
            <w:r>
              <w:rPr>
                <w:sz w:val="20"/>
                <w:szCs w:val="20"/>
              </w:rPr>
              <w:t>7</w:t>
            </w:r>
          </w:p>
        </w:tc>
      </w:tr>
      <w:tr w:rsidR="00E91697" w14:paraId="204F631E"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6916DC02"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2D032274"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6C4D7AEE"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7371DE8A" w14:textId="77777777" w:rsidR="00E91697" w:rsidRDefault="00000000">
            <w:pPr>
              <w:spacing w:before="20" w:after="20"/>
              <w:jc w:val="center"/>
            </w:pPr>
            <w:r>
              <w:rPr>
                <w:sz w:val="20"/>
                <w:szCs w:val="20"/>
              </w:rPr>
              <w:t>+5.90 [-15.71, +11.74]</w:t>
            </w:r>
          </w:p>
        </w:tc>
        <w:tc>
          <w:tcPr>
            <w:tcW w:w="1819" w:type="dxa"/>
            <w:tcBorders>
              <w:top w:val="none" w:sz="0" w:space="0" w:color="FFFFFF"/>
              <w:left w:val="none" w:sz="0" w:space="0" w:color="FFFFFF"/>
              <w:bottom w:val="none" w:sz="0" w:space="0" w:color="FFFFFF"/>
              <w:right w:val="none" w:sz="0" w:space="0" w:color="FFFFFF"/>
            </w:tcBorders>
          </w:tcPr>
          <w:p w14:paraId="72734B7E" w14:textId="77777777" w:rsidR="00E91697" w:rsidRDefault="00000000">
            <w:pPr>
              <w:spacing w:before="20" w:after="20"/>
              <w:jc w:val="center"/>
            </w:pPr>
            <w:r>
              <w:rPr>
                <w:sz w:val="20"/>
                <w:szCs w:val="20"/>
              </w:rPr>
              <w:t>+2.57 [-14.29, +15.35]</w:t>
            </w:r>
          </w:p>
        </w:tc>
        <w:tc>
          <w:tcPr>
            <w:tcW w:w="1819" w:type="dxa"/>
            <w:tcBorders>
              <w:top w:val="none" w:sz="0" w:space="0" w:color="FFFFFF"/>
              <w:left w:val="none" w:sz="0" w:space="0" w:color="FFFFFF"/>
              <w:bottom w:val="none" w:sz="0" w:space="0" w:color="FFFFFF"/>
              <w:right w:val="none" w:sz="0" w:space="0" w:color="FFFFFF"/>
            </w:tcBorders>
          </w:tcPr>
          <w:p w14:paraId="4C240840" w14:textId="77777777" w:rsidR="00E91697" w:rsidRDefault="00000000">
            <w:pPr>
              <w:spacing w:before="20" w:after="20"/>
              <w:jc w:val="center"/>
            </w:pPr>
            <w:r>
              <w:rPr>
                <w:sz w:val="20"/>
                <w:szCs w:val="20"/>
              </w:rPr>
              <w:t>+11.46 [-12.63, +30.15]</w:t>
            </w:r>
          </w:p>
        </w:tc>
        <w:tc>
          <w:tcPr>
            <w:tcW w:w="334" w:type="dxa"/>
            <w:tcBorders>
              <w:top w:val="none" w:sz="0" w:space="0" w:color="FFFFFF"/>
              <w:left w:val="none" w:sz="0" w:space="0" w:color="FFFFFF"/>
              <w:bottom w:val="none" w:sz="0" w:space="0" w:color="FFFFFF"/>
              <w:right w:val="none" w:sz="0" w:space="0" w:color="FFFFFF"/>
            </w:tcBorders>
          </w:tcPr>
          <w:p w14:paraId="1D5D533F" w14:textId="77777777" w:rsidR="00E91697" w:rsidRDefault="00E91697">
            <w:pPr>
              <w:spacing w:before="20" w:after="20"/>
              <w:jc w:val="center"/>
            </w:pPr>
          </w:p>
        </w:tc>
      </w:tr>
      <w:tr w:rsidR="00E91697" w14:paraId="372679A9"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209A3777" w14:textId="77777777" w:rsidR="00E91697" w:rsidRDefault="00000000">
            <w:pPr>
              <w:spacing w:before="20" w:after="20"/>
            </w:pPr>
            <w:r>
              <w:rPr>
                <w:sz w:val="20"/>
                <w:szCs w:val="20"/>
              </w:rPr>
              <w:t>R95p</w:t>
            </w:r>
          </w:p>
        </w:tc>
        <w:tc>
          <w:tcPr>
            <w:tcW w:w="1076" w:type="dxa"/>
            <w:tcBorders>
              <w:top w:val="none" w:sz="0" w:space="0" w:color="FFFFFF"/>
              <w:left w:val="none" w:sz="0" w:space="0" w:color="FFFFFF"/>
              <w:bottom w:val="none" w:sz="0" w:space="0" w:color="FFFFFF"/>
              <w:right w:val="none" w:sz="0" w:space="0" w:color="FFFFFF"/>
            </w:tcBorders>
          </w:tcPr>
          <w:p w14:paraId="574E813C" w14:textId="77777777" w:rsidR="00E91697" w:rsidRDefault="00000000">
            <w:pPr>
              <w:spacing w:before="20" w:after="20"/>
            </w:pPr>
            <w:r>
              <w:rPr>
                <w:sz w:val="20"/>
                <w:szCs w:val="20"/>
              </w:rPr>
              <w:t>derived tail</w:t>
            </w:r>
          </w:p>
        </w:tc>
        <w:tc>
          <w:tcPr>
            <w:tcW w:w="1002" w:type="dxa"/>
            <w:tcBorders>
              <w:top w:val="none" w:sz="0" w:space="0" w:color="FFFFFF"/>
              <w:left w:val="none" w:sz="0" w:space="0" w:color="FFFFFF"/>
              <w:bottom w:val="none" w:sz="0" w:space="0" w:color="FFFFFF"/>
              <w:right w:val="none" w:sz="0" w:space="0" w:color="FFFFFF"/>
            </w:tcBorders>
          </w:tcPr>
          <w:p w14:paraId="79C0ACB1"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6FADF098" w14:textId="77777777" w:rsidR="00E91697" w:rsidRDefault="00000000">
            <w:pPr>
              <w:spacing w:before="20" w:after="20"/>
              <w:jc w:val="center"/>
            </w:pPr>
            <w:r>
              <w:rPr>
                <w:sz w:val="20"/>
                <w:szCs w:val="20"/>
              </w:rPr>
              <w:t>+0.84 [-1.94, +7.04]</w:t>
            </w:r>
          </w:p>
        </w:tc>
        <w:tc>
          <w:tcPr>
            <w:tcW w:w="1819" w:type="dxa"/>
            <w:tcBorders>
              <w:top w:val="none" w:sz="0" w:space="0" w:color="FFFFFF"/>
              <w:left w:val="none" w:sz="0" w:space="0" w:color="FFFFFF"/>
              <w:bottom w:val="none" w:sz="0" w:space="0" w:color="FFFFFF"/>
              <w:right w:val="none" w:sz="0" w:space="0" w:color="FFFFFF"/>
            </w:tcBorders>
          </w:tcPr>
          <w:p w14:paraId="7EF3DF71" w14:textId="77777777" w:rsidR="00E91697" w:rsidRDefault="00000000">
            <w:pPr>
              <w:spacing w:before="20" w:after="20"/>
              <w:jc w:val="center"/>
            </w:pPr>
            <w:r>
              <w:rPr>
                <w:sz w:val="20"/>
                <w:szCs w:val="20"/>
              </w:rPr>
              <w:t>+3.80 [-1.81, +8.93]</w:t>
            </w:r>
          </w:p>
        </w:tc>
        <w:tc>
          <w:tcPr>
            <w:tcW w:w="1819" w:type="dxa"/>
            <w:tcBorders>
              <w:top w:val="none" w:sz="0" w:space="0" w:color="FFFFFF"/>
              <w:left w:val="none" w:sz="0" w:space="0" w:color="FFFFFF"/>
              <w:bottom w:val="none" w:sz="0" w:space="0" w:color="FFFFFF"/>
              <w:right w:val="none" w:sz="0" w:space="0" w:color="FFFFFF"/>
            </w:tcBorders>
          </w:tcPr>
          <w:p w14:paraId="6CCFE55D" w14:textId="77777777" w:rsidR="00E91697" w:rsidRDefault="00000000">
            <w:pPr>
              <w:spacing w:before="20" w:after="20"/>
              <w:jc w:val="center"/>
            </w:pPr>
            <w:r>
              <w:rPr>
                <w:sz w:val="20"/>
                <w:szCs w:val="20"/>
              </w:rPr>
              <w:t>+3.17 [-9.38, +9.04]</w:t>
            </w:r>
          </w:p>
        </w:tc>
        <w:tc>
          <w:tcPr>
            <w:tcW w:w="334" w:type="dxa"/>
            <w:tcBorders>
              <w:top w:val="none" w:sz="0" w:space="0" w:color="FFFFFF"/>
              <w:left w:val="none" w:sz="0" w:space="0" w:color="FFFFFF"/>
              <w:bottom w:val="none" w:sz="0" w:space="0" w:color="FFFFFF"/>
              <w:right w:val="none" w:sz="0" w:space="0" w:color="FFFFFF"/>
            </w:tcBorders>
          </w:tcPr>
          <w:p w14:paraId="7E9F0F9A" w14:textId="77777777" w:rsidR="00E91697" w:rsidRDefault="00000000">
            <w:pPr>
              <w:spacing w:before="20" w:after="20"/>
              <w:jc w:val="center"/>
            </w:pPr>
            <w:r>
              <w:rPr>
                <w:sz w:val="20"/>
                <w:szCs w:val="20"/>
              </w:rPr>
              <w:t>7</w:t>
            </w:r>
          </w:p>
        </w:tc>
      </w:tr>
      <w:tr w:rsidR="00E91697" w14:paraId="5F41ECA3"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5A1625D4"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1EB62343"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4C7394BC"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091DD082" w14:textId="77777777" w:rsidR="00E91697" w:rsidRDefault="00000000">
            <w:pPr>
              <w:spacing w:before="20" w:after="20"/>
              <w:jc w:val="center"/>
            </w:pPr>
            <w:r>
              <w:rPr>
                <w:sz w:val="20"/>
                <w:szCs w:val="20"/>
              </w:rPr>
              <w:t>+1.37 [-1.40, +8.68]</w:t>
            </w:r>
          </w:p>
        </w:tc>
        <w:tc>
          <w:tcPr>
            <w:tcW w:w="1819" w:type="dxa"/>
            <w:tcBorders>
              <w:top w:val="none" w:sz="0" w:space="0" w:color="FFFFFF"/>
              <w:left w:val="none" w:sz="0" w:space="0" w:color="FFFFFF"/>
              <w:bottom w:val="none" w:sz="0" w:space="0" w:color="FFFFFF"/>
              <w:right w:val="none" w:sz="0" w:space="0" w:color="FFFFFF"/>
            </w:tcBorders>
          </w:tcPr>
          <w:p w14:paraId="57D4C765" w14:textId="77777777" w:rsidR="00E91697" w:rsidRDefault="00000000">
            <w:pPr>
              <w:spacing w:before="20" w:after="20"/>
              <w:jc w:val="center"/>
            </w:pPr>
            <w:r>
              <w:rPr>
                <w:sz w:val="20"/>
                <w:szCs w:val="20"/>
              </w:rPr>
              <w:t>+5.28 [-2.25, +17.92]</w:t>
            </w:r>
          </w:p>
        </w:tc>
        <w:tc>
          <w:tcPr>
            <w:tcW w:w="1819" w:type="dxa"/>
            <w:tcBorders>
              <w:top w:val="none" w:sz="0" w:space="0" w:color="FFFFFF"/>
              <w:left w:val="none" w:sz="0" w:space="0" w:color="FFFFFF"/>
              <w:bottom w:val="none" w:sz="0" w:space="0" w:color="FFFFFF"/>
              <w:right w:val="none" w:sz="0" w:space="0" w:color="FFFFFF"/>
            </w:tcBorders>
          </w:tcPr>
          <w:p w14:paraId="18F24210" w14:textId="77777777" w:rsidR="00E91697" w:rsidRDefault="00000000">
            <w:pPr>
              <w:spacing w:before="20" w:after="20"/>
              <w:jc w:val="center"/>
            </w:pPr>
            <w:r>
              <w:rPr>
                <w:sz w:val="20"/>
                <w:szCs w:val="20"/>
              </w:rPr>
              <w:t>+6.27 [-10.40, +20.63]</w:t>
            </w:r>
          </w:p>
        </w:tc>
        <w:tc>
          <w:tcPr>
            <w:tcW w:w="334" w:type="dxa"/>
            <w:tcBorders>
              <w:top w:val="none" w:sz="0" w:space="0" w:color="FFFFFF"/>
              <w:left w:val="none" w:sz="0" w:space="0" w:color="FFFFFF"/>
              <w:bottom w:val="none" w:sz="0" w:space="0" w:color="FFFFFF"/>
              <w:right w:val="none" w:sz="0" w:space="0" w:color="FFFFFF"/>
            </w:tcBorders>
          </w:tcPr>
          <w:p w14:paraId="20DD2785" w14:textId="77777777" w:rsidR="00E91697" w:rsidRDefault="00E91697">
            <w:pPr>
              <w:spacing w:before="20" w:after="20"/>
              <w:jc w:val="center"/>
            </w:pPr>
          </w:p>
        </w:tc>
      </w:tr>
      <w:tr w:rsidR="00E91697" w14:paraId="25D0DE0F"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7F200273" w14:textId="77777777" w:rsidR="00E91697" w:rsidRDefault="00000000">
            <w:pPr>
              <w:spacing w:before="20" w:after="20"/>
            </w:pPr>
            <w:r>
              <w:rPr>
                <w:sz w:val="20"/>
                <w:szCs w:val="20"/>
              </w:rPr>
              <w:t>R99p</w:t>
            </w:r>
          </w:p>
        </w:tc>
        <w:tc>
          <w:tcPr>
            <w:tcW w:w="1076" w:type="dxa"/>
            <w:tcBorders>
              <w:top w:val="none" w:sz="0" w:space="0" w:color="FFFFFF"/>
              <w:left w:val="none" w:sz="0" w:space="0" w:color="FFFFFF"/>
              <w:bottom w:val="none" w:sz="0" w:space="0" w:color="FFFFFF"/>
              <w:right w:val="none" w:sz="0" w:space="0" w:color="FFFFFF"/>
            </w:tcBorders>
          </w:tcPr>
          <w:p w14:paraId="0A0B02CC" w14:textId="77777777" w:rsidR="00E91697" w:rsidRDefault="00000000">
            <w:pPr>
              <w:spacing w:before="20" w:after="20"/>
            </w:pPr>
            <w:r>
              <w:rPr>
                <w:sz w:val="20"/>
                <w:szCs w:val="20"/>
              </w:rPr>
              <w:t>derived tail</w:t>
            </w:r>
          </w:p>
        </w:tc>
        <w:tc>
          <w:tcPr>
            <w:tcW w:w="1002" w:type="dxa"/>
            <w:tcBorders>
              <w:top w:val="none" w:sz="0" w:space="0" w:color="FFFFFF"/>
              <w:left w:val="none" w:sz="0" w:space="0" w:color="FFFFFF"/>
              <w:bottom w:val="none" w:sz="0" w:space="0" w:color="FFFFFF"/>
              <w:right w:val="none" w:sz="0" w:space="0" w:color="FFFFFF"/>
            </w:tcBorders>
          </w:tcPr>
          <w:p w14:paraId="6376F9E4"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665D78FE" w14:textId="77777777" w:rsidR="00E91697" w:rsidRDefault="00000000">
            <w:pPr>
              <w:spacing w:before="20" w:after="20"/>
              <w:jc w:val="center"/>
            </w:pPr>
            <w:r>
              <w:rPr>
                <w:sz w:val="20"/>
                <w:szCs w:val="20"/>
              </w:rPr>
              <w:t>+6.95 [+3.30, +25.55]</w:t>
            </w:r>
          </w:p>
        </w:tc>
        <w:tc>
          <w:tcPr>
            <w:tcW w:w="1819" w:type="dxa"/>
            <w:tcBorders>
              <w:top w:val="none" w:sz="0" w:space="0" w:color="FFFFFF"/>
              <w:left w:val="none" w:sz="0" w:space="0" w:color="FFFFFF"/>
              <w:bottom w:val="none" w:sz="0" w:space="0" w:color="FFFFFF"/>
              <w:right w:val="none" w:sz="0" w:space="0" w:color="FFFFFF"/>
            </w:tcBorders>
          </w:tcPr>
          <w:p w14:paraId="2AF787F5" w14:textId="77777777" w:rsidR="00E91697" w:rsidRDefault="00000000">
            <w:pPr>
              <w:spacing w:before="20" w:after="20"/>
              <w:jc w:val="center"/>
            </w:pPr>
            <w:r>
              <w:rPr>
                <w:sz w:val="20"/>
                <w:szCs w:val="20"/>
              </w:rPr>
              <w:t>+9.05 [+5.06, +28.75]</w:t>
            </w:r>
          </w:p>
        </w:tc>
        <w:tc>
          <w:tcPr>
            <w:tcW w:w="1819" w:type="dxa"/>
            <w:tcBorders>
              <w:top w:val="none" w:sz="0" w:space="0" w:color="FFFFFF"/>
              <w:left w:val="none" w:sz="0" w:space="0" w:color="FFFFFF"/>
              <w:bottom w:val="none" w:sz="0" w:space="0" w:color="FFFFFF"/>
              <w:right w:val="none" w:sz="0" w:space="0" w:color="FFFFFF"/>
            </w:tcBorders>
          </w:tcPr>
          <w:p w14:paraId="75279A1E" w14:textId="77777777" w:rsidR="00E91697" w:rsidRDefault="00000000">
            <w:pPr>
              <w:spacing w:before="20" w:after="20"/>
              <w:jc w:val="center"/>
            </w:pPr>
            <w:r>
              <w:rPr>
                <w:sz w:val="20"/>
                <w:szCs w:val="20"/>
              </w:rPr>
              <w:t>+24.94 [+3.51, +51.37]</w:t>
            </w:r>
          </w:p>
        </w:tc>
        <w:tc>
          <w:tcPr>
            <w:tcW w:w="334" w:type="dxa"/>
            <w:tcBorders>
              <w:top w:val="none" w:sz="0" w:space="0" w:color="FFFFFF"/>
              <w:left w:val="none" w:sz="0" w:space="0" w:color="FFFFFF"/>
              <w:bottom w:val="none" w:sz="0" w:space="0" w:color="FFFFFF"/>
              <w:right w:val="none" w:sz="0" w:space="0" w:color="FFFFFF"/>
            </w:tcBorders>
          </w:tcPr>
          <w:p w14:paraId="0B50621E" w14:textId="77777777" w:rsidR="00E91697" w:rsidRDefault="00000000">
            <w:pPr>
              <w:spacing w:before="20" w:after="20"/>
              <w:jc w:val="center"/>
            </w:pPr>
            <w:r>
              <w:rPr>
                <w:sz w:val="20"/>
                <w:szCs w:val="20"/>
              </w:rPr>
              <w:t>7</w:t>
            </w:r>
          </w:p>
        </w:tc>
      </w:tr>
      <w:tr w:rsidR="00E91697" w14:paraId="05D02517"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58E3B206"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32318272"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30662954"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5A4C5428" w14:textId="77777777" w:rsidR="00E91697" w:rsidRDefault="00000000">
            <w:pPr>
              <w:spacing w:before="20" w:after="20"/>
              <w:jc w:val="center"/>
            </w:pPr>
            <w:r>
              <w:rPr>
                <w:sz w:val="20"/>
                <w:szCs w:val="20"/>
              </w:rPr>
              <w:t>+15.83 [+4.70, +25.55]</w:t>
            </w:r>
          </w:p>
        </w:tc>
        <w:tc>
          <w:tcPr>
            <w:tcW w:w="1819" w:type="dxa"/>
            <w:tcBorders>
              <w:top w:val="none" w:sz="0" w:space="0" w:color="FFFFFF"/>
              <w:left w:val="none" w:sz="0" w:space="0" w:color="FFFFFF"/>
              <w:bottom w:val="none" w:sz="0" w:space="0" w:color="FFFFFF"/>
              <w:right w:val="none" w:sz="0" w:space="0" w:color="FFFFFF"/>
            </w:tcBorders>
          </w:tcPr>
          <w:p w14:paraId="3D4557CD" w14:textId="77777777" w:rsidR="00E91697" w:rsidRDefault="00000000">
            <w:pPr>
              <w:spacing w:before="20" w:after="20"/>
              <w:jc w:val="center"/>
            </w:pPr>
            <w:r>
              <w:rPr>
                <w:sz w:val="20"/>
                <w:szCs w:val="20"/>
              </w:rPr>
              <w:t>+20.06 [+10.82, +25.20]</w:t>
            </w:r>
          </w:p>
        </w:tc>
        <w:tc>
          <w:tcPr>
            <w:tcW w:w="1819" w:type="dxa"/>
            <w:tcBorders>
              <w:top w:val="none" w:sz="0" w:space="0" w:color="FFFFFF"/>
              <w:left w:val="none" w:sz="0" w:space="0" w:color="FFFFFF"/>
              <w:bottom w:val="none" w:sz="0" w:space="0" w:color="FFFFFF"/>
              <w:right w:val="none" w:sz="0" w:space="0" w:color="FFFFFF"/>
            </w:tcBorders>
          </w:tcPr>
          <w:p w14:paraId="28462213" w14:textId="77777777" w:rsidR="00E91697" w:rsidRDefault="00000000">
            <w:pPr>
              <w:spacing w:before="20" w:after="20"/>
              <w:jc w:val="center"/>
            </w:pPr>
            <w:r>
              <w:rPr>
                <w:sz w:val="20"/>
                <w:szCs w:val="20"/>
              </w:rPr>
              <w:t>+9.19 [+4.48, +18.18]</w:t>
            </w:r>
          </w:p>
        </w:tc>
        <w:tc>
          <w:tcPr>
            <w:tcW w:w="334" w:type="dxa"/>
            <w:tcBorders>
              <w:top w:val="none" w:sz="0" w:space="0" w:color="FFFFFF"/>
              <w:left w:val="none" w:sz="0" w:space="0" w:color="FFFFFF"/>
              <w:bottom w:val="none" w:sz="0" w:space="0" w:color="FFFFFF"/>
              <w:right w:val="none" w:sz="0" w:space="0" w:color="FFFFFF"/>
            </w:tcBorders>
          </w:tcPr>
          <w:p w14:paraId="2595FB23" w14:textId="77777777" w:rsidR="00E91697" w:rsidRDefault="00E91697">
            <w:pPr>
              <w:spacing w:before="20" w:after="20"/>
              <w:jc w:val="center"/>
            </w:pPr>
          </w:p>
        </w:tc>
      </w:tr>
      <w:tr w:rsidR="00E91697" w14:paraId="1DD8A9BB"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1D2B9FC0" w14:textId="77777777" w:rsidR="00E91697" w:rsidRDefault="00000000">
            <w:pPr>
              <w:spacing w:before="20" w:after="20"/>
            </w:pPr>
            <w:r>
              <w:rPr>
                <w:sz w:val="20"/>
                <w:szCs w:val="20"/>
              </w:rPr>
              <w:t>Rx5day</w:t>
            </w:r>
          </w:p>
        </w:tc>
        <w:tc>
          <w:tcPr>
            <w:tcW w:w="1076" w:type="dxa"/>
            <w:tcBorders>
              <w:top w:val="none" w:sz="0" w:space="0" w:color="FFFFFF"/>
              <w:left w:val="none" w:sz="0" w:space="0" w:color="FFFFFF"/>
              <w:bottom w:val="none" w:sz="0" w:space="0" w:color="FFFFFF"/>
              <w:right w:val="none" w:sz="0" w:space="0" w:color="FFFFFF"/>
            </w:tcBorders>
          </w:tcPr>
          <w:p w14:paraId="2D9C4BAA" w14:textId="77777777" w:rsidR="00E91697" w:rsidRDefault="00000000">
            <w:pPr>
              <w:spacing w:before="20" w:after="20"/>
            </w:pPr>
            <w:r>
              <w:rPr>
                <w:sz w:val="20"/>
                <w:szCs w:val="20"/>
              </w:rPr>
              <w:t>sequence</w:t>
            </w:r>
          </w:p>
        </w:tc>
        <w:tc>
          <w:tcPr>
            <w:tcW w:w="1002" w:type="dxa"/>
            <w:tcBorders>
              <w:top w:val="none" w:sz="0" w:space="0" w:color="FFFFFF"/>
              <w:left w:val="none" w:sz="0" w:space="0" w:color="FFFFFF"/>
              <w:bottom w:val="none" w:sz="0" w:space="0" w:color="FFFFFF"/>
              <w:right w:val="none" w:sz="0" w:space="0" w:color="FFFFFF"/>
            </w:tcBorders>
          </w:tcPr>
          <w:p w14:paraId="600F7419"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4BE5DDE4" w14:textId="77777777" w:rsidR="00E91697" w:rsidRDefault="00000000">
            <w:pPr>
              <w:spacing w:before="20" w:after="20"/>
              <w:jc w:val="center"/>
            </w:pPr>
            <w:r>
              <w:rPr>
                <w:sz w:val="20"/>
                <w:szCs w:val="20"/>
              </w:rPr>
              <w:t>+2.87 [+0.36, +7.61]</w:t>
            </w:r>
          </w:p>
        </w:tc>
        <w:tc>
          <w:tcPr>
            <w:tcW w:w="1819" w:type="dxa"/>
            <w:tcBorders>
              <w:top w:val="none" w:sz="0" w:space="0" w:color="FFFFFF"/>
              <w:left w:val="none" w:sz="0" w:space="0" w:color="FFFFFF"/>
              <w:bottom w:val="none" w:sz="0" w:space="0" w:color="FFFFFF"/>
              <w:right w:val="none" w:sz="0" w:space="0" w:color="FFFFFF"/>
            </w:tcBorders>
          </w:tcPr>
          <w:p w14:paraId="4C7E4281" w14:textId="77777777" w:rsidR="00E91697" w:rsidRDefault="00000000">
            <w:pPr>
              <w:spacing w:before="20" w:after="20"/>
              <w:jc w:val="center"/>
            </w:pPr>
            <w:r>
              <w:rPr>
                <w:sz w:val="20"/>
                <w:szCs w:val="20"/>
              </w:rPr>
              <w:t>+3.11 [-0.31, +5.12]</w:t>
            </w:r>
          </w:p>
        </w:tc>
        <w:tc>
          <w:tcPr>
            <w:tcW w:w="1819" w:type="dxa"/>
            <w:tcBorders>
              <w:top w:val="none" w:sz="0" w:space="0" w:color="FFFFFF"/>
              <w:left w:val="none" w:sz="0" w:space="0" w:color="FFFFFF"/>
              <w:bottom w:val="none" w:sz="0" w:space="0" w:color="FFFFFF"/>
              <w:right w:val="none" w:sz="0" w:space="0" w:color="FFFFFF"/>
            </w:tcBorders>
          </w:tcPr>
          <w:p w14:paraId="22CA1E11" w14:textId="77777777" w:rsidR="00E91697" w:rsidRDefault="00000000">
            <w:pPr>
              <w:spacing w:before="20" w:after="20"/>
              <w:jc w:val="center"/>
            </w:pPr>
            <w:r>
              <w:rPr>
                <w:sz w:val="20"/>
                <w:szCs w:val="20"/>
              </w:rPr>
              <w:t>+0.29 [+0.07, +3.77]</w:t>
            </w:r>
          </w:p>
        </w:tc>
        <w:tc>
          <w:tcPr>
            <w:tcW w:w="334" w:type="dxa"/>
            <w:tcBorders>
              <w:top w:val="none" w:sz="0" w:space="0" w:color="FFFFFF"/>
              <w:left w:val="none" w:sz="0" w:space="0" w:color="FFFFFF"/>
              <w:bottom w:val="none" w:sz="0" w:space="0" w:color="FFFFFF"/>
              <w:right w:val="none" w:sz="0" w:space="0" w:color="FFFFFF"/>
            </w:tcBorders>
          </w:tcPr>
          <w:p w14:paraId="3EF0256D" w14:textId="77777777" w:rsidR="00E91697" w:rsidRDefault="00000000">
            <w:pPr>
              <w:spacing w:before="20" w:after="20"/>
              <w:jc w:val="center"/>
            </w:pPr>
            <w:r>
              <w:rPr>
                <w:sz w:val="20"/>
                <w:szCs w:val="20"/>
              </w:rPr>
              <w:t>7</w:t>
            </w:r>
          </w:p>
        </w:tc>
      </w:tr>
      <w:tr w:rsidR="00E91697" w14:paraId="173168D2"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1BF42A53"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01087F42"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3E06B6EE"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22A4ABE5" w14:textId="77777777" w:rsidR="00E91697" w:rsidRDefault="00000000">
            <w:pPr>
              <w:spacing w:before="20" w:after="20"/>
              <w:jc w:val="center"/>
            </w:pPr>
            <w:r>
              <w:rPr>
                <w:sz w:val="20"/>
                <w:szCs w:val="20"/>
              </w:rPr>
              <w:t>+2.07 [-0.01, +5.58]</w:t>
            </w:r>
          </w:p>
        </w:tc>
        <w:tc>
          <w:tcPr>
            <w:tcW w:w="1819" w:type="dxa"/>
            <w:tcBorders>
              <w:top w:val="none" w:sz="0" w:space="0" w:color="FFFFFF"/>
              <w:left w:val="none" w:sz="0" w:space="0" w:color="FFFFFF"/>
              <w:bottom w:val="none" w:sz="0" w:space="0" w:color="FFFFFF"/>
              <w:right w:val="none" w:sz="0" w:space="0" w:color="FFFFFF"/>
            </w:tcBorders>
          </w:tcPr>
          <w:p w14:paraId="2263308F" w14:textId="77777777" w:rsidR="00E91697" w:rsidRDefault="00000000">
            <w:pPr>
              <w:spacing w:before="20" w:after="20"/>
              <w:jc w:val="center"/>
            </w:pPr>
            <w:r>
              <w:rPr>
                <w:sz w:val="20"/>
                <w:szCs w:val="20"/>
              </w:rPr>
              <w:t>+2.83 [+0.07, +5.45]</w:t>
            </w:r>
          </w:p>
        </w:tc>
        <w:tc>
          <w:tcPr>
            <w:tcW w:w="1819" w:type="dxa"/>
            <w:tcBorders>
              <w:top w:val="none" w:sz="0" w:space="0" w:color="FFFFFF"/>
              <w:left w:val="none" w:sz="0" w:space="0" w:color="FFFFFF"/>
              <w:bottom w:val="none" w:sz="0" w:space="0" w:color="FFFFFF"/>
              <w:right w:val="none" w:sz="0" w:space="0" w:color="FFFFFF"/>
            </w:tcBorders>
          </w:tcPr>
          <w:p w14:paraId="524A928C" w14:textId="77777777" w:rsidR="00E91697" w:rsidRDefault="00000000">
            <w:pPr>
              <w:spacing w:before="20" w:after="20"/>
              <w:jc w:val="center"/>
            </w:pPr>
            <w:r>
              <w:rPr>
                <w:sz w:val="20"/>
                <w:szCs w:val="20"/>
              </w:rPr>
              <w:t>-0.92 [-1.60, +1.86]</w:t>
            </w:r>
          </w:p>
        </w:tc>
        <w:tc>
          <w:tcPr>
            <w:tcW w:w="334" w:type="dxa"/>
            <w:tcBorders>
              <w:top w:val="none" w:sz="0" w:space="0" w:color="FFFFFF"/>
              <w:left w:val="none" w:sz="0" w:space="0" w:color="FFFFFF"/>
              <w:bottom w:val="none" w:sz="0" w:space="0" w:color="FFFFFF"/>
              <w:right w:val="none" w:sz="0" w:space="0" w:color="FFFFFF"/>
            </w:tcBorders>
          </w:tcPr>
          <w:p w14:paraId="11E4F255" w14:textId="77777777" w:rsidR="00E91697" w:rsidRDefault="00E91697">
            <w:pPr>
              <w:spacing w:before="20" w:after="20"/>
              <w:jc w:val="center"/>
            </w:pPr>
          </w:p>
        </w:tc>
      </w:tr>
      <w:tr w:rsidR="00E91697" w14:paraId="63440886"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5D8EEDC5" w14:textId="77777777" w:rsidR="00E91697" w:rsidRDefault="00000000">
            <w:pPr>
              <w:spacing w:before="20" w:after="20"/>
            </w:pPr>
            <w:r>
              <w:rPr>
                <w:sz w:val="20"/>
                <w:szCs w:val="20"/>
              </w:rPr>
              <w:t>CDD</w:t>
            </w:r>
          </w:p>
        </w:tc>
        <w:tc>
          <w:tcPr>
            <w:tcW w:w="1076" w:type="dxa"/>
            <w:tcBorders>
              <w:top w:val="none" w:sz="0" w:space="0" w:color="FFFFFF"/>
              <w:left w:val="none" w:sz="0" w:space="0" w:color="FFFFFF"/>
              <w:bottom w:val="none" w:sz="0" w:space="0" w:color="FFFFFF"/>
              <w:right w:val="none" w:sz="0" w:space="0" w:color="FFFFFF"/>
            </w:tcBorders>
          </w:tcPr>
          <w:p w14:paraId="4F448238" w14:textId="77777777" w:rsidR="00E91697" w:rsidRDefault="00000000">
            <w:pPr>
              <w:spacing w:before="20" w:after="20"/>
            </w:pPr>
            <w:r>
              <w:rPr>
                <w:sz w:val="20"/>
                <w:szCs w:val="20"/>
              </w:rPr>
              <w:t>sequence</w:t>
            </w:r>
          </w:p>
        </w:tc>
        <w:tc>
          <w:tcPr>
            <w:tcW w:w="1002" w:type="dxa"/>
            <w:tcBorders>
              <w:top w:val="none" w:sz="0" w:space="0" w:color="FFFFFF"/>
              <w:left w:val="none" w:sz="0" w:space="0" w:color="FFFFFF"/>
              <w:bottom w:val="none" w:sz="0" w:space="0" w:color="FFFFFF"/>
              <w:right w:val="none" w:sz="0" w:space="0" w:color="FFFFFF"/>
            </w:tcBorders>
          </w:tcPr>
          <w:p w14:paraId="12448E84"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6B1C0E34" w14:textId="77777777" w:rsidR="00E91697" w:rsidRDefault="00000000">
            <w:pPr>
              <w:spacing w:before="20" w:after="20"/>
              <w:jc w:val="center"/>
            </w:pPr>
            <w:r>
              <w:rPr>
                <w:sz w:val="20"/>
                <w:szCs w:val="20"/>
              </w:rPr>
              <w:t>-3.28 [-7.51, -0.55]</w:t>
            </w:r>
          </w:p>
        </w:tc>
        <w:tc>
          <w:tcPr>
            <w:tcW w:w="1819" w:type="dxa"/>
            <w:tcBorders>
              <w:top w:val="none" w:sz="0" w:space="0" w:color="FFFFFF"/>
              <w:left w:val="none" w:sz="0" w:space="0" w:color="FFFFFF"/>
              <w:bottom w:val="none" w:sz="0" w:space="0" w:color="FFFFFF"/>
              <w:right w:val="none" w:sz="0" w:space="0" w:color="FFFFFF"/>
            </w:tcBorders>
          </w:tcPr>
          <w:p w14:paraId="2E59E032" w14:textId="77777777" w:rsidR="00E91697" w:rsidRDefault="00000000">
            <w:pPr>
              <w:spacing w:before="20" w:after="20"/>
              <w:jc w:val="center"/>
            </w:pPr>
            <w:r>
              <w:rPr>
                <w:sz w:val="20"/>
                <w:szCs w:val="20"/>
              </w:rPr>
              <w:t>-4.90 [-8.28, -1.52]</w:t>
            </w:r>
          </w:p>
        </w:tc>
        <w:tc>
          <w:tcPr>
            <w:tcW w:w="1819" w:type="dxa"/>
            <w:tcBorders>
              <w:top w:val="none" w:sz="0" w:space="0" w:color="FFFFFF"/>
              <w:left w:val="none" w:sz="0" w:space="0" w:color="FFFFFF"/>
              <w:bottom w:val="none" w:sz="0" w:space="0" w:color="FFFFFF"/>
              <w:right w:val="none" w:sz="0" w:space="0" w:color="FFFFFF"/>
            </w:tcBorders>
          </w:tcPr>
          <w:p w14:paraId="48FAA904" w14:textId="77777777" w:rsidR="00E91697" w:rsidRDefault="00000000">
            <w:pPr>
              <w:spacing w:before="20" w:after="20"/>
              <w:jc w:val="center"/>
            </w:pPr>
            <w:r>
              <w:rPr>
                <w:sz w:val="20"/>
                <w:szCs w:val="20"/>
              </w:rPr>
              <w:t>-2.85 [-7.23, -1.16]</w:t>
            </w:r>
          </w:p>
        </w:tc>
        <w:tc>
          <w:tcPr>
            <w:tcW w:w="334" w:type="dxa"/>
            <w:tcBorders>
              <w:top w:val="none" w:sz="0" w:space="0" w:color="FFFFFF"/>
              <w:left w:val="none" w:sz="0" w:space="0" w:color="FFFFFF"/>
              <w:bottom w:val="none" w:sz="0" w:space="0" w:color="FFFFFF"/>
              <w:right w:val="none" w:sz="0" w:space="0" w:color="FFFFFF"/>
            </w:tcBorders>
          </w:tcPr>
          <w:p w14:paraId="5332E9E6" w14:textId="77777777" w:rsidR="00E91697" w:rsidRDefault="00000000">
            <w:pPr>
              <w:spacing w:before="20" w:after="20"/>
              <w:jc w:val="center"/>
            </w:pPr>
            <w:r>
              <w:rPr>
                <w:sz w:val="20"/>
                <w:szCs w:val="20"/>
              </w:rPr>
              <w:t>7</w:t>
            </w:r>
          </w:p>
        </w:tc>
      </w:tr>
      <w:tr w:rsidR="00E91697" w14:paraId="01C2229C"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4407F311" w14:textId="77777777" w:rsidR="00E91697" w:rsidRDefault="00E91697">
            <w:pPr>
              <w:spacing w:before="20" w:after="20"/>
            </w:pPr>
          </w:p>
        </w:tc>
        <w:tc>
          <w:tcPr>
            <w:tcW w:w="1076" w:type="dxa"/>
            <w:tcBorders>
              <w:top w:val="none" w:sz="0" w:space="0" w:color="FFFFFF"/>
              <w:left w:val="none" w:sz="0" w:space="0" w:color="FFFFFF"/>
              <w:bottom w:val="none" w:sz="0" w:space="0" w:color="FFFFFF"/>
              <w:right w:val="none" w:sz="0" w:space="0" w:color="FFFFFF"/>
            </w:tcBorders>
          </w:tcPr>
          <w:p w14:paraId="0004ACB8" w14:textId="77777777" w:rsidR="00E91697" w:rsidRDefault="00E91697">
            <w:pPr>
              <w:spacing w:before="20" w:after="20"/>
            </w:pPr>
          </w:p>
        </w:tc>
        <w:tc>
          <w:tcPr>
            <w:tcW w:w="1002" w:type="dxa"/>
            <w:tcBorders>
              <w:top w:val="none" w:sz="0" w:space="0" w:color="FFFFFF"/>
              <w:left w:val="none" w:sz="0" w:space="0" w:color="FFFFFF"/>
              <w:bottom w:val="none" w:sz="0" w:space="0" w:color="FFFFFF"/>
              <w:right w:val="none" w:sz="0" w:space="0" w:color="FFFFFF"/>
            </w:tcBorders>
          </w:tcPr>
          <w:p w14:paraId="4E62C4A4"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none" w:sz="0" w:space="0" w:color="FFFFFF"/>
              <w:right w:val="none" w:sz="0" w:space="0" w:color="FFFFFF"/>
            </w:tcBorders>
          </w:tcPr>
          <w:p w14:paraId="3E1EB174" w14:textId="77777777" w:rsidR="00E91697" w:rsidRDefault="00000000">
            <w:pPr>
              <w:spacing w:before="20" w:after="20"/>
              <w:jc w:val="center"/>
            </w:pPr>
            <w:r>
              <w:rPr>
                <w:sz w:val="20"/>
                <w:szCs w:val="20"/>
              </w:rPr>
              <w:t>-0.50 [-3.76, -0.17]</w:t>
            </w:r>
          </w:p>
        </w:tc>
        <w:tc>
          <w:tcPr>
            <w:tcW w:w="1819" w:type="dxa"/>
            <w:tcBorders>
              <w:top w:val="none" w:sz="0" w:space="0" w:color="FFFFFF"/>
              <w:left w:val="none" w:sz="0" w:space="0" w:color="FFFFFF"/>
              <w:bottom w:val="none" w:sz="0" w:space="0" w:color="FFFFFF"/>
              <w:right w:val="none" w:sz="0" w:space="0" w:color="FFFFFF"/>
            </w:tcBorders>
          </w:tcPr>
          <w:p w14:paraId="3A8A89BB" w14:textId="77777777" w:rsidR="00E91697" w:rsidRDefault="00000000">
            <w:pPr>
              <w:spacing w:before="20" w:after="20"/>
              <w:jc w:val="center"/>
            </w:pPr>
            <w:r>
              <w:rPr>
                <w:sz w:val="20"/>
                <w:szCs w:val="20"/>
              </w:rPr>
              <w:t>-1.65 [-5.30, +0.52]</w:t>
            </w:r>
          </w:p>
        </w:tc>
        <w:tc>
          <w:tcPr>
            <w:tcW w:w="1819" w:type="dxa"/>
            <w:tcBorders>
              <w:top w:val="none" w:sz="0" w:space="0" w:color="FFFFFF"/>
              <w:left w:val="none" w:sz="0" w:space="0" w:color="FFFFFF"/>
              <w:bottom w:val="none" w:sz="0" w:space="0" w:color="FFFFFF"/>
              <w:right w:val="none" w:sz="0" w:space="0" w:color="FFFFFF"/>
            </w:tcBorders>
          </w:tcPr>
          <w:p w14:paraId="6FD2958F" w14:textId="77777777" w:rsidR="00E91697" w:rsidRDefault="00000000">
            <w:pPr>
              <w:spacing w:before="20" w:after="20"/>
              <w:jc w:val="center"/>
            </w:pPr>
            <w:r>
              <w:rPr>
                <w:sz w:val="20"/>
                <w:szCs w:val="20"/>
              </w:rPr>
              <w:t>-0.75 [-3.56, +0.47]</w:t>
            </w:r>
          </w:p>
        </w:tc>
        <w:tc>
          <w:tcPr>
            <w:tcW w:w="334" w:type="dxa"/>
            <w:tcBorders>
              <w:top w:val="none" w:sz="0" w:space="0" w:color="FFFFFF"/>
              <w:left w:val="none" w:sz="0" w:space="0" w:color="FFFFFF"/>
              <w:bottom w:val="none" w:sz="0" w:space="0" w:color="FFFFFF"/>
              <w:right w:val="none" w:sz="0" w:space="0" w:color="FFFFFF"/>
            </w:tcBorders>
          </w:tcPr>
          <w:p w14:paraId="7CC08BDA" w14:textId="77777777" w:rsidR="00E91697" w:rsidRDefault="00E91697">
            <w:pPr>
              <w:spacing w:before="20" w:after="20"/>
              <w:jc w:val="center"/>
            </w:pPr>
          </w:p>
        </w:tc>
      </w:tr>
      <w:tr w:rsidR="00E91697" w14:paraId="2C580CCD" w14:textId="77777777">
        <w:tblPrEx>
          <w:tblCellMar>
            <w:top w:w="0" w:type="dxa"/>
            <w:bottom w:w="0" w:type="dxa"/>
          </w:tblCellMar>
        </w:tblPrEx>
        <w:tc>
          <w:tcPr>
            <w:tcW w:w="1151" w:type="dxa"/>
            <w:tcBorders>
              <w:top w:val="none" w:sz="0" w:space="0" w:color="FFFFFF"/>
              <w:left w:val="none" w:sz="0" w:space="0" w:color="FFFFFF"/>
              <w:bottom w:val="none" w:sz="0" w:space="0" w:color="FFFFFF"/>
              <w:right w:val="none" w:sz="0" w:space="0" w:color="FFFFFF"/>
            </w:tcBorders>
          </w:tcPr>
          <w:p w14:paraId="0FB66A41" w14:textId="77777777" w:rsidR="00E91697" w:rsidRDefault="00000000">
            <w:pPr>
              <w:spacing w:before="20" w:after="20"/>
            </w:pPr>
            <w:r>
              <w:rPr>
                <w:sz w:val="20"/>
                <w:szCs w:val="20"/>
              </w:rPr>
              <w:t>CWD</w:t>
            </w:r>
          </w:p>
        </w:tc>
        <w:tc>
          <w:tcPr>
            <w:tcW w:w="1076" w:type="dxa"/>
            <w:tcBorders>
              <w:top w:val="none" w:sz="0" w:space="0" w:color="FFFFFF"/>
              <w:left w:val="none" w:sz="0" w:space="0" w:color="FFFFFF"/>
              <w:bottom w:val="none" w:sz="0" w:space="0" w:color="FFFFFF"/>
              <w:right w:val="none" w:sz="0" w:space="0" w:color="FFFFFF"/>
            </w:tcBorders>
          </w:tcPr>
          <w:p w14:paraId="64170034" w14:textId="77777777" w:rsidR="00E91697" w:rsidRDefault="00000000">
            <w:pPr>
              <w:spacing w:before="20" w:after="20"/>
            </w:pPr>
            <w:r>
              <w:rPr>
                <w:sz w:val="20"/>
                <w:szCs w:val="20"/>
              </w:rPr>
              <w:t>sequence</w:t>
            </w:r>
          </w:p>
        </w:tc>
        <w:tc>
          <w:tcPr>
            <w:tcW w:w="1002" w:type="dxa"/>
            <w:tcBorders>
              <w:top w:val="none" w:sz="0" w:space="0" w:color="FFFFFF"/>
              <w:left w:val="none" w:sz="0" w:space="0" w:color="FFFFFF"/>
              <w:bottom w:val="none" w:sz="0" w:space="0" w:color="FFFFFF"/>
              <w:right w:val="none" w:sz="0" w:space="0" w:color="FFFFFF"/>
            </w:tcBorders>
          </w:tcPr>
          <w:p w14:paraId="616FAB66" w14:textId="77777777" w:rsidR="00E91697" w:rsidRDefault="00000000">
            <w:pPr>
              <w:spacing w:before="20" w:after="20"/>
            </w:pPr>
            <w:r>
              <w:rPr>
                <w:sz w:val="20"/>
                <w:szCs w:val="20"/>
              </w:rPr>
              <w:t>SSP2-4.5</w:t>
            </w:r>
          </w:p>
        </w:tc>
        <w:tc>
          <w:tcPr>
            <w:tcW w:w="1819" w:type="dxa"/>
            <w:tcBorders>
              <w:top w:val="none" w:sz="0" w:space="0" w:color="FFFFFF"/>
              <w:left w:val="none" w:sz="0" w:space="0" w:color="FFFFFF"/>
              <w:bottom w:val="none" w:sz="0" w:space="0" w:color="FFFFFF"/>
              <w:right w:val="none" w:sz="0" w:space="0" w:color="FFFFFF"/>
            </w:tcBorders>
          </w:tcPr>
          <w:p w14:paraId="140F4019" w14:textId="77777777" w:rsidR="00E91697" w:rsidRDefault="00000000">
            <w:pPr>
              <w:spacing w:before="20" w:after="20"/>
              <w:jc w:val="center"/>
            </w:pPr>
            <w:r>
              <w:rPr>
                <w:sz w:val="20"/>
                <w:szCs w:val="20"/>
              </w:rPr>
              <w:t>+1.35 [-0.07, +3.26]</w:t>
            </w:r>
          </w:p>
        </w:tc>
        <w:tc>
          <w:tcPr>
            <w:tcW w:w="1819" w:type="dxa"/>
            <w:tcBorders>
              <w:top w:val="none" w:sz="0" w:space="0" w:color="FFFFFF"/>
              <w:left w:val="none" w:sz="0" w:space="0" w:color="FFFFFF"/>
              <w:bottom w:val="none" w:sz="0" w:space="0" w:color="FFFFFF"/>
              <w:right w:val="none" w:sz="0" w:space="0" w:color="FFFFFF"/>
            </w:tcBorders>
          </w:tcPr>
          <w:p w14:paraId="281AC2F8" w14:textId="77777777" w:rsidR="00E91697" w:rsidRDefault="00000000">
            <w:pPr>
              <w:spacing w:before="20" w:after="20"/>
              <w:jc w:val="center"/>
            </w:pPr>
            <w:r>
              <w:rPr>
                <w:sz w:val="20"/>
                <w:szCs w:val="20"/>
              </w:rPr>
              <w:t>+2.24 [+0.31, +3.60]</w:t>
            </w:r>
          </w:p>
        </w:tc>
        <w:tc>
          <w:tcPr>
            <w:tcW w:w="1819" w:type="dxa"/>
            <w:tcBorders>
              <w:top w:val="none" w:sz="0" w:space="0" w:color="FFFFFF"/>
              <w:left w:val="none" w:sz="0" w:space="0" w:color="FFFFFF"/>
              <w:bottom w:val="none" w:sz="0" w:space="0" w:color="FFFFFF"/>
              <w:right w:val="none" w:sz="0" w:space="0" w:color="FFFFFF"/>
            </w:tcBorders>
          </w:tcPr>
          <w:p w14:paraId="25B66D4D" w14:textId="77777777" w:rsidR="00E91697" w:rsidRDefault="00000000">
            <w:pPr>
              <w:spacing w:before="20" w:after="20"/>
              <w:jc w:val="center"/>
            </w:pPr>
            <w:r>
              <w:rPr>
                <w:sz w:val="20"/>
                <w:szCs w:val="20"/>
              </w:rPr>
              <w:t>+1.46 [+0.50, +4.47]</w:t>
            </w:r>
          </w:p>
        </w:tc>
        <w:tc>
          <w:tcPr>
            <w:tcW w:w="334" w:type="dxa"/>
            <w:tcBorders>
              <w:top w:val="none" w:sz="0" w:space="0" w:color="FFFFFF"/>
              <w:left w:val="none" w:sz="0" w:space="0" w:color="FFFFFF"/>
              <w:bottom w:val="none" w:sz="0" w:space="0" w:color="FFFFFF"/>
              <w:right w:val="none" w:sz="0" w:space="0" w:color="FFFFFF"/>
            </w:tcBorders>
          </w:tcPr>
          <w:p w14:paraId="628BE834" w14:textId="77777777" w:rsidR="00E91697" w:rsidRDefault="00000000">
            <w:pPr>
              <w:spacing w:before="20" w:after="20"/>
              <w:jc w:val="center"/>
            </w:pPr>
            <w:r>
              <w:rPr>
                <w:sz w:val="20"/>
                <w:szCs w:val="20"/>
              </w:rPr>
              <w:t>7</w:t>
            </w:r>
          </w:p>
        </w:tc>
      </w:tr>
      <w:tr w:rsidR="00E91697" w14:paraId="2E679F80" w14:textId="77777777">
        <w:tblPrEx>
          <w:tblCellMar>
            <w:top w:w="0" w:type="dxa"/>
            <w:bottom w:w="0" w:type="dxa"/>
          </w:tblCellMar>
        </w:tblPrEx>
        <w:tc>
          <w:tcPr>
            <w:tcW w:w="1151" w:type="dxa"/>
            <w:tcBorders>
              <w:top w:val="none" w:sz="0" w:space="0" w:color="FFFFFF"/>
              <w:left w:val="none" w:sz="0" w:space="0" w:color="FFFFFF"/>
              <w:bottom w:val="single" w:sz="6" w:space="0" w:color="000000"/>
              <w:right w:val="none" w:sz="0" w:space="0" w:color="FFFFFF"/>
            </w:tcBorders>
          </w:tcPr>
          <w:p w14:paraId="48EFDC41" w14:textId="77777777" w:rsidR="00E91697" w:rsidRDefault="00E91697">
            <w:pPr>
              <w:spacing w:before="20" w:after="20"/>
            </w:pPr>
          </w:p>
        </w:tc>
        <w:tc>
          <w:tcPr>
            <w:tcW w:w="1076" w:type="dxa"/>
            <w:tcBorders>
              <w:top w:val="none" w:sz="0" w:space="0" w:color="FFFFFF"/>
              <w:left w:val="none" w:sz="0" w:space="0" w:color="FFFFFF"/>
              <w:bottom w:val="single" w:sz="6" w:space="0" w:color="000000"/>
              <w:right w:val="none" w:sz="0" w:space="0" w:color="FFFFFF"/>
            </w:tcBorders>
          </w:tcPr>
          <w:p w14:paraId="34E183E7" w14:textId="77777777" w:rsidR="00E91697" w:rsidRDefault="00E91697">
            <w:pPr>
              <w:spacing w:before="20" w:after="20"/>
            </w:pPr>
          </w:p>
        </w:tc>
        <w:tc>
          <w:tcPr>
            <w:tcW w:w="1002" w:type="dxa"/>
            <w:tcBorders>
              <w:top w:val="none" w:sz="0" w:space="0" w:color="FFFFFF"/>
              <w:left w:val="none" w:sz="0" w:space="0" w:color="FFFFFF"/>
              <w:bottom w:val="single" w:sz="6" w:space="0" w:color="000000"/>
              <w:right w:val="none" w:sz="0" w:space="0" w:color="FFFFFF"/>
            </w:tcBorders>
          </w:tcPr>
          <w:p w14:paraId="4A8E0A09" w14:textId="77777777" w:rsidR="00E91697" w:rsidRDefault="00000000">
            <w:pPr>
              <w:spacing w:before="20" w:after="20"/>
            </w:pPr>
            <w:r>
              <w:rPr>
                <w:sz w:val="20"/>
                <w:szCs w:val="20"/>
              </w:rPr>
              <w:t>SSP5-8.5</w:t>
            </w:r>
          </w:p>
        </w:tc>
        <w:tc>
          <w:tcPr>
            <w:tcW w:w="1819" w:type="dxa"/>
            <w:tcBorders>
              <w:top w:val="none" w:sz="0" w:space="0" w:color="FFFFFF"/>
              <w:left w:val="none" w:sz="0" w:space="0" w:color="FFFFFF"/>
              <w:bottom w:val="single" w:sz="6" w:space="0" w:color="000000"/>
              <w:right w:val="none" w:sz="0" w:space="0" w:color="FFFFFF"/>
            </w:tcBorders>
          </w:tcPr>
          <w:p w14:paraId="4623E24C" w14:textId="77777777" w:rsidR="00E91697" w:rsidRDefault="00000000">
            <w:pPr>
              <w:spacing w:before="20" w:after="20"/>
              <w:jc w:val="center"/>
            </w:pPr>
            <w:r>
              <w:rPr>
                <w:sz w:val="20"/>
                <w:szCs w:val="20"/>
              </w:rPr>
              <w:t>-2.70 [-4.75, -0.27]</w:t>
            </w:r>
          </w:p>
        </w:tc>
        <w:tc>
          <w:tcPr>
            <w:tcW w:w="1819" w:type="dxa"/>
            <w:tcBorders>
              <w:top w:val="none" w:sz="0" w:space="0" w:color="FFFFFF"/>
              <w:left w:val="none" w:sz="0" w:space="0" w:color="FFFFFF"/>
              <w:bottom w:val="single" w:sz="6" w:space="0" w:color="000000"/>
              <w:right w:val="none" w:sz="0" w:space="0" w:color="FFFFFF"/>
            </w:tcBorders>
          </w:tcPr>
          <w:p w14:paraId="69AD4E15" w14:textId="77777777" w:rsidR="00E91697" w:rsidRDefault="00000000">
            <w:pPr>
              <w:spacing w:before="20" w:after="20"/>
              <w:jc w:val="center"/>
            </w:pPr>
            <w:r>
              <w:rPr>
                <w:sz w:val="20"/>
                <w:szCs w:val="20"/>
              </w:rPr>
              <w:t>-2.24 [-3.71, -0.78]</w:t>
            </w:r>
          </w:p>
        </w:tc>
        <w:tc>
          <w:tcPr>
            <w:tcW w:w="1819" w:type="dxa"/>
            <w:tcBorders>
              <w:top w:val="none" w:sz="0" w:space="0" w:color="FFFFFF"/>
              <w:left w:val="none" w:sz="0" w:space="0" w:color="FFFFFF"/>
              <w:bottom w:val="single" w:sz="6" w:space="0" w:color="000000"/>
              <w:right w:val="none" w:sz="0" w:space="0" w:color="FFFFFF"/>
            </w:tcBorders>
          </w:tcPr>
          <w:p w14:paraId="3899589E" w14:textId="77777777" w:rsidR="00E91697" w:rsidRDefault="00000000">
            <w:pPr>
              <w:spacing w:before="20" w:after="20"/>
              <w:jc w:val="center"/>
            </w:pPr>
            <w:r>
              <w:rPr>
                <w:sz w:val="20"/>
                <w:szCs w:val="20"/>
              </w:rPr>
              <w:t>-2.25 [-5.09, -0.05]</w:t>
            </w:r>
          </w:p>
        </w:tc>
        <w:tc>
          <w:tcPr>
            <w:tcW w:w="334" w:type="dxa"/>
            <w:tcBorders>
              <w:top w:val="none" w:sz="0" w:space="0" w:color="FFFFFF"/>
              <w:left w:val="none" w:sz="0" w:space="0" w:color="FFFFFF"/>
              <w:bottom w:val="single" w:sz="6" w:space="0" w:color="000000"/>
              <w:right w:val="none" w:sz="0" w:space="0" w:color="FFFFFF"/>
            </w:tcBorders>
          </w:tcPr>
          <w:p w14:paraId="6DE968D5" w14:textId="77777777" w:rsidR="00E91697" w:rsidRDefault="00E91697">
            <w:pPr>
              <w:spacing w:before="20" w:after="20"/>
              <w:jc w:val="center"/>
            </w:pPr>
          </w:p>
        </w:tc>
      </w:tr>
    </w:tbl>
    <w:p w14:paraId="585ECF89" w14:textId="77777777" w:rsidR="00E91697" w:rsidRDefault="00000000">
      <w:pPr>
        <w:keepNext/>
        <w:spacing w:before="60" w:after="20"/>
        <w:jc w:val="center"/>
      </w:pPr>
      <w:r>
        <w:rPr>
          <w:noProof/>
        </w:rPr>
        <w:lastRenderedPageBreak/>
        <w:drawing>
          <wp:inline distT="0" distB="0" distL="0" distR="0" wp14:anchorId="19E40D14" wp14:editId="5CD6751B">
            <wp:extent cx="4648200" cy="5067300"/>
            <wp:effectExtent l="0" t="0" r="0" b="0"/>
            <wp:docPr id="779236060" name="รูปภาพ 77923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48200" cy="5067300"/>
                    </a:xfrm>
                    <a:prstGeom prst="rect">
                      <a:avLst/>
                    </a:prstGeom>
                  </pic:spPr>
                </pic:pic>
              </a:graphicData>
            </a:graphic>
          </wp:inline>
        </w:drawing>
      </w:r>
    </w:p>
    <w:p w14:paraId="484C9309" w14:textId="77777777" w:rsidR="00E91697" w:rsidRDefault="00000000">
      <w:pPr>
        <w:keepLines/>
        <w:spacing w:before="40" w:after="80"/>
      </w:pPr>
      <w:r>
        <w:rPr>
          <w:b/>
          <w:bCs/>
          <w:sz w:val="20"/>
          <w:szCs w:val="20"/>
        </w:rPr>
        <w:t>Figure 5</w:t>
      </w:r>
      <w:r>
        <w:rPr>
          <w:sz w:val="20"/>
          <w:szCs w:val="20"/>
        </w:rPr>
        <w:t xml:space="preserve"> As Figure 4, for derived extreme-rainfall indices: (a) daily and threshold-derived extremes and (b) tail-derived and sequence-dependent indices, using the construction types of </w:t>
      </w:r>
      <w:proofErr w:type="gramStart"/>
      <w:r>
        <w:rPr>
          <w:sz w:val="20"/>
          <w:szCs w:val="20"/>
        </w:rPr>
        <w:t>Table</w:t>
      </w:r>
      <w:proofErr w:type="gramEnd"/>
      <w:r>
        <w:rPr>
          <w:sz w:val="20"/>
          <w:szCs w:val="20"/>
        </w:rPr>
        <w:t xml:space="preserve"> 2. Indices on the shaded background, to the right of the dashed rule, are sequence-dependent: a marginal transformation cannot reconstruct the day ordering on which they are defined. The same marking is used in Figures 2, 3 and 6.</w:t>
      </w:r>
    </w:p>
    <w:p w14:paraId="3CB1990F" w14:textId="77777777" w:rsidR="00E91697" w:rsidRDefault="00000000">
      <w:pPr>
        <w:keepNext/>
        <w:spacing w:before="100" w:after="20" w:line="480" w:lineRule="auto"/>
      </w:pPr>
      <w:r>
        <w:rPr>
          <w:i/>
          <w:iCs/>
        </w:rPr>
        <w:t>3.6 Temporal dependence and persistence</w:t>
      </w:r>
    </w:p>
    <w:p w14:paraId="0449B7A9" w14:textId="77777777" w:rsidR="00E91697" w:rsidRDefault="00000000">
      <w:pPr>
        <w:spacing w:line="480" w:lineRule="auto"/>
        <w:ind w:firstLine="360"/>
        <w:jc w:val="both"/>
      </w:pPr>
      <w:r>
        <w:t xml:space="preserve">Residual errors in the wet–dry sequence were very similar across the three methods (Supplementary Table S7). Over the validation period the mean absolute bias in the transition probability </w:t>
      </w:r>
      <w:proofErr w:type="gramStart"/>
      <w:r>
        <w:t>P(</w:t>
      </w:r>
      <w:proofErr w:type="gramEnd"/>
      <w:r>
        <w:t xml:space="preserve">wet | wet) was 14.02% for QM/EQM, 14.09% for </w:t>
      </w:r>
      <w:proofErr w:type="spellStart"/>
      <w:r>
        <w:t>DetQM</w:t>
      </w:r>
      <w:proofErr w:type="spellEnd"/>
      <w:r>
        <w:t xml:space="preserve"> and 14.27% for QDM against 25.84% for the raw models, an improvement that follows from the shared frequency adaptation rather than from the intensity transformation. The lag-1 autocorrelation of occurrence was not improved by any method, at 37.38–37.53% against 33.15% before correction, and mean </w:t>
      </w:r>
      <w:r>
        <w:lastRenderedPageBreak/>
        <w:t>dry-spell length was made worse, at 37.71–38.31% against 22.45%. Mean wet-spell length improved from 64.56% to 48.38–48.83%.</w:t>
      </w:r>
    </w:p>
    <w:p w14:paraId="1B176E64" w14:textId="77777777" w:rsidR="00E91697" w:rsidRDefault="00000000">
      <w:pPr>
        <w:spacing w:line="480" w:lineRule="auto"/>
        <w:ind w:firstLine="360"/>
        <w:jc w:val="both"/>
      </w:pPr>
      <w:r>
        <w:t>That dry-spell statistics degrade while wet-spell statistics improve is consistent with the mechanism described in Section 3.2: raising the model wet-day threshold to match an observed wet-day frequency of about 62% converts many modelled dry days into wet ones, which lengthens wet spells towards the observed value and shortens dry spells away from it. The three methods differ by less than 0.7 percentage points on every sequencing statistic, because they share that occurrence model and differ only in the intensity transformation. Potter et al. [22] showed that quantile mapping cannot correct an underestimated autocorrelation in rainfall sequencing, which is what the unimproved lag-1 statistic shows here, and O'Brien et al. [23] noted that quantile mapping takes no account of consecutiveness and can insert wet-day interruptions into otherwise dry periods, which is the mechanism by which the dry-spell bias is made worse.</w:t>
      </w:r>
    </w:p>
    <w:p w14:paraId="6CF2BB4E" w14:textId="77777777" w:rsidR="00E91697" w:rsidRDefault="00000000">
      <w:pPr>
        <w:keepNext/>
        <w:spacing w:before="100" w:after="20" w:line="480" w:lineRule="auto"/>
      </w:pPr>
      <w:r>
        <w:rPr>
          <w:i/>
          <w:iCs/>
        </w:rPr>
        <w:t>3.7 Relative roles of climate model and method effects</w:t>
      </w:r>
    </w:p>
    <w:p w14:paraId="37089C64" w14:textId="77777777" w:rsidR="00E91697" w:rsidRDefault="00000000">
      <w:pPr>
        <w:spacing w:line="480" w:lineRule="auto"/>
        <w:ind w:firstLine="360"/>
        <w:jc w:val="both"/>
      </w:pPr>
      <w:r>
        <w:t>The additive main effect of the bias-correction method was small in both scenarios (Table 3). It reached at most 2.1% of the total sum of squares, for the frequency of days above 20 mm under SSP2-4.5, and at most 1.3% under SSP5-8.5, for q95. The climate-model main effect spanned 43.2% to 89.8% under SSP2-4.5 and 52.2% to 92.5% under SSP5-8.5.</w:t>
      </w:r>
    </w:p>
    <w:p w14:paraId="6064884F" w14:textId="77777777" w:rsidR="00E91697" w:rsidRDefault="00000000">
      <w:pPr>
        <w:spacing w:line="480" w:lineRule="auto"/>
        <w:ind w:firstLine="360"/>
        <w:jc w:val="both"/>
      </w:pPr>
      <w:r>
        <w:t>The residual term ranged from 10.0% to 54.7% under SSP2-4.5 and from 7.4% to 47.1% under SSP5-8.5, and was largest for the same indices on which the methods diverged most. Because station is not an explicit factor, this term carries station-level and higher-order variation as well as the model × method interaction and cannot be read as interaction alone. The residual shares are smaller than those found in the companion province, where they reached 90%; the Nan network is more spatially coherent, with 14 gauges over a larger area and a stronger elevation gradient.</w:t>
      </w:r>
    </w:p>
    <w:p w14:paraId="0BCE32B1" w14:textId="77777777" w:rsidR="00E91697" w:rsidRDefault="00000000">
      <w:pPr>
        <w:keepNext/>
        <w:keepLines/>
        <w:spacing w:before="40" w:after="60"/>
      </w:pPr>
      <w:r>
        <w:rPr>
          <w:b/>
          <w:bCs/>
          <w:sz w:val="20"/>
          <w:szCs w:val="20"/>
        </w:rPr>
        <w:lastRenderedPageBreak/>
        <w:t>Table 3</w:t>
      </w:r>
      <w:r>
        <w:rPr>
          <w:sz w:val="20"/>
          <w:szCs w:val="20"/>
        </w:rPr>
        <w:t xml:space="preserve"> Descriptive two-factor sum-of-squares partition of the projected change by climate model and bias-correction method, computed separately for each scenario, for the indices discussed in Section 3.7; the full listing is in Supplementary Table S6. </w:t>
      </w:r>
      <w:r>
        <w:rPr>
          <w:i/>
          <w:iCs/>
          <w:sz w:val="20"/>
          <w:szCs w:val="20"/>
        </w:rPr>
        <w:t>N</w:t>
      </w:r>
      <w:r>
        <w:rPr>
          <w:sz w:val="20"/>
          <w:szCs w:val="20"/>
        </w:rPr>
        <w:t xml:space="preserve"> is the number of model x method x gauge cells entering the partition and </w:t>
      </w:r>
      <w:proofErr w:type="spellStart"/>
      <w:r>
        <w:rPr>
          <w:i/>
          <w:iCs/>
          <w:sz w:val="20"/>
          <w:szCs w:val="20"/>
        </w:rPr>
        <w:t>n</w:t>
      </w:r>
      <w:proofErr w:type="spellEnd"/>
      <w:r>
        <w:rPr>
          <w:sz w:val="20"/>
          <w:szCs w:val="20"/>
        </w:rPr>
        <w:t xml:space="preserve"> the number of contributing models. The residual includes the model x method interaction together with station-level and higher-order unmodelled variation, because station is not an explicit factor. This is not a variance-component analysis.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1253"/>
        <w:gridCol w:w="585"/>
        <w:gridCol w:w="668"/>
        <w:gridCol w:w="1754"/>
        <w:gridCol w:w="1921"/>
        <w:gridCol w:w="1587"/>
      </w:tblGrid>
      <w:tr w:rsidR="00E91697" w14:paraId="4853B97A" w14:textId="77777777">
        <w:tblPrEx>
          <w:tblCellMar>
            <w:top w:w="0" w:type="dxa"/>
            <w:bottom w:w="0" w:type="dxa"/>
          </w:tblCellMar>
        </w:tblPrEx>
        <w:trPr>
          <w:tblHeader/>
        </w:trPr>
        <w:tc>
          <w:tcPr>
            <w:tcW w:w="1253" w:type="dxa"/>
            <w:tcBorders>
              <w:top w:val="single" w:sz="6" w:space="0" w:color="000000"/>
              <w:left w:val="none" w:sz="0" w:space="0" w:color="FFFFFF"/>
              <w:bottom w:val="single" w:sz="6" w:space="0" w:color="000000"/>
              <w:right w:val="none" w:sz="0" w:space="0" w:color="FFFFFF"/>
            </w:tcBorders>
            <w:shd w:val="clear" w:color="auto" w:fill="FFFFFF"/>
          </w:tcPr>
          <w:p w14:paraId="007B6AAD" w14:textId="77777777" w:rsidR="00E91697" w:rsidRDefault="00000000">
            <w:pPr>
              <w:spacing w:before="20" w:after="20"/>
            </w:pPr>
            <w:r>
              <w:rPr>
                <w:b/>
                <w:bCs/>
                <w:sz w:val="20"/>
                <w:szCs w:val="20"/>
              </w:rPr>
              <w:t>Scenario</w:t>
            </w:r>
          </w:p>
        </w:tc>
        <w:tc>
          <w:tcPr>
            <w:tcW w:w="1253" w:type="dxa"/>
            <w:tcBorders>
              <w:top w:val="single" w:sz="6" w:space="0" w:color="000000"/>
              <w:left w:val="none" w:sz="0" w:space="0" w:color="FFFFFF"/>
              <w:bottom w:val="single" w:sz="6" w:space="0" w:color="000000"/>
              <w:right w:val="none" w:sz="0" w:space="0" w:color="FFFFFF"/>
            </w:tcBorders>
            <w:shd w:val="clear" w:color="auto" w:fill="FFFFFF"/>
          </w:tcPr>
          <w:p w14:paraId="19B80F12" w14:textId="77777777" w:rsidR="00E91697" w:rsidRDefault="00000000">
            <w:pPr>
              <w:spacing w:before="20" w:after="20"/>
            </w:pPr>
            <w:r>
              <w:rPr>
                <w:b/>
                <w:bCs/>
                <w:sz w:val="20"/>
                <w:szCs w:val="20"/>
              </w:rPr>
              <w:t>Index</w:t>
            </w:r>
          </w:p>
        </w:tc>
        <w:tc>
          <w:tcPr>
            <w:tcW w:w="585" w:type="dxa"/>
            <w:tcBorders>
              <w:top w:val="single" w:sz="6" w:space="0" w:color="000000"/>
              <w:left w:val="none" w:sz="0" w:space="0" w:color="FFFFFF"/>
              <w:bottom w:val="single" w:sz="6" w:space="0" w:color="000000"/>
              <w:right w:val="none" w:sz="0" w:space="0" w:color="FFFFFF"/>
            </w:tcBorders>
            <w:shd w:val="clear" w:color="auto" w:fill="FFFFFF"/>
          </w:tcPr>
          <w:p w14:paraId="4526DD10" w14:textId="77777777" w:rsidR="00E91697" w:rsidRDefault="00000000">
            <w:pPr>
              <w:spacing w:before="20" w:after="20"/>
              <w:jc w:val="right"/>
            </w:pPr>
            <w:r>
              <w:rPr>
                <w:b/>
                <w:bCs/>
                <w:sz w:val="20"/>
                <w:szCs w:val="20"/>
              </w:rPr>
              <w:t>N</w:t>
            </w:r>
          </w:p>
        </w:tc>
        <w:tc>
          <w:tcPr>
            <w:tcW w:w="668" w:type="dxa"/>
            <w:tcBorders>
              <w:top w:val="single" w:sz="6" w:space="0" w:color="000000"/>
              <w:left w:val="none" w:sz="0" w:space="0" w:color="FFFFFF"/>
              <w:bottom w:val="single" w:sz="6" w:space="0" w:color="000000"/>
              <w:right w:val="none" w:sz="0" w:space="0" w:color="FFFFFF"/>
            </w:tcBorders>
            <w:shd w:val="clear" w:color="auto" w:fill="FFFFFF"/>
          </w:tcPr>
          <w:p w14:paraId="7EFB84A4" w14:textId="77777777" w:rsidR="00E91697" w:rsidRDefault="00000000">
            <w:pPr>
              <w:spacing w:before="20" w:after="20"/>
              <w:jc w:val="right"/>
            </w:pPr>
            <w:r>
              <w:rPr>
                <w:b/>
                <w:bCs/>
                <w:sz w:val="20"/>
                <w:szCs w:val="20"/>
              </w:rPr>
              <w:t>n</w:t>
            </w:r>
          </w:p>
        </w:tc>
        <w:tc>
          <w:tcPr>
            <w:tcW w:w="1754" w:type="dxa"/>
            <w:tcBorders>
              <w:top w:val="single" w:sz="6" w:space="0" w:color="000000"/>
              <w:left w:val="none" w:sz="0" w:space="0" w:color="FFFFFF"/>
              <w:bottom w:val="single" w:sz="6" w:space="0" w:color="000000"/>
              <w:right w:val="none" w:sz="0" w:space="0" w:color="FFFFFF"/>
            </w:tcBorders>
            <w:shd w:val="clear" w:color="auto" w:fill="FFFFFF"/>
          </w:tcPr>
          <w:p w14:paraId="121C7739" w14:textId="77777777" w:rsidR="00E91697" w:rsidRDefault="00000000">
            <w:pPr>
              <w:spacing w:before="20" w:after="20"/>
              <w:jc w:val="right"/>
            </w:pPr>
            <w:r>
              <w:rPr>
                <w:b/>
                <w:bCs/>
                <w:sz w:val="20"/>
                <w:szCs w:val="20"/>
              </w:rPr>
              <w:t>GCM main effect (%)</w:t>
            </w:r>
          </w:p>
        </w:tc>
        <w:tc>
          <w:tcPr>
            <w:tcW w:w="1921" w:type="dxa"/>
            <w:tcBorders>
              <w:top w:val="single" w:sz="6" w:space="0" w:color="000000"/>
              <w:left w:val="none" w:sz="0" w:space="0" w:color="FFFFFF"/>
              <w:bottom w:val="single" w:sz="6" w:space="0" w:color="000000"/>
              <w:right w:val="none" w:sz="0" w:space="0" w:color="FFFFFF"/>
            </w:tcBorders>
            <w:shd w:val="clear" w:color="auto" w:fill="FFFFFF"/>
          </w:tcPr>
          <w:p w14:paraId="6916920F" w14:textId="77777777" w:rsidR="00E91697" w:rsidRDefault="00000000">
            <w:pPr>
              <w:spacing w:before="20" w:after="20"/>
              <w:jc w:val="right"/>
            </w:pPr>
            <w:r>
              <w:rPr>
                <w:b/>
                <w:bCs/>
                <w:sz w:val="20"/>
                <w:szCs w:val="20"/>
              </w:rPr>
              <w:t>BC-method main effect (%)</w:t>
            </w:r>
          </w:p>
        </w:tc>
        <w:tc>
          <w:tcPr>
            <w:tcW w:w="1587" w:type="dxa"/>
            <w:tcBorders>
              <w:top w:val="single" w:sz="6" w:space="0" w:color="000000"/>
              <w:left w:val="none" w:sz="0" w:space="0" w:color="FFFFFF"/>
              <w:bottom w:val="single" w:sz="6" w:space="0" w:color="000000"/>
              <w:right w:val="none" w:sz="0" w:space="0" w:color="FFFFFF"/>
            </w:tcBorders>
            <w:shd w:val="clear" w:color="auto" w:fill="FFFFFF"/>
          </w:tcPr>
          <w:p w14:paraId="21EE26D0" w14:textId="77777777" w:rsidR="00E91697" w:rsidRDefault="00000000">
            <w:pPr>
              <w:spacing w:before="20" w:after="20"/>
              <w:jc w:val="right"/>
            </w:pPr>
            <w:r>
              <w:rPr>
                <w:b/>
                <w:bCs/>
                <w:sz w:val="20"/>
                <w:szCs w:val="20"/>
              </w:rPr>
              <w:t>Residual (%)</w:t>
            </w:r>
          </w:p>
        </w:tc>
      </w:tr>
      <w:tr w:rsidR="00E91697" w14:paraId="2F620A27" w14:textId="77777777">
        <w:tblPrEx>
          <w:tblCellMar>
            <w:top w:w="0" w:type="dxa"/>
            <w:bottom w:w="0" w:type="dxa"/>
          </w:tblCellMar>
        </w:tblPrEx>
        <w:tc>
          <w:tcPr>
            <w:tcW w:w="1253" w:type="dxa"/>
            <w:tcBorders>
              <w:top w:val="none" w:sz="0" w:space="0" w:color="FFFFFF"/>
              <w:left w:val="none" w:sz="0" w:space="0" w:color="FFFFFF"/>
              <w:bottom w:val="none" w:sz="0" w:space="0" w:color="FFFFFF"/>
              <w:right w:val="none" w:sz="0" w:space="0" w:color="FFFFFF"/>
            </w:tcBorders>
          </w:tcPr>
          <w:p w14:paraId="4EFF54D6" w14:textId="77777777" w:rsidR="00E91697" w:rsidRDefault="00000000">
            <w:pPr>
              <w:spacing w:before="20" w:after="20"/>
            </w:pPr>
            <w:r>
              <w:rPr>
                <w:sz w:val="20"/>
                <w:szCs w:val="20"/>
              </w:rPr>
              <w:t>SSP2‑4.5</w:t>
            </w:r>
          </w:p>
        </w:tc>
        <w:tc>
          <w:tcPr>
            <w:tcW w:w="1253" w:type="dxa"/>
            <w:tcBorders>
              <w:top w:val="none" w:sz="0" w:space="0" w:color="FFFFFF"/>
              <w:left w:val="none" w:sz="0" w:space="0" w:color="FFFFFF"/>
              <w:bottom w:val="none" w:sz="0" w:space="0" w:color="FFFFFF"/>
              <w:right w:val="none" w:sz="0" w:space="0" w:color="FFFFFF"/>
            </w:tcBorders>
          </w:tcPr>
          <w:p w14:paraId="34667594" w14:textId="77777777" w:rsidR="00E91697" w:rsidRDefault="00000000">
            <w:pPr>
              <w:spacing w:before="20" w:after="20"/>
            </w:pPr>
            <w:r>
              <w:rPr>
                <w:sz w:val="20"/>
                <w:szCs w:val="20"/>
              </w:rPr>
              <w:t>PRCPTOT</w:t>
            </w:r>
          </w:p>
        </w:tc>
        <w:tc>
          <w:tcPr>
            <w:tcW w:w="585" w:type="dxa"/>
            <w:tcBorders>
              <w:top w:val="none" w:sz="0" w:space="0" w:color="FFFFFF"/>
              <w:left w:val="none" w:sz="0" w:space="0" w:color="FFFFFF"/>
              <w:bottom w:val="none" w:sz="0" w:space="0" w:color="FFFFFF"/>
              <w:right w:val="none" w:sz="0" w:space="0" w:color="FFFFFF"/>
            </w:tcBorders>
          </w:tcPr>
          <w:p w14:paraId="59B96E74" w14:textId="77777777" w:rsidR="00E91697" w:rsidRDefault="00000000">
            <w:pPr>
              <w:spacing w:before="20" w:after="20"/>
              <w:jc w:val="right"/>
            </w:pPr>
            <w:r>
              <w:rPr>
                <w:sz w:val="20"/>
                <w:szCs w:val="20"/>
              </w:rPr>
              <w:t>294</w:t>
            </w:r>
          </w:p>
        </w:tc>
        <w:tc>
          <w:tcPr>
            <w:tcW w:w="668" w:type="dxa"/>
            <w:tcBorders>
              <w:top w:val="none" w:sz="0" w:space="0" w:color="FFFFFF"/>
              <w:left w:val="none" w:sz="0" w:space="0" w:color="FFFFFF"/>
              <w:bottom w:val="none" w:sz="0" w:space="0" w:color="FFFFFF"/>
              <w:right w:val="none" w:sz="0" w:space="0" w:color="FFFFFF"/>
            </w:tcBorders>
          </w:tcPr>
          <w:p w14:paraId="39CF411E" w14:textId="77777777" w:rsidR="00E91697" w:rsidRDefault="00000000">
            <w:pPr>
              <w:spacing w:before="20" w:after="20"/>
              <w:jc w:val="right"/>
            </w:pPr>
            <w:r>
              <w:rPr>
                <w:sz w:val="20"/>
                <w:szCs w:val="20"/>
              </w:rPr>
              <w:t>7</w:t>
            </w:r>
          </w:p>
        </w:tc>
        <w:tc>
          <w:tcPr>
            <w:tcW w:w="1754" w:type="dxa"/>
            <w:tcBorders>
              <w:top w:val="none" w:sz="0" w:space="0" w:color="FFFFFF"/>
              <w:left w:val="none" w:sz="0" w:space="0" w:color="FFFFFF"/>
              <w:bottom w:val="none" w:sz="0" w:space="0" w:color="FFFFFF"/>
              <w:right w:val="none" w:sz="0" w:space="0" w:color="FFFFFF"/>
            </w:tcBorders>
          </w:tcPr>
          <w:p w14:paraId="5F01E1BB" w14:textId="77777777" w:rsidR="00E91697" w:rsidRDefault="00000000">
            <w:pPr>
              <w:spacing w:before="20" w:after="20"/>
              <w:jc w:val="right"/>
            </w:pPr>
            <w:r>
              <w:rPr>
                <w:sz w:val="20"/>
                <w:szCs w:val="20"/>
              </w:rPr>
              <w:t>75.3</w:t>
            </w:r>
          </w:p>
        </w:tc>
        <w:tc>
          <w:tcPr>
            <w:tcW w:w="1921" w:type="dxa"/>
            <w:tcBorders>
              <w:top w:val="none" w:sz="0" w:space="0" w:color="FFFFFF"/>
              <w:left w:val="none" w:sz="0" w:space="0" w:color="FFFFFF"/>
              <w:bottom w:val="none" w:sz="0" w:space="0" w:color="FFFFFF"/>
              <w:right w:val="none" w:sz="0" w:space="0" w:color="FFFFFF"/>
            </w:tcBorders>
          </w:tcPr>
          <w:p w14:paraId="663DA7DC" w14:textId="77777777" w:rsidR="00E91697" w:rsidRDefault="00000000">
            <w:pPr>
              <w:spacing w:before="20" w:after="20"/>
              <w:jc w:val="right"/>
            </w:pPr>
            <w:r>
              <w:rPr>
                <w:sz w:val="20"/>
                <w:szCs w:val="20"/>
              </w:rPr>
              <w:t>0.4</w:t>
            </w:r>
          </w:p>
        </w:tc>
        <w:tc>
          <w:tcPr>
            <w:tcW w:w="1587" w:type="dxa"/>
            <w:tcBorders>
              <w:top w:val="none" w:sz="0" w:space="0" w:color="FFFFFF"/>
              <w:left w:val="none" w:sz="0" w:space="0" w:color="FFFFFF"/>
              <w:bottom w:val="none" w:sz="0" w:space="0" w:color="FFFFFF"/>
              <w:right w:val="none" w:sz="0" w:space="0" w:color="FFFFFF"/>
            </w:tcBorders>
          </w:tcPr>
          <w:p w14:paraId="665D9676" w14:textId="77777777" w:rsidR="00E91697" w:rsidRDefault="00000000">
            <w:pPr>
              <w:spacing w:before="20" w:after="20"/>
              <w:jc w:val="right"/>
            </w:pPr>
            <w:r>
              <w:rPr>
                <w:sz w:val="20"/>
                <w:szCs w:val="20"/>
              </w:rPr>
              <w:t>24.3</w:t>
            </w:r>
          </w:p>
        </w:tc>
      </w:tr>
      <w:tr w:rsidR="00E91697" w14:paraId="14444F2A" w14:textId="77777777">
        <w:tblPrEx>
          <w:tblCellMar>
            <w:top w:w="0" w:type="dxa"/>
            <w:bottom w:w="0" w:type="dxa"/>
          </w:tblCellMar>
        </w:tblPrEx>
        <w:tc>
          <w:tcPr>
            <w:tcW w:w="1253" w:type="dxa"/>
            <w:tcBorders>
              <w:top w:val="none" w:sz="0" w:space="0" w:color="FFFFFF"/>
              <w:left w:val="none" w:sz="0" w:space="0" w:color="FFFFFF"/>
              <w:bottom w:val="none" w:sz="0" w:space="0" w:color="FFFFFF"/>
              <w:right w:val="none" w:sz="0" w:space="0" w:color="FFFFFF"/>
            </w:tcBorders>
          </w:tcPr>
          <w:p w14:paraId="5F2C597A" w14:textId="77777777" w:rsidR="00E91697" w:rsidRDefault="00000000">
            <w:pPr>
              <w:spacing w:before="20" w:after="20"/>
            </w:pPr>
            <w:r>
              <w:rPr>
                <w:sz w:val="20"/>
                <w:szCs w:val="20"/>
              </w:rPr>
              <w:t>SSP2‑4.5</w:t>
            </w:r>
          </w:p>
        </w:tc>
        <w:tc>
          <w:tcPr>
            <w:tcW w:w="1253" w:type="dxa"/>
            <w:tcBorders>
              <w:top w:val="none" w:sz="0" w:space="0" w:color="FFFFFF"/>
              <w:left w:val="none" w:sz="0" w:space="0" w:color="FFFFFF"/>
              <w:bottom w:val="none" w:sz="0" w:space="0" w:color="FFFFFF"/>
              <w:right w:val="none" w:sz="0" w:space="0" w:color="FFFFFF"/>
            </w:tcBorders>
          </w:tcPr>
          <w:p w14:paraId="437178F5" w14:textId="77777777" w:rsidR="00E91697" w:rsidRDefault="00000000">
            <w:pPr>
              <w:spacing w:before="20" w:after="20"/>
            </w:pPr>
            <w:r>
              <w:rPr>
                <w:sz w:val="20"/>
                <w:szCs w:val="20"/>
              </w:rPr>
              <w:t>R20mm</w:t>
            </w:r>
          </w:p>
        </w:tc>
        <w:tc>
          <w:tcPr>
            <w:tcW w:w="585" w:type="dxa"/>
            <w:tcBorders>
              <w:top w:val="none" w:sz="0" w:space="0" w:color="FFFFFF"/>
              <w:left w:val="none" w:sz="0" w:space="0" w:color="FFFFFF"/>
              <w:bottom w:val="none" w:sz="0" w:space="0" w:color="FFFFFF"/>
              <w:right w:val="none" w:sz="0" w:space="0" w:color="FFFFFF"/>
            </w:tcBorders>
          </w:tcPr>
          <w:p w14:paraId="733A2E76" w14:textId="77777777" w:rsidR="00E91697" w:rsidRDefault="00000000">
            <w:pPr>
              <w:spacing w:before="20" w:after="20"/>
              <w:jc w:val="right"/>
            </w:pPr>
            <w:r>
              <w:rPr>
                <w:sz w:val="20"/>
                <w:szCs w:val="20"/>
              </w:rPr>
              <w:t>294</w:t>
            </w:r>
          </w:p>
        </w:tc>
        <w:tc>
          <w:tcPr>
            <w:tcW w:w="668" w:type="dxa"/>
            <w:tcBorders>
              <w:top w:val="none" w:sz="0" w:space="0" w:color="FFFFFF"/>
              <w:left w:val="none" w:sz="0" w:space="0" w:color="FFFFFF"/>
              <w:bottom w:val="none" w:sz="0" w:space="0" w:color="FFFFFF"/>
              <w:right w:val="none" w:sz="0" w:space="0" w:color="FFFFFF"/>
            </w:tcBorders>
          </w:tcPr>
          <w:p w14:paraId="1A154E72" w14:textId="77777777" w:rsidR="00E91697" w:rsidRDefault="00000000">
            <w:pPr>
              <w:spacing w:before="20" w:after="20"/>
              <w:jc w:val="right"/>
            </w:pPr>
            <w:r>
              <w:rPr>
                <w:sz w:val="20"/>
                <w:szCs w:val="20"/>
              </w:rPr>
              <w:t>7</w:t>
            </w:r>
          </w:p>
        </w:tc>
        <w:tc>
          <w:tcPr>
            <w:tcW w:w="1754" w:type="dxa"/>
            <w:tcBorders>
              <w:top w:val="none" w:sz="0" w:space="0" w:color="FFFFFF"/>
              <w:left w:val="none" w:sz="0" w:space="0" w:color="FFFFFF"/>
              <w:bottom w:val="none" w:sz="0" w:space="0" w:color="FFFFFF"/>
              <w:right w:val="none" w:sz="0" w:space="0" w:color="FFFFFF"/>
            </w:tcBorders>
          </w:tcPr>
          <w:p w14:paraId="3E6F1C58" w14:textId="77777777" w:rsidR="00E91697" w:rsidRDefault="00000000">
            <w:pPr>
              <w:spacing w:before="20" w:after="20"/>
              <w:jc w:val="right"/>
            </w:pPr>
            <w:r>
              <w:rPr>
                <w:sz w:val="20"/>
                <w:szCs w:val="20"/>
              </w:rPr>
              <w:t>43.2</w:t>
            </w:r>
          </w:p>
        </w:tc>
        <w:tc>
          <w:tcPr>
            <w:tcW w:w="1921" w:type="dxa"/>
            <w:tcBorders>
              <w:top w:val="none" w:sz="0" w:space="0" w:color="FFFFFF"/>
              <w:left w:val="none" w:sz="0" w:space="0" w:color="FFFFFF"/>
              <w:bottom w:val="none" w:sz="0" w:space="0" w:color="FFFFFF"/>
              <w:right w:val="none" w:sz="0" w:space="0" w:color="FFFFFF"/>
            </w:tcBorders>
          </w:tcPr>
          <w:p w14:paraId="479F26E6" w14:textId="77777777" w:rsidR="00E91697" w:rsidRDefault="00000000">
            <w:pPr>
              <w:spacing w:before="20" w:after="20"/>
              <w:jc w:val="right"/>
            </w:pPr>
            <w:r>
              <w:rPr>
                <w:sz w:val="20"/>
                <w:szCs w:val="20"/>
              </w:rPr>
              <w:t>2.1</w:t>
            </w:r>
          </w:p>
        </w:tc>
        <w:tc>
          <w:tcPr>
            <w:tcW w:w="1587" w:type="dxa"/>
            <w:tcBorders>
              <w:top w:val="none" w:sz="0" w:space="0" w:color="FFFFFF"/>
              <w:left w:val="none" w:sz="0" w:space="0" w:color="FFFFFF"/>
              <w:bottom w:val="none" w:sz="0" w:space="0" w:color="FFFFFF"/>
              <w:right w:val="none" w:sz="0" w:space="0" w:color="FFFFFF"/>
            </w:tcBorders>
          </w:tcPr>
          <w:p w14:paraId="3FA4119B" w14:textId="77777777" w:rsidR="00E91697" w:rsidRDefault="00000000">
            <w:pPr>
              <w:spacing w:before="20" w:after="20"/>
              <w:jc w:val="right"/>
            </w:pPr>
            <w:r>
              <w:rPr>
                <w:sz w:val="20"/>
                <w:szCs w:val="20"/>
              </w:rPr>
              <w:t>54.7</w:t>
            </w:r>
          </w:p>
        </w:tc>
      </w:tr>
      <w:tr w:rsidR="00E91697" w14:paraId="569A49EC" w14:textId="77777777">
        <w:tblPrEx>
          <w:tblCellMar>
            <w:top w:w="0" w:type="dxa"/>
            <w:bottom w:w="0" w:type="dxa"/>
          </w:tblCellMar>
        </w:tblPrEx>
        <w:tc>
          <w:tcPr>
            <w:tcW w:w="1253" w:type="dxa"/>
            <w:tcBorders>
              <w:top w:val="none" w:sz="0" w:space="0" w:color="FFFFFF"/>
              <w:left w:val="none" w:sz="0" w:space="0" w:color="FFFFFF"/>
              <w:bottom w:val="none" w:sz="0" w:space="0" w:color="FFFFFF"/>
              <w:right w:val="none" w:sz="0" w:space="0" w:color="FFFFFF"/>
            </w:tcBorders>
          </w:tcPr>
          <w:p w14:paraId="1B9DA84C" w14:textId="77777777" w:rsidR="00E91697" w:rsidRDefault="00000000">
            <w:pPr>
              <w:spacing w:before="20" w:after="20"/>
            </w:pPr>
            <w:r>
              <w:rPr>
                <w:sz w:val="20"/>
                <w:szCs w:val="20"/>
              </w:rPr>
              <w:t>SSP2‑4.5</w:t>
            </w:r>
          </w:p>
        </w:tc>
        <w:tc>
          <w:tcPr>
            <w:tcW w:w="1253" w:type="dxa"/>
            <w:tcBorders>
              <w:top w:val="none" w:sz="0" w:space="0" w:color="FFFFFF"/>
              <w:left w:val="none" w:sz="0" w:space="0" w:color="FFFFFF"/>
              <w:bottom w:val="none" w:sz="0" w:space="0" w:color="FFFFFF"/>
              <w:right w:val="none" w:sz="0" w:space="0" w:color="FFFFFF"/>
            </w:tcBorders>
          </w:tcPr>
          <w:p w14:paraId="0A4E1B44" w14:textId="77777777" w:rsidR="00E91697" w:rsidRDefault="00000000">
            <w:pPr>
              <w:spacing w:before="20" w:after="20"/>
            </w:pPr>
            <w:r>
              <w:rPr>
                <w:sz w:val="20"/>
                <w:szCs w:val="20"/>
              </w:rPr>
              <w:t>R50mm</w:t>
            </w:r>
          </w:p>
        </w:tc>
        <w:tc>
          <w:tcPr>
            <w:tcW w:w="585" w:type="dxa"/>
            <w:tcBorders>
              <w:top w:val="none" w:sz="0" w:space="0" w:color="FFFFFF"/>
              <w:left w:val="none" w:sz="0" w:space="0" w:color="FFFFFF"/>
              <w:bottom w:val="none" w:sz="0" w:space="0" w:color="FFFFFF"/>
              <w:right w:val="none" w:sz="0" w:space="0" w:color="FFFFFF"/>
            </w:tcBorders>
          </w:tcPr>
          <w:p w14:paraId="7178C742" w14:textId="77777777" w:rsidR="00E91697" w:rsidRDefault="00000000">
            <w:pPr>
              <w:spacing w:before="20" w:after="20"/>
              <w:jc w:val="right"/>
            </w:pPr>
            <w:r>
              <w:rPr>
                <w:sz w:val="20"/>
                <w:szCs w:val="20"/>
              </w:rPr>
              <w:t>292</w:t>
            </w:r>
          </w:p>
        </w:tc>
        <w:tc>
          <w:tcPr>
            <w:tcW w:w="668" w:type="dxa"/>
            <w:tcBorders>
              <w:top w:val="none" w:sz="0" w:space="0" w:color="FFFFFF"/>
              <w:left w:val="none" w:sz="0" w:space="0" w:color="FFFFFF"/>
              <w:bottom w:val="none" w:sz="0" w:space="0" w:color="FFFFFF"/>
              <w:right w:val="none" w:sz="0" w:space="0" w:color="FFFFFF"/>
            </w:tcBorders>
          </w:tcPr>
          <w:p w14:paraId="41811AB9" w14:textId="77777777" w:rsidR="00E91697" w:rsidRDefault="00000000">
            <w:pPr>
              <w:spacing w:before="20" w:after="20"/>
              <w:jc w:val="right"/>
            </w:pPr>
            <w:r>
              <w:rPr>
                <w:sz w:val="20"/>
                <w:szCs w:val="20"/>
              </w:rPr>
              <w:t>7</w:t>
            </w:r>
          </w:p>
        </w:tc>
        <w:tc>
          <w:tcPr>
            <w:tcW w:w="1754" w:type="dxa"/>
            <w:tcBorders>
              <w:top w:val="none" w:sz="0" w:space="0" w:color="FFFFFF"/>
              <w:left w:val="none" w:sz="0" w:space="0" w:color="FFFFFF"/>
              <w:bottom w:val="none" w:sz="0" w:space="0" w:color="FFFFFF"/>
              <w:right w:val="none" w:sz="0" w:space="0" w:color="FFFFFF"/>
            </w:tcBorders>
          </w:tcPr>
          <w:p w14:paraId="10EB0CD7" w14:textId="77777777" w:rsidR="00E91697" w:rsidRDefault="00000000">
            <w:pPr>
              <w:spacing w:before="20" w:after="20"/>
              <w:jc w:val="right"/>
            </w:pPr>
            <w:r>
              <w:rPr>
                <w:sz w:val="20"/>
                <w:szCs w:val="20"/>
              </w:rPr>
              <w:t>47.0</w:t>
            </w:r>
          </w:p>
        </w:tc>
        <w:tc>
          <w:tcPr>
            <w:tcW w:w="1921" w:type="dxa"/>
            <w:tcBorders>
              <w:top w:val="none" w:sz="0" w:space="0" w:color="FFFFFF"/>
              <w:left w:val="none" w:sz="0" w:space="0" w:color="FFFFFF"/>
              <w:bottom w:val="none" w:sz="0" w:space="0" w:color="FFFFFF"/>
              <w:right w:val="none" w:sz="0" w:space="0" w:color="FFFFFF"/>
            </w:tcBorders>
          </w:tcPr>
          <w:p w14:paraId="24586195" w14:textId="77777777" w:rsidR="00E91697" w:rsidRDefault="00000000">
            <w:pPr>
              <w:spacing w:before="20" w:after="20"/>
              <w:jc w:val="right"/>
            </w:pPr>
            <w:r>
              <w:rPr>
                <w:sz w:val="20"/>
                <w:szCs w:val="20"/>
              </w:rPr>
              <w:t>1.7</w:t>
            </w:r>
          </w:p>
        </w:tc>
        <w:tc>
          <w:tcPr>
            <w:tcW w:w="1587" w:type="dxa"/>
            <w:tcBorders>
              <w:top w:val="none" w:sz="0" w:space="0" w:color="FFFFFF"/>
              <w:left w:val="none" w:sz="0" w:space="0" w:color="FFFFFF"/>
              <w:bottom w:val="none" w:sz="0" w:space="0" w:color="FFFFFF"/>
              <w:right w:val="none" w:sz="0" w:space="0" w:color="FFFFFF"/>
            </w:tcBorders>
          </w:tcPr>
          <w:p w14:paraId="6DA463EC" w14:textId="77777777" w:rsidR="00E91697" w:rsidRDefault="00000000">
            <w:pPr>
              <w:spacing w:before="20" w:after="20"/>
              <w:jc w:val="right"/>
            </w:pPr>
            <w:r>
              <w:rPr>
                <w:sz w:val="20"/>
                <w:szCs w:val="20"/>
              </w:rPr>
              <w:t>51.3</w:t>
            </w:r>
          </w:p>
        </w:tc>
      </w:tr>
      <w:tr w:rsidR="00E91697" w14:paraId="3F79BF59" w14:textId="77777777">
        <w:tblPrEx>
          <w:tblCellMar>
            <w:top w:w="0" w:type="dxa"/>
            <w:bottom w:w="0" w:type="dxa"/>
          </w:tblCellMar>
        </w:tblPrEx>
        <w:tc>
          <w:tcPr>
            <w:tcW w:w="1253" w:type="dxa"/>
            <w:tcBorders>
              <w:top w:val="none" w:sz="0" w:space="0" w:color="FFFFFF"/>
              <w:left w:val="none" w:sz="0" w:space="0" w:color="FFFFFF"/>
              <w:bottom w:val="none" w:sz="0" w:space="0" w:color="FFFFFF"/>
              <w:right w:val="none" w:sz="0" w:space="0" w:color="FFFFFF"/>
            </w:tcBorders>
          </w:tcPr>
          <w:p w14:paraId="7812BFDE" w14:textId="77777777" w:rsidR="00E91697" w:rsidRDefault="00000000">
            <w:pPr>
              <w:spacing w:before="20" w:after="20"/>
            </w:pPr>
            <w:r>
              <w:rPr>
                <w:sz w:val="20"/>
                <w:szCs w:val="20"/>
              </w:rPr>
              <w:t>SSP2‑4.5</w:t>
            </w:r>
          </w:p>
        </w:tc>
        <w:tc>
          <w:tcPr>
            <w:tcW w:w="1253" w:type="dxa"/>
            <w:tcBorders>
              <w:top w:val="none" w:sz="0" w:space="0" w:color="FFFFFF"/>
              <w:left w:val="none" w:sz="0" w:space="0" w:color="FFFFFF"/>
              <w:bottom w:val="none" w:sz="0" w:space="0" w:color="FFFFFF"/>
              <w:right w:val="none" w:sz="0" w:space="0" w:color="FFFFFF"/>
            </w:tcBorders>
          </w:tcPr>
          <w:p w14:paraId="02579F63" w14:textId="77777777" w:rsidR="00E91697" w:rsidRDefault="00000000">
            <w:pPr>
              <w:spacing w:before="20" w:after="20"/>
            </w:pPr>
            <w:r>
              <w:rPr>
                <w:sz w:val="20"/>
                <w:szCs w:val="20"/>
              </w:rPr>
              <w:t>R95p</w:t>
            </w:r>
          </w:p>
        </w:tc>
        <w:tc>
          <w:tcPr>
            <w:tcW w:w="585" w:type="dxa"/>
            <w:tcBorders>
              <w:top w:val="none" w:sz="0" w:space="0" w:color="FFFFFF"/>
              <w:left w:val="none" w:sz="0" w:space="0" w:color="FFFFFF"/>
              <w:bottom w:val="none" w:sz="0" w:space="0" w:color="FFFFFF"/>
              <w:right w:val="none" w:sz="0" w:space="0" w:color="FFFFFF"/>
            </w:tcBorders>
          </w:tcPr>
          <w:p w14:paraId="768A56A1" w14:textId="77777777" w:rsidR="00E91697" w:rsidRDefault="00000000">
            <w:pPr>
              <w:spacing w:before="20" w:after="20"/>
              <w:jc w:val="right"/>
            </w:pPr>
            <w:r>
              <w:rPr>
                <w:sz w:val="20"/>
                <w:szCs w:val="20"/>
              </w:rPr>
              <w:t>294</w:t>
            </w:r>
          </w:p>
        </w:tc>
        <w:tc>
          <w:tcPr>
            <w:tcW w:w="668" w:type="dxa"/>
            <w:tcBorders>
              <w:top w:val="none" w:sz="0" w:space="0" w:color="FFFFFF"/>
              <w:left w:val="none" w:sz="0" w:space="0" w:color="FFFFFF"/>
              <w:bottom w:val="none" w:sz="0" w:space="0" w:color="FFFFFF"/>
              <w:right w:val="none" w:sz="0" w:space="0" w:color="FFFFFF"/>
            </w:tcBorders>
          </w:tcPr>
          <w:p w14:paraId="342A4B23" w14:textId="77777777" w:rsidR="00E91697" w:rsidRDefault="00000000">
            <w:pPr>
              <w:spacing w:before="20" w:after="20"/>
              <w:jc w:val="right"/>
            </w:pPr>
            <w:r>
              <w:rPr>
                <w:sz w:val="20"/>
                <w:szCs w:val="20"/>
              </w:rPr>
              <w:t>7</w:t>
            </w:r>
          </w:p>
        </w:tc>
        <w:tc>
          <w:tcPr>
            <w:tcW w:w="1754" w:type="dxa"/>
            <w:tcBorders>
              <w:top w:val="none" w:sz="0" w:space="0" w:color="FFFFFF"/>
              <w:left w:val="none" w:sz="0" w:space="0" w:color="FFFFFF"/>
              <w:bottom w:val="none" w:sz="0" w:space="0" w:color="FFFFFF"/>
              <w:right w:val="none" w:sz="0" w:space="0" w:color="FFFFFF"/>
            </w:tcBorders>
          </w:tcPr>
          <w:p w14:paraId="559156CE" w14:textId="77777777" w:rsidR="00E91697" w:rsidRDefault="00000000">
            <w:pPr>
              <w:spacing w:before="20" w:after="20"/>
              <w:jc w:val="right"/>
            </w:pPr>
            <w:r>
              <w:rPr>
                <w:sz w:val="20"/>
                <w:szCs w:val="20"/>
              </w:rPr>
              <w:t>78.3</w:t>
            </w:r>
          </w:p>
        </w:tc>
        <w:tc>
          <w:tcPr>
            <w:tcW w:w="1921" w:type="dxa"/>
            <w:tcBorders>
              <w:top w:val="none" w:sz="0" w:space="0" w:color="FFFFFF"/>
              <w:left w:val="none" w:sz="0" w:space="0" w:color="FFFFFF"/>
              <w:bottom w:val="none" w:sz="0" w:space="0" w:color="FFFFFF"/>
              <w:right w:val="none" w:sz="0" w:space="0" w:color="FFFFFF"/>
            </w:tcBorders>
          </w:tcPr>
          <w:p w14:paraId="43BBF58D" w14:textId="77777777" w:rsidR="00E91697" w:rsidRDefault="00000000">
            <w:pPr>
              <w:spacing w:before="20" w:after="20"/>
              <w:jc w:val="right"/>
            </w:pPr>
            <w:r>
              <w:rPr>
                <w:sz w:val="20"/>
                <w:szCs w:val="20"/>
              </w:rPr>
              <w:t>0.6</w:t>
            </w:r>
          </w:p>
        </w:tc>
        <w:tc>
          <w:tcPr>
            <w:tcW w:w="1587" w:type="dxa"/>
            <w:tcBorders>
              <w:top w:val="none" w:sz="0" w:space="0" w:color="FFFFFF"/>
              <w:left w:val="none" w:sz="0" w:space="0" w:color="FFFFFF"/>
              <w:bottom w:val="none" w:sz="0" w:space="0" w:color="FFFFFF"/>
              <w:right w:val="none" w:sz="0" w:space="0" w:color="FFFFFF"/>
            </w:tcBorders>
          </w:tcPr>
          <w:p w14:paraId="1CC7FE76" w14:textId="77777777" w:rsidR="00E91697" w:rsidRDefault="00000000">
            <w:pPr>
              <w:spacing w:before="20" w:after="20"/>
              <w:jc w:val="right"/>
            </w:pPr>
            <w:r>
              <w:rPr>
                <w:sz w:val="20"/>
                <w:szCs w:val="20"/>
              </w:rPr>
              <w:t>21.1</w:t>
            </w:r>
          </w:p>
        </w:tc>
      </w:tr>
      <w:tr w:rsidR="00E91697" w14:paraId="6C30181B" w14:textId="77777777">
        <w:tblPrEx>
          <w:tblCellMar>
            <w:top w:w="0" w:type="dxa"/>
            <w:bottom w:w="0" w:type="dxa"/>
          </w:tblCellMar>
        </w:tblPrEx>
        <w:tc>
          <w:tcPr>
            <w:tcW w:w="1253" w:type="dxa"/>
            <w:tcBorders>
              <w:top w:val="none" w:sz="0" w:space="0" w:color="FFFFFF"/>
              <w:left w:val="none" w:sz="0" w:space="0" w:color="FFFFFF"/>
              <w:bottom w:val="none" w:sz="0" w:space="0" w:color="FFFFFF"/>
              <w:right w:val="none" w:sz="0" w:space="0" w:color="FFFFFF"/>
            </w:tcBorders>
          </w:tcPr>
          <w:p w14:paraId="3CAE81F0" w14:textId="77777777" w:rsidR="00E91697" w:rsidRDefault="00000000">
            <w:pPr>
              <w:spacing w:before="20" w:after="20"/>
            </w:pPr>
            <w:r>
              <w:rPr>
                <w:sz w:val="20"/>
                <w:szCs w:val="20"/>
              </w:rPr>
              <w:t>SSP2‑4.5</w:t>
            </w:r>
          </w:p>
        </w:tc>
        <w:tc>
          <w:tcPr>
            <w:tcW w:w="1253" w:type="dxa"/>
            <w:tcBorders>
              <w:top w:val="none" w:sz="0" w:space="0" w:color="FFFFFF"/>
              <w:left w:val="none" w:sz="0" w:space="0" w:color="FFFFFF"/>
              <w:bottom w:val="none" w:sz="0" w:space="0" w:color="FFFFFF"/>
              <w:right w:val="none" w:sz="0" w:space="0" w:color="FFFFFF"/>
            </w:tcBorders>
          </w:tcPr>
          <w:p w14:paraId="0DBBAE68" w14:textId="77777777" w:rsidR="00E91697" w:rsidRDefault="00000000">
            <w:pPr>
              <w:spacing w:before="20" w:after="20"/>
            </w:pPr>
            <w:r>
              <w:rPr>
                <w:sz w:val="20"/>
                <w:szCs w:val="20"/>
              </w:rPr>
              <w:t>SDII</w:t>
            </w:r>
          </w:p>
        </w:tc>
        <w:tc>
          <w:tcPr>
            <w:tcW w:w="585" w:type="dxa"/>
            <w:tcBorders>
              <w:top w:val="none" w:sz="0" w:space="0" w:color="FFFFFF"/>
              <w:left w:val="none" w:sz="0" w:space="0" w:color="FFFFFF"/>
              <w:bottom w:val="none" w:sz="0" w:space="0" w:color="FFFFFF"/>
              <w:right w:val="none" w:sz="0" w:space="0" w:color="FFFFFF"/>
            </w:tcBorders>
          </w:tcPr>
          <w:p w14:paraId="741E7391" w14:textId="77777777" w:rsidR="00E91697" w:rsidRDefault="00000000">
            <w:pPr>
              <w:spacing w:before="20" w:after="20"/>
              <w:jc w:val="right"/>
            </w:pPr>
            <w:r>
              <w:rPr>
                <w:sz w:val="20"/>
                <w:szCs w:val="20"/>
              </w:rPr>
              <w:t>294</w:t>
            </w:r>
          </w:p>
        </w:tc>
        <w:tc>
          <w:tcPr>
            <w:tcW w:w="668" w:type="dxa"/>
            <w:tcBorders>
              <w:top w:val="none" w:sz="0" w:space="0" w:color="FFFFFF"/>
              <w:left w:val="none" w:sz="0" w:space="0" w:color="FFFFFF"/>
              <w:bottom w:val="none" w:sz="0" w:space="0" w:color="FFFFFF"/>
              <w:right w:val="none" w:sz="0" w:space="0" w:color="FFFFFF"/>
            </w:tcBorders>
          </w:tcPr>
          <w:p w14:paraId="4F446CD3" w14:textId="77777777" w:rsidR="00E91697" w:rsidRDefault="00000000">
            <w:pPr>
              <w:spacing w:before="20" w:after="20"/>
              <w:jc w:val="right"/>
            </w:pPr>
            <w:r>
              <w:rPr>
                <w:sz w:val="20"/>
                <w:szCs w:val="20"/>
              </w:rPr>
              <w:t>7</w:t>
            </w:r>
          </w:p>
        </w:tc>
        <w:tc>
          <w:tcPr>
            <w:tcW w:w="1754" w:type="dxa"/>
            <w:tcBorders>
              <w:top w:val="none" w:sz="0" w:space="0" w:color="FFFFFF"/>
              <w:left w:val="none" w:sz="0" w:space="0" w:color="FFFFFF"/>
              <w:bottom w:val="none" w:sz="0" w:space="0" w:color="FFFFFF"/>
              <w:right w:val="none" w:sz="0" w:space="0" w:color="FFFFFF"/>
            </w:tcBorders>
          </w:tcPr>
          <w:p w14:paraId="0F0FAAE7" w14:textId="77777777" w:rsidR="00E91697" w:rsidRDefault="00000000">
            <w:pPr>
              <w:spacing w:before="20" w:after="20"/>
              <w:jc w:val="right"/>
            </w:pPr>
            <w:r>
              <w:rPr>
                <w:sz w:val="20"/>
                <w:szCs w:val="20"/>
              </w:rPr>
              <w:t>72.7</w:t>
            </w:r>
          </w:p>
        </w:tc>
        <w:tc>
          <w:tcPr>
            <w:tcW w:w="1921" w:type="dxa"/>
            <w:tcBorders>
              <w:top w:val="none" w:sz="0" w:space="0" w:color="FFFFFF"/>
              <w:left w:val="none" w:sz="0" w:space="0" w:color="FFFFFF"/>
              <w:bottom w:val="none" w:sz="0" w:space="0" w:color="FFFFFF"/>
              <w:right w:val="none" w:sz="0" w:space="0" w:color="FFFFFF"/>
            </w:tcBorders>
          </w:tcPr>
          <w:p w14:paraId="671C27FF" w14:textId="77777777" w:rsidR="00E91697" w:rsidRDefault="00000000">
            <w:pPr>
              <w:spacing w:before="20" w:after="20"/>
              <w:jc w:val="right"/>
            </w:pPr>
            <w:r>
              <w:rPr>
                <w:sz w:val="20"/>
                <w:szCs w:val="20"/>
              </w:rPr>
              <w:t>0.1</w:t>
            </w:r>
          </w:p>
        </w:tc>
        <w:tc>
          <w:tcPr>
            <w:tcW w:w="1587" w:type="dxa"/>
            <w:tcBorders>
              <w:top w:val="none" w:sz="0" w:space="0" w:color="FFFFFF"/>
              <w:left w:val="none" w:sz="0" w:space="0" w:color="FFFFFF"/>
              <w:bottom w:val="none" w:sz="0" w:space="0" w:color="FFFFFF"/>
              <w:right w:val="none" w:sz="0" w:space="0" w:color="FFFFFF"/>
            </w:tcBorders>
          </w:tcPr>
          <w:p w14:paraId="3E3757CD" w14:textId="77777777" w:rsidR="00E91697" w:rsidRDefault="00000000">
            <w:pPr>
              <w:spacing w:before="20" w:after="20"/>
              <w:jc w:val="right"/>
            </w:pPr>
            <w:r>
              <w:rPr>
                <w:sz w:val="20"/>
                <w:szCs w:val="20"/>
              </w:rPr>
              <w:t>27.2</w:t>
            </w:r>
          </w:p>
        </w:tc>
      </w:tr>
      <w:tr w:rsidR="00E91697" w14:paraId="1BC85AFB" w14:textId="77777777">
        <w:tblPrEx>
          <w:tblCellMar>
            <w:top w:w="0" w:type="dxa"/>
            <w:bottom w:w="0" w:type="dxa"/>
          </w:tblCellMar>
        </w:tblPrEx>
        <w:tc>
          <w:tcPr>
            <w:tcW w:w="1253" w:type="dxa"/>
            <w:tcBorders>
              <w:top w:val="none" w:sz="0" w:space="0" w:color="FFFFFF"/>
              <w:left w:val="none" w:sz="0" w:space="0" w:color="FFFFFF"/>
              <w:bottom w:val="none" w:sz="0" w:space="0" w:color="FFFFFF"/>
              <w:right w:val="none" w:sz="0" w:space="0" w:color="FFFFFF"/>
            </w:tcBorders>
          </w:tcPr>
          <w:p w14:paraId="0C19AC56" w14:textId="77777777" w:rsidR="00E91697" w:rsidRDefault="00000000">
            <w:pPr>
              <w:spacing w:before="20" w:after="20"/>
            </w:pPr>
            <w:r>
              <w:rPr>
                <w:sz w:val="20"/>
                <w:szCs w:val="20"/>
              </w:rPr>
              <w:t>SSP2‑4.5</w:t>
            </w:r>
          </w:p>
        </w:tc>
        <w:tc>
          <w:tcPr>
            <w:tcW w:w="1253" w:type="dxa"/>
            <w:tcBorders>
              <w:top w:val="none" w:sz="0" w:space="0" w:color="FFFFFF"/>
              <w:left w:val="none" w:sz="0" w:space="0" w:color="FFFFFF"/>
              <w:bottom w:val="none" w:sz="0" w:space="0" w:color="FFFFFF"/>
              <w:right w:val="none" w:sz="0" w:space="0" w:color="FFFFFF"/>
            </w:tcBorders>
          </w:tcPr>
          <w:p w14:paraId="4FF521B4" w14:textId="77777777" w:rsidR="00E91697" w:rsidRDefault="00000000">
            <w:pPr>
              <w:spacing w:before="20" w:after="20"/>
            </w:pPr>
            <w:r>
              <w:rPr>
                <w:sz w:val="20"/>
                <w:szCs w:val="20"/>
              </w:rPr>
              <w:t>q50</w:t>
            </w:r>
          </w:p>
        </w:tc>
        <w:tc>
          <w:tcPr>
            <w:tcW w:w="585" w:type="dxa"/>
            <w:tcBorders>
              <w:top w:val="none" w:sz="0" w:space="0" w:color="FFFFFF"/>
              <w:left w:val="none" w:sz="0" w:space="0" w:color="FFFFFF"/>
              <w:bottom w:val="none" w:sz="0" w:space="0" w:color="FFFFFF"/>
              <w:right w:val="none" w:sz="0" w:space="0" w:color="FFFFFF"/>
            </w:tcBorders>
          </w:tcPr>
          <w:p w14:paraId="0A1AD4A7" w14:textId="77777777" w:rsidR="00E91697" w:rsidRDefault="00000000">
            <w:pPr>
              <w:spacing w:before="20" w:after="20"/>
              <w:jc w:val="right"/>
            </w:pPr>
            <w:r>
              <w:rPr>
                <w:sz w:val="20"/>
                <w:szCs w:val="20"/>
              </w:rPr>
              <w:t>294</w:t>
            </w:r>
          </w:p>
        </w:tc>
        <w:tc>
          <w:tcPr>
            <w:tcW w:w="668" w:type="dxa"/>
            <w:tcBorders>
              <w:top w:val="none" w:sz="0" w:space="0" w:color="FFFFFF"/>
              <w:left w:val="none" w:sz="0" w:space="0" w:color="FFFFFF"/>
              <w:bottom w:val="none" w:sz="0" w:space="0" w:color="FFFFFF"/>
              <w:right w:val="none" w:sz="0" w:space="0" w:color="FFFFFF"/>
            </w:tcBorders>
          </w:tcPr>
          <w:p w14:paraId="425CD17A" w14:textId="77777777" w:rsidR="00E91697" w:rsidRDefault="00000000">
            <w:pPr>
              <w:spacing w:before="20" w:after="20"/>
              <w:jc w:val="right"/>
            </w:pPr>
            <w:r>
              <w:rPr>
                <w:sz w:val="20"/>
                <w:szCs w:val="20"/>
              </w:rPr>
              <w:t>7</w:t>
            </w:r>
          </w:p>
        </w:tc>
        <w:tc>
          <w:tcPr>
            <w:tcW w:w="1754" w:type="dxa"/>
            <w:tcBorders>
              <w:top w:val="none" w:sz="0" w:space="0" w:color="FFFFFF"/>
              <w:left w:val="none" w:sz="0" w:space="0" w:color="FFFFFF"/>
              <w:bottom w:val="none" w:sz="0" w:space="0" w:color="FFFFFF"/>
              <w:right w:val="none" w:sz="0" w:space="0" w:color="FFFFFF"/>
            </w:tcBorders>
          </w:tcPr>
          <w:p w14:paraId="7DDD01BE" w14:textId="77777777" w:rsidR="00E91697" w:rsidRDefault="00000000">
            <w:pPr>
              <w:spacing w:before="20" w:after="20"/>
              <w:jc w:val="right"/>
            </w:pPr>
            <w:r>
              <w:rPr>
                <w:sz w:val="20"/>
                <w:szCs w:val="20"/>
              </w:rPr>
              <w:t>73.9</w:t>
            </w:r>
          </w:p>
        </w:tc>
        <w:tc>
          <w:tcPr>
            <w:tcW w:w="1921" w:type="dxa"/>
            <w:tcBorders>
              <w:top w:val="none" w:sz="0" w:space="0" w:color="FFFFFF"/>
              <w:left w:val="none" w:sz="0" w:space="0" w:color="FFFFFF"/>
              <w:bottom w:val="none" w:sz="0" w:space="0" w:color="FFFFFF"/>
              <w:right w:val="none" w:sz="0" w:space="0" w:color="FFFFFF"/>
            </w:tcBorders>
          </w:tcPr>
          <w:p w14:paraId="2298E0B8" w14:textId="77777777" w:rsidR="00E91697" w:rsidRDefault="00000000">
            <w:pPr>
              <w:spacing w:before="20" w:after="20"/>
              <w:jc w:val="right"/>
            </w:pPr>
            <w:r>
              <w:rPr>
                <w:sz w:val="20"/>
                <w:szCs w:val="20"/>
              </w:rPr>
              <w:t>0.9</w:t>
            </w:r>
          </w:p>
        </w:tc>
        <w:tc>
          <w:tcPr>
            <w:tcW w:w="1587" w:type="dxa"/>
            <w:tcBorders>
              <w:top w:val="none" w:sz="0" w:space="0" w:color="FFFFFF"/>
              <w:left w:val="none" w:sz="0" w:space="0" w:color="FFFFFF"/>
              <w:bottom w:val="none" w:sz="0" w:space="0" w:color="FFFFFF"/>
              <w:right w:val="none" w:sz="0" w:space="0" w:color="FFFFFF"/>
            </w:tcBorders>
          </w:tcPr>
          <w:p w14:paraId="5DF1AEB6" w14:textId="77777777" w:rsidR="00E91697" w:rsidRDefault="00000000">
            <w:pPr>
              <w:spacing w:before="20" w:after="20"/>
              <w:jc w:val="right"/>
            </w:pPr>
            <w:r>
              <w:rPr>
                <w:sz w:val="20"/>
                <w:szCs w:val="20"/>
              </w:rPr>
              <w:t>25.1</w:t>
            </w:r>
          </w:p>
        </w:tc>
      </w:tr>
      <w:tr w:rsidR="00E91697" w14:paraId="5D0CAFF6" w14:textId="77777777">
        <w:tblPrEx>
          <w:tblCellMar>
            <w:top w:w="0" w:type="dxa"/>
            <w:bottom w:w="0" w:type="dxa"/>
          </w:tblCellMar>
        </w:tblPrEx>
        <w:tc>
          <w:tcPr>
            <w:tcW w:w="1253" w:type="dxa"/>
            <w:tcBorders>
              <w:top w:val="none" w:sz="0" w:space="0" w:color="FFFFFF"/>
              <w:left w:val="none" w:sz="0" w:space="0" w:color="FFFFFF"/>
              <w:bottom w:val="none" w:sz="0" w:space="0" w:color="FFFFFF"/>
              <w:right w:val="none" w:sz="0" w:space="0" w:color="FFFFFF"/>
            </w:tcBorders>
          </w:tcPr>
          <w:p w14:paraId="70570102" w14:textId="77777777" w:rsidR="00E91697" w:rsidRDefault="00000000">
            <w:pPr>
              <w:spacing w:before="20" w:after="20"/>
            </w:pPr>
            <w:r>
              <w:rPr>
                <w:sz w:val="20"/>
                <w:szCs w:val="20"/>
              </w:rPr>
              <w:t>SSP5‑8.5</w:t>
            </w:r>
          </w:p>
        </w:tc>
        <w:tc>
          <w:tcPr>
            <w:tcW w:w="1253" w:type="dxa"/>
            <w:tcBorders>
              <w:top w:val="none" w:sz="0" w:space="0" w:color="FFFFFF"/>
              <w:left w:val="none" w:sz="0" w:space="0" w:color="FFFFFF"/>
              <w:bottom w:val="none" w:sz="0" w:space="0" w:color="FFFFFF"/>
              <w:right w:val="none" w:sz="0" w:space="0" w:color="FFFFFF"/>
            </w:tcBorders>
          </w:tcPr>
          <w:p w14:paraId="54CEA1E9" w14:textId="77777777" w:rsidR="00E91697" w:rsidRDefault="00000000">
            <w:pPr>
              <w:spacing w:before="20" w:after="20"/>
            </w:pPr>
            <w:r>
              <w:rPr>
                <w:sz w:val="20"/>
                <w:szCs w:val="20"/>
              </w:rPr>
              <w:t>PRCPTOT</w:t>
            </w:r>
          </w:p>
        </w:tc>
        <w:tc>
          <w:tcPr>
            <w:tcW w:w="585" w:type="dxa"/>
            <w:tcBorders>
              <w:top w:val="none" w:sz="0" w:space="0" w:color="FFFFFF"/>
              <w:left w:val="none" w:sz="0" w:space="0" w:color="FFFFFF"/>
              <w:bottom w:val="none" w:sz="0" w:space="0" w:color="FFFFFF"/>
              <w:right w:val="none" w:sz="0" w:space="0" w:color="FFFFFF"/>
            </w:tcBorders>
          </w:tcPr>
          <w:p w14:paraId="16264EF9" w14:textId="77777777" w:rsidR="00E91697" w:rsidRDefault="00000000">
            <w:pPr>
              <w:spacing w:before="20" w:after="20"/>
              <w:jc w:val="right"/>
            </w:pPr>
            <w:r>
              <w:rPr>
                <w:sz w:val="20"/>
                <w:szCs w:val="20"/>
              </w:rPr>
              <w:t>294</w:t>
            </w:r>
          </w:p>
        </w:tc>
        <w:tc>
          <w:tcPr>
            <w:tcW w:w="668" w:type="dxa"/>
            <w:tcBorders>
              <w:top w:val="none" w:sz="0" w:space="0" w:color="FFFFFF"/>
              <w:left w:val="none" w:sz="0" w:space="0" w:color="FFFFFF"/>
              <w:bottom w:val="none" w:sz="0" w:space="0" w:color="FFFFFF"/>
              <w:right w:val="none" w:sz="0" w:space="0" w:color="FFFFFF"/>
            </w:tcBorders>
          </w:tcPr>
          <w:p w14:paraId="56B06C70" w14:textId="77777777" w:rsidR="00E91697" w:rsidRDefault="00000000">
            <w:pPr>
              <w:spacing w:before="20" w:after="20"/>
              <w:jc w:val="right"/>
            </w:pPr>
            <w:r>
              <w:rPr>
                <w:sz w:val="20"/>
                <w:szCs w:val="20"/>
              </w:rPr>
              <w:t>7</w:t>
            </w:r>
          </w:p>
        </w:tc>
        <w:tc>
          <w:tcPr>
            <w:tcW w:w="1754" w:type="dxa"/>
            <w:tcBorders>
              <w:top w:val="none" w:sz="0" w:space="0" w:color="FFFFFF"/>
              <w:left w:val="none" w:sz="0" w:space="0" w:color="FFFFFF"/>
              <w:bottom w:val="none" w:sz="0" w:space="0" w:color="FFFFFF"/>
              <w:right w:val="none" w:sz="0" w:space="0" w:color="FFFFFF"/>
            </w:tcBorders>
          </w:tcPr>
          <w:p w14:paraId="493CF78D" w14:textId="77777777" w:rsidR="00E91697" w:rsidRDefault="00000000">
            <w:pPr>
              <w:spacing w:before="20" w:after="20"/>
              <w:jc w:val="right"/>
            </w:pPr>
            <w:r>
              <w:rPr>
                <w:sz w:val="20"/>
                <w:szCs w:val="20"/>
              </w:rPr>
              <w:t>89.7</w:t>
            </w:r>
          </w:p>
        </w:tc>
        <w:tc>
          <w:tcPr>
            <w:tcW w:w="1921" w:type="dxa"/>
            <w:tcBorders>
              <w:top w:val="none" w:sz="0" w:space="0" w:color="FFFFFF"/>
              <w:left w:val="none" w:sz="0" w:space="0" w:color="FFFFFF"/>
              <w:bottom w:val="none" w:sz="0" w:space="0" w:color="FFFFFF"/>
              <w:right w:val="none" w:sz="0" w:space="0" w:color="FFFFFF"/>
            </w:tcBorders>
          </w:tcPr>
          <w:p w14:paraId="42F1C785" w14:textId="77777777" w:rsidR="00E91697" w:rsidRDefault="00000000">
            <w:pPr>
              <w:spacing w:before="20" w:after="20"/>
              <w:jc w:val="right"/>
            </w:pPr>
            <w:r>
              <w:rPr>
                <w:sz w:val="20"/>
                <w:szCs w:val="20"/>
              </w:rPr>
              <w:t>0.2</w:t>
            </w:r>
          </w:p>
        </w:tc>
        <w:tc>
          <w:tcPr>
            <w:tcW w:w="1587" w:type="dxa"/>
            <w:tcBorders>
              <w:top w:val="none" w:sz="0" w:space="0" w:color="FFFFFF"/>
              <w:left w:val="none" w:sz="0" w:space="0" w:color="FFFFFF"/>
              <w:bottom w:val="none" w:sz="0" w:space="0" w:color="FFFFFF"/>
              <w:right w:val="none" w:sz="0" w:space="0" w:color="FFFFFF"/>
            </w:tcBorders>
          </w:tcPr>
          <w:p w14:paraId="5080175A" w14:textId="77777777" w:rsidR="00E91697" w:rsidRDefault="00000000">
            <w:pPr>
              <w:spacing w:before="20" w:after="20"/>
              <w:jc w:val="right"/>
            </w:pPr>
            <w:r>
              <w:rPr>
                <w:sz w:val="20"/>
                <w:szCs w:val="20"/>
              </w:rPr>
              <w:t>10.1</w:t>
            </w:r>
          </w:p>
        </w:tc>
      </w:tr>
      <w:tr w:rsidR="00E91697" w14:paraId="671A93B8" w14:textId="77777777">
        <w:tblPrEx>
          <w:tblCellMar>
            <w:top w:w="0" w:type="dxa"/>
            <w:bottom w:w="0" w:type="dxa"/>
          </w:tblCellMar>
        </w:tblPrEx>
        <w:tc>
          <w:tcPr>
            <w:tcW w:w="1253" w:type="dxa"/>
            <w:tcBorders>
              <w:top w:val="none" w:sz="0" w:space="0" w:color="FFFFFF"/>
              <w:left w:val="none" w:sz="0" w:space="0" w:color="FFFFFF"/>
              <w:bottom w:val="none" w:sz="0" w:space="0" w:color="FFFFFF"/>
              <w:right w:val="none" w:sz="0" w:space="0" w:color="FFFFFF"/>
            </w:tcBorders>
          </w:tcPr>
          <w:p w14:paraId="4AC74928" w14:textId="77777777" w:rsidR="00E91697" w:rsidRDefault="00000000">
            <w:pPr>
              <w:spacing w:before="20" w:after="20"/>
            </w:pPr>
            <w:r>
              <w:rPr>
                <w:sz w:val="20"/>
                <w:szCs w:val="20"/>
              </w:rPr>
              <w:t>SSP5‑8.5</w:t>
            </w:r>
          </w:p>
        </w:tc>
        <w:tc>
          <w:tcPr>
            <w:tcW w:w="1253" w:type="dxa"/>
            <w:tcBorders>
              <w:top w:val="none" w:sz="0" w:space="0" w:color="FFFFFF"/>
              <w:left w:val="none" w:sz="0" w:space="0" w:color="FFFFFF"/>
              <w:bottom w:val="none" w:sz="0" w:space="0" w:color="FFFFFF"/>
              <w:right w:val="none" w:sz="0" w:space="0" w:color="FFFFFF"/>
            </w:tcBorders>
          </w:tcPr>
          <w:p w14:paraId="5A4E66BC" w14:textId="77777777" w:rsidR="00E91697" w:rsidRDefault="00000000">
            <w:pPr>
              <w:spacing w:before="20" w:after="20"/>
            </w:pPr>
            <w:r>
              <w:rPr>
                <w:sz w:val="20"/>
                <w:szCs w:val="20"/>
              </w:rPr>
              <w:t>R20mm</w:t>
            </w:r>
          </w:p>
        </w:tc>
        <w:tc>
          <w:tcPr>
            <w:tcW w:w="585" w:type="dxa"/>
            <w:tcBorders>
              <w:top w:val="none" w:sz="0" w:space="0" w:color="FFFFFF"/>
              <w:left w:val="none" w:sz="0" w:space="0" w:color="FFFFFF"/>
              <w:bottom w:val="none" w:sz="0" w:space="0" w:color="FFFFFF"/>
              <w:right w:val="none" w:sz="0" w:space="0" w:color="FFFFFF"/>
            </w:tcBorders>
          </w:tcPr>
          <w:p w14:paraId="0CC82705" w14:textId="77777777" w:rsidR="00E91697" w:rsidRDefault="00000000">
            <w:pPr>
              <w:spacing w:before="20" w:after="20"/>
              <w:jc w:val="right"/>
            </w:pPr>
            <w:r>
              <w:rPr>
                <w:sz w:val="20"/>
                <w:szCs w:val="20"/>
              </w:rPr>
              <w:t>294</w:t>
            </w:r>
          </w:p>
        </w:tc>
        <w:tc>
          <w:tcPr>
            <w:tcW w:w="668" w:type="dxa"/>
            <w:tcBorders>
              <w:top w:val="none" w:sz="0" w:space="0" w:color="FFFFFF"/>
              <w:left w:val="none" w:sz="0" w:space="0" w:color="FFFFFF"/>
              <w:bottom w:val="none" w:sz="0" w:space="0" w:color="FFFFFF"/>
              <w:right w:val="none" w:sz="0" w:space="0" w:color="FFFFFF"/>
            </w:tcBorders>
          </w:tcPr>
          <w:p w14:paraId="758DB3CB" w14:textId="77777777" w:rsidR="00E91697" w:rsidRDefault="00000000">
            <w:pPr>
              <w:spacing w:before="20" w:after="20"/>
              <w:jc w:val="right"/>
            </w:pPr>
            <w:r>
              <w:rPr>
                <w:sz w:val="20"/>
                <w:szCs w:val="20"/>
              </w:rPr>
              <w:t>7</w:t>
            </w:r>
          </w:p>
        </w:tc>
        <w:tc>
          <w:tcPr>
            <w:tcW w:w="1754" w:type="dxa"/>
            <w:tcBorders>
              <w:top w:val="none" w:sz="0" w:space="0" w:color="FFFFFF"/>
              <w:left w:val="none" w:sz="0" w:space="0" w:color="FFFFFF"/>
              <w:bottom w:val="none" w:sz="0" w:space="0" w:color="FFFFFF"/>
              <w:right w:val="none" w:sz="0" w:space="0" w:color="FFFFFF"/>
            </w:tcBorders>
          </w:tcPr>
          <w:p w14:paraId="58376FCD" w14:textId="77777777" w:rsidR="00E91697" w:rsidRDefault="00000000">
            <w:pPr>
              <w:spacing w:before="20" w:after="20"/>
              <w:jc w:val="right"/>
            </w:pPr>
            <w:r>
              <w:rPr>
                <w:sz w:val="20"/>
                <w:szCs w:val="20"/>
              </w:rPr>
              <w:t>61.9</w:t>
            </w:r>
          </w:p>
        </w:tc>
        <w:tc>
          <w:tcPr>
            <w:tcW w:w="1921" w:type="dxa"/>
            <w:tcBorders>
              <w:top w:val="none" w:sz="0" w:space="0" w:color="FFFFFF"/>
              <w:left w:val="none" w:sz="0" w:space="0" w:color="FFFFFF"/>
              <w:bottom w:val="none" w:sz="0" w:space="0" w:color="FFFFFF"/>
              <w:right w:val="none" w:sz="0" w:space="0" w:color="FFFFFF"/>
            </w:tcBorders>
          </w:tcPr>
          <w:p w14:paraId="61C8EB74" w14:textId="77777777" w:rsidR="00E91697" w:rsidRDefault="00000000">
            <w:pPr>
              <w:spacing w:before="20" w:after="20"/>
              <w:jc w:val="right"/>
            </w:pPr>
            <w:r>
              <w:rPr>
                <w:sz w:val="20"/>
                <w:szCs w:val="20"/>
              </w:rPr>
              <w:t>1.2</w:t>
            </w:r>
          </w:p>
        </w:tc>
        <w:tc>
          <w:tcPr>
            <w:tcW w:w="1587" w:type="dxa"/>
            <w:tcBorders>
              <w:top w:val="none" w:sz="0" w:space="0" w:color="FFFFFF"/>
              <w:left w:val="none" w:sz="0" w:space="0" w:color="FFFFFF"/>
              <w:bottom w:val="none" w:sz="0" w:space="0" w:color="FFFFFF"/>
              <w:right w:val="none" w:sz="0" w:space="0" w:color="FFFFFF"/>
            </w:tcBorders>
          </w:tcPr>
          <w:p w14:paraId="73FDB520" w14:textId="77777777" w:rsidR="00E91697" w:rsidRDefault="00000000">
            <w:pPr>
              <w:spacing w:before="20" w:after="20"/>
              <w:jc w:val="right"/>
            </w:pPr>
            <w:r>
              <w:rPr>
                <w:sz w:val="20"/>
                <w:szCs w:val="20"/>
              </w:rPr>
              <w:t>37.0</w:t>
            </w:r>
          </w:p>
        </w:tc>
      </w:tr>
      <w:tr w:rsidR="00E91697" w14:paraId="50D72F88" w14:textId="77777777">
        <w:tblPrEx>
          <w:tblCellMar>
            <w:top w:w="0" w:type="dxa"/>
            <w:bottom w:w="0" w:type="dxa"/>
          </w:tblCellMar>
        </w:tblPrEx>
        <w:tc>
          <w:tcPr>
            <w:tcW w:w="1253" w:type="dxa"/>
            <w:tcBorders>
              <w:top w:val="none" w:sz="0" w:space="0" w:color="FFFFFF"/>
              <w:left w:val="none" w:sz="0" w:space="0" w:color="FFFFFF"/>
              <w:bottom w:val="none" w:sz="0" w:space="0" w:color="FFFFFF"/>
              <w:right w:val="none" w:sz="0" w:space="0" w:color="FFFFFF"/>
            </w:tcBorders>
          </w:tcPr>
          <w:p w14:paraId="01A1E6DE" w14:textId="77777777" w:rsidR="00E91697" w:rsidRDefault="00000000">
            <w:pPr>
              <w:spacing w:before="20" w:after="20"/>
            </w:pPr>
            <w:r>
              <w:rPr>
                <w:sz w:val="20"/>
                <w:szCs w:val="20"/>
              </w:rPr>
              <w:t>SSP5‑8.5</w:t>
            </w:r>
          </w:p>
        </w:tc>
        <w:tc>
          <w:tcPr>
            <w:tcW w:w="1253" w:type="dxa"/>
            <w:tcBorders>
              <w:top w:val="none" w:sz="0" w:space="0" w:color="FFFFFF"/>
              <w:left w:val="none" w:sz="0" w:space="0" w:color="FFFFFF"/>
              <w:bottom w:val="none" w:sz="0" w:space="0" w:color="FFFFFF"/>
              <w:right w:val="none" w:sz="0" w:space="0" w:color="FFFFFF"/>
            </w:tcBorders>
          </w:tcPr>
          <w:p w14:paraId="3B229124" w14:textId="77777777" w:rsidR="00E91697" w:rsidRDefault="00000000">
            <w:pPr>
              <w:spacing w:before="20" w:after="20"/>
            </w:pPr>
            <w:r>
              <w:rPr>
                <w:sz w:val="20"/>
                <w:szCs w:val="20"/>
              </w:rPr>
              <w:t>R50mm</w:t>
            </w:r>
          </w:p>
        </w:tc>
        <w:tc>
          <w:tcPr>
            <w:tcW w:w="585" w:type="dxa"/>
            <w:tcBorders>
              <w:top w:val="none" w:sz="0" w:space="0" w:color="FFFFFF"/>
              <w:left w:val="none" w:sz="0" w:space="0" w:color="FFFFFF"/>
              <w:bottom w:val="none" w:sz="0" w:space="0" w:color="FFFFFF"/>
              <w:right w:val="none" w:sz="0" w:space="0" w:color="FFFFFF"/>
            </w:tcBorders>
          </w:tcPr>
          <w:p w14:paraId="3826D84A" w14:textId="77777777" w:rsidR="00E91697" w:rsidRDefault="00000000">
            <w:pPr>
              <w:spacing w:before="20" w:after="20"/>
              <w:jc w:val="right"/>
            </w:pPr>
            <w:r>
              <w:rPr>
                <w:sz w:val="20"/>
                <w:szCs w:val="20"/>
              </w:rPr>
              <w:t>292</w:t>
            </w:r>
          </w:p>
        </w:tc>
        <w:tc>
          <w:tcPr>
            <w:tcW w:w="668" w:type="dxa"/>
            <w:tcBorders>
              <w:top w:val="none" w:sz="0" w:space="0" w:color="FFFFFF"/>
              <w:left w:val="none" w:sz="0" w:space="0" w:color="FFFFFF"/>
              <w:bottom w:val="none" w:sz="0" w:space="0" w:color="FFFFFF"/>
              <w:right w:val="none" w:sz="0" w:space="0" w:color="FFFFFF"/>
            </w:tcBorders>
          </w:tcPr>
          <w:p w14:paraId="45445564" w14:textId="77777777" w:rsidR="00E91697" w:rsidRDefault="00000000">
            <w:pPr>
              <w:spacing w:before="20" w:after="20"/>
              <w:jc w:val="right"/>
            </w:pPr>
            <w:r>
              <w:rPr>
                <w:sz w:val="20"/>
                <w:szCs w:val="20"/>
              </w:rPr>
              <w:t>7</w:t>
            </w:r>
          </w:p>
        </w:tc>
        <w:tc>
          <w:tcPr>
            <w:tcW w:w="1754" w:type="dxa"/>
            <w:tcBorders>
              <w:top w:val="none" w:sz="0" w:space="0" w:color="FFFFFF"/>
              <w:left w:val="none" w:sz="0" w:space="0" w:color="FFFFFF"/>
              <w:bottom w:val="none" w:sz="0" w:space="0" w:color="FFFFFF"/>
              <w:right w:val="none" w:sz="0" w:space="0" w:color="FFFFFF"/>
            </w:tcBorders>
          </w:tcPr>
          <w:p w14:paraId="698CB43E" w14:textId="77777777" w:rsidR="00E91697" w:rsidRDefault="00000000">
            <w:pPr>
              <w:spacing w:before="20" w:after="20"/>
              <w:jc w:val="right"/>
            </w:pPr>
            <w:r>
              <w:rPr>
                <w:sz w:val="20"/>
                <w:szCs w:val="20"/>
              </w:rPr>
              <w:t>52.2</w:t>
            </w:r>
          </w:p>
        </w:tc>
        <w:tc>
          <w:tcPr>
            <w:tcW w:w="1921" w:type="dxa"/>
            <w:tcBorders>
              <w:top w:val="none" w:sz="0" w:space="0" w:color="FFFFFF"/>
              <w:left w:val="none" w:sz="0" w:space="0" w:color="FFFFFF"/>
              <w:bottom w:val="none" w:sz="0" w:space="0" w:color="FFFFFF"/>
              <w:right w:val="none" w:sz="0" w:space="0" w:color="FFFFFF"/>
            </w:tcBorders>
          </w:tcPr>
          <w:p w14:paraId="55EBA356" w14:textId="77777777" w:rsidR="00E91697" w:rsidRDefault="00000000">
            <w:pPr>
              <w:spacing w:before="20" w:after="20"/>
              <w:jc w:val="right"/>
            </w:pPr>
            <w:r>
              <w:rPr>
                <w:sz w:val="20"/>
                <w:szCs w:val="20"/>
              </w:rPr>
              <w:t>0.7</w:t>
            </w:r>
          </w:p>
        </w:tc>
        <w:tc>
          <w:tcPr>
            <w:tcW w:w="1587" w:type="dxa"/>
            <w:tcBorders>
              <w:top w:val="none" w:sz="0" w:space="0" w:color="FFFFFF"/>
              <w:left w:val="none" w:sz="0" w:space="0" w:color="FFFFFF"/>
              <w:bottom w:val="none" w:sz="0" w:space="0" w:color="FFFFFF"/>
              <w:right w:val="none" w:sz="0" w:space="0" w:color="FFFFFF"/>
            </w:tcBorders>
          </w:tcPr>
          <w:p w14:paraId="4BE5FAE6" w14:textId="77777777" w:rsidR="00E91697" w:rsidRDefault="00000000">
            <w:pPr>
              <w:spacing w:before="20" w:after="20"/>
              <w:jc w:val="right"/>
            </w:pPr>
            <w:r>
              <w:rPr>
                <w:sz w:val="20"/>
                <w:szCs w:val="20"/>
              </w:rPr>
              <w:t>47.1</w:t>
            </w:r>
          </w:p>
        </w:tc>
      </w:tr>
      <w:tr w:rsidR="00E91697" w14:paraId="30AE6449" w14:textId="77777777">
        <w:tblPrEx>
          <w:tblCellMar>
            <w:top w:w="0" w:type="dxa"/>
            <w:bottom w:w="0" w:type="dxa"/>
          </w:tblCellMar>
        </w:tblPrEx>
        <w:tc>
          <w:tcPr>
            <w:tcW w:w="1253" w:type="dxa"/>
            <w:tcBorders>
              <w:top w:val="none" w:sz="0" w:space="0" w:color="FFFFFF"/>
              <w:left w:val="none" w:sz="0" w:space="0" w:color="FFFFFF"/>
              <w:bottom w:val="none" w:sz="0" w:space="0" w:color="FFFFFF"/>
              <w:right w:val="none" w:sz="0" w:space="0" w:color="FFFFFF"/>
            </w:tcBorders>
          </w:tcPr>
          <w:p w14:paraId="6A475669" w14:textId="77777777" w:rsidR="00E91697" w:rsidRDefault="00000000">
            <w:pPr>
              <w:spacing w:before="20" w:after="20"/>
            </w:pPr>
            <w:r>
              <w:rPr>
                <w:sz w:val="20"/>
                <w:szCs w:val="20"/>
              </w:rPr>
              <w:t>SSP5‑8.5</w:t>
            </w:r>
          </w:p>
        </w:tc>
        <w:tc>
          <w:tcPr>
            <w:tcW w:w="1253" w:type="dxa"/>
            <w:tcBorders>
              <w:top w:val="none" w:sz="0" w:space="0" w:color="FFFFFF"/>
              <w:left w:val="none" w:sz="0" w:space="0" w:color="FFFFFF"/>
              <w:bottom w:val="none" w:sz="0" w:space="0" w:color="FFFFFF"/>
              <w:right w:val="none" w:sz="0" w:space="0" w:color="FFFFFF"/>
            </w:tcBorders>
          </w:tcPr>
          <w:p w14:paraId="4DCAEA76" w14:textId="77777777" w:rsidR="00E91697" w:rsidRDefault="00000000">
            <w:pPr>
              <w:spacing w:before="20" w:after="20"/>
            </w:pPr>
            <w:r>
              <w:rPr>
                <w:sz w:val="20"/>
                <w:szCs w:val="20"/>
              </w:rPr>
              <w:t>R95p</w:t>
            </w:r>
          </w:p>
        </w:tc>
        <w:tc>
          <w:tcPr>
            <w:tcW w:w="585" w:type="dxa"/>
            <w:tcBorders>
              <w:top w:val="none" w:sz="0" w:space="0" w:color="FFFFFF"/>
              <w:left w:val="none" w:sz="0" w:space="0" w:color="FFFFFF"/>
              <w:bottom w:val="none" w:sz="0" w:space="0" w:color="FFFFFF"/>
              <w:right w:val="none" w:sz="0" w:space="0" w:color="FFFFFF"/>
            </w:tcBorders>
          </w:tcPr>
          <w:p w14:paraId="7C91956B" w14:textId="77777777" w:rsidR="00E91697" w:rsidRDefault="00000000">
            <w:pPr>
              <w:spacing w:before="20" w:after="20"/>
              <w:jc w:val="right"/>
            </w:pPr>
            <w:r>
              <w:rPr>
                <w:sz w:val="20"/>
                <w:szCs w:val="20"/>
              </w:rPr>
              <w:t>294</w:t>
            </w:r>
          </w:p>
        </w:tc>
        <w:tc>
          <w:tcPr>
            <w:tcW w:w="668" w:type="dxa"/>
            <w:tcBorders>
              <w:top w:val="none" w:sz="0" w:space="0" w:color="FFFFFF"/>
              <w:left w:val="none" w:sz="0" w:space="0" w:color="FFFFFF"/>
              <w:bottom w:val="none" w:sz="0" w:space="0" w:color="FFFFFF"/>
              <w:right w:val="none" w:sz="0" w:space="0" w:color="FFFFFF"/>
            </w:tcBorders>
          </w:tcPr>
          <w:p w14:paraId="781E20EE" w14:textId="77777777" w:rsidR="00E91697" w:rsidRDefault="00000000">
            <w:pPr>
              <w:spacing w:before="20" w:after="20"/>
              <w:jc w:val="right"/>
            </w:pPr>
            <w:r>
              <w:rPr>
                <w:sz w:val="20"/>
                <w:szCs w:val="20"/>
              </w:rPr>
              <w:t>7</w:t>
            </w:r>
          </w:p>
        </w:tc>
        <w:tc>
          <w:tcPr>
            <w:tcW w:w="1754" w:type="dxa"/>
            <w:tcBorders>
              <w:top w:val="none" w:sz="0" w:space="0" w:color="FFFFFF"/>
              <w:left w:val="none" w:sz="0" w:space="0" w:color="FFFFFF"/>
              <w:bottom w:val="none" w:sz="0" w:space="0" w:color="FFFFFF"/>
              <w:right w:val="none" w:sz="0" w:space="0" w:color="FFFFFF"/>
            </w:tcBorders>
          </w:tcPr>
          <w:p w14:paraId="36E23C6E" w14:textId="77777777" w:rsidR="00E91697" w:rsidRDefault="00000000">
            <w:pPr>
              <w:spacing w:before="20" w:after="20"/>
              <w:jc w:val="right"/>
            </w:pPr>
            <w:r>
              <w:rPr>
                <w:sz w:val="20"/>
                <w:szCs w:val="20"/>
              </w:rPr>
              <w:t>83.5</w:t>
            </w:r>
          </w:p>
        </w:tc>
        <w:tc>
          <w:tcPr>
            <w:tcW w:w="1921" w:type="dxa"/>
            <w:tcBorders>
              <w:top w:val="none" w:sz="0" w:space="0" w:color="FFFFFF"/>
              <w:left w:val="none" w:sz="0" w:space="0" w:color="FFFFFF"/>
              <w:bottom w:val="none" w:sz="0" w:space="0" w:color="FFFFFF"/>
              <w:right w:val="none" w:sz="0" w:space="0" w:color="FFFFFF"/>
            </w:tcBorders>
          </w:tcPr>
          <w:p w14:paraId="20350614" w14:textId="77777777" w:rsidR="00E91697" w:rsidRDefault="00000000">
            <w:pPr>
              <w:spacing w:before="20" w:after="20"/>
              <w:jc w:val="right"/>
            </w:pPr>
            <w:r>
              <w:rPr>
                <w:sz w:val="20"/>
                <w:szCs w:val="20"/>
              </w:rPr>
              <w:t>0.3</w:t>
            </w:r>
          </w:p>
        </w:tc>
        <w:tc>
          <w:tcPr>
            <w:tcW w:w="1587" w:type="dxa"/>
            <w:tcBorders>
              <w:top w:val="none" w:sz="0" w:space="0" w:color="FFFFFF"/>
              <w:left w:val="none" w:sz="0" w:space="0" w:color="FFFFFF"/>
              <w:bottom w:val="none" w:sz="0" w:space="0" w:color="FFFFFF"/>
              <w:right w:val="none" w:sz="0" w:space="0" w:color="FFFFFF"/>
            </w:tcBorders>
          </w:tcPr>
          <w:p w14:paraId="2D36F6FF" w14:textId="77777777" w:rsidR="00E91697" w:rsidRDefault="00000000">
            <w:pPr>
              <w:spacing w:before="20" w:after="20"/>
              <w:jc w:val="right"/>
            </w:pPr>
            <w:r>
              <w:rPr>
                <w:sz w:val="20"/>
                <w:szCs w:val="20"/>
              </w:rPr>
              <w:t>16.3</w:t>
            </w:r>
          </w:p>
        </w:tc>
      </w:tr>
      <w:tr w:rsidR="00E91697" w14:paraId="76051AA5" w14:textId="77777777">
        <w:tblPrEx>
          <w:tblCellMar>
            <w:top w:w="0" w:type="dxa"/>
            <w:bottom w:w="0" w:type="dxa"/>
          </w:tblCellMar>
        </w:tblPrEx>
        <w:tc>
          <w:tcPr>
            <w:tcW w:w="1253" w:type="dxa"/>
            <w:tcBorders>
              <w:top w:val="none" w:sz="0" w:space="0" w:color="FFFFFF"/>
              <w:left w:val="none" w:sz="0" w:space="0" w:color="FFFFFF"/>
              <w:bottom w:val="none" w:sz="0" w:space="0" w:color="FFFFFF"/>
              <w:right w:val="none" w:sz="0" w:space="0" w:color="FFFFFF"/>
            </w:tcBorders>
          </w:tcPr>
          <w:p w14:paraId="2D4A2195" w14:textId="77777777" w:rsidR="00E91697" w:rsidRDefault="00000000">
            <w:pPr>
              <w:spacing w:before="20" w:after="20"/>
            </w:pPr>
            <w:r>
              <w:rPr>
                <w:sz w:val="20"/>
                <w:szCs w:val="20"/>
              </w:rPr>
              <w:t>SSP5‑8.5</w:t>
            </w:r>
          </w:p>
        </w:tc>
        <w:tc>
          <w:tcPr>
            <w:tcW w:w="1253" w:type="dxa"/>
            <w:tcBorders>
              <w:top w:val="none" w:sz="0" w:space="0" w:color="FFFFFF"/>
              <w:left w:val="none" w:sz="0" w:space="0" w:color="FFFFFF"/>
              <w:bottom w:val="none" w:sz="0" w:space="0" w:color="FFFFFF"/>
              <w:right w:val="none" w:sz="0" w:space="0" w:color="FFFFFF"/>
            </w:tcBorders>
          </w:tcPr>
          <w:p w14:paraId="0FF71B89" w14:textId="77777777" w:rsidR="00E91697" w:rsidRDefault="00000000">
            <w:pPr>
              <w:spacing w:before="20" w:after="20"/>
            </w:pPr>
            <w:r>
              <w:rPr>
                <w:sz w:val="20"/>
                <w:szCs w:val="20"/>
              </w:rPr>
              <w:t>SDII</w:t>
            </w:r>
          </w:p>
        </w:tc>
        <w:tc>
          <w:tcPr>
            <w:tcW w:w="585" w:type="dxa"/>
            <w:tcBorders>
              <w:top w:val="none" w:sz="0" w:space="0" w:color="FFFFFF"/>
              <w:left w:val="none" w:sz="0" w:space="0" w:color="FFFFFF"/>
              <w:bottom w:val="none" w:sz="0" w:space="0" w:color="FFFFFF"/>
              <w:right w:val="none" w:sz="0" w:space="0" w:color="FFFFFF"/>
            </w:tcBorders>
          </w:tcPr>
          <w:p w14:paraId="15E81869" w14:textId="77777777" w:rsidR="00E91697" w:rsidRDefault="00000000">
            <w:pPr>
              <w:spacing w:before="20" w:after="20"/>
              <w:jc w:val="right"/>
            </w:pPr>
            <w:r>
              <w:rPr>
                <w:sz w:val="20"/>
                <w:szCs w:val="20"/>
              </w:rPr>
              <w:t>294</w:t>
            </w:r>
          </w:p>
        </w:tc>
        <w:tc>
          <w:tcPr>
            <w:tcW w:w="668" w:type="dxa"/>
            <w:tcBorders>
              <w:top w:val="none" w:sz="0" w:space="0" w:color="FFFFFF"/>
              <w:left w:val="none" w:sz="0" w:space="0" w:color="FFFFFF"/>
              <w:bottom w:val="none" w:sz="0" w:space="0" w:color="FFFFFF"/>
              <w:right w:val="none" w:sz="0" w:space="0" w:color="FFFFFF"/>
            </w:tcBorders>
          </w:tcPr>
          <w:p w14:paraId="03FD2C1F" w14:textId="77777777" w:rsidR="00E91697" w:rsidRDefault="00000000">
            <w:pPr>
              <w:spacing w:before="20" w:after="20"/>
              <w:jc w:val="right"/>
            </w:pPr>
            <w:r>
              <w:rPr>
                <w:sz w:val="20"/>
                <w:szCs w:val="20"/>
              </w:rPr>
              <w:t>7</w:t>
            </w:r>
          </w:p>
        </w:tc>
        <w:tc>
          <w:tcPr>
            <w:tcW w:w="1754" w:type="dxa"/>
            <w:tcBorders>
              <w:top w:val="none" w:sz="0" w:space="0" w:color="FFFFFF"/>
              <w:left w:val="none" w:sz="0" w:space="0" w:color="FFFFFF"/>
              <w:bottom w:val="none" w:sz="0" w:space="0" w:color="FFFFFF"/>
              <w:right w:val="none" w:sz="0" w:space="0" w:color="FFFFFF"/>
            </w:tcBorders>
          </w:tcPr>
          <w:p w14:paraId="229248AD" w14:textId="77777777" w:rsidR="00E91697" w:rsidRDefault="00000000">
            <w:pPr>
              <w:spacing w:before="20" w:after="20"/>
              <w:jc w:val="right"/>
            </w:pPr>
            <w:r>
              <w:rPr>
                <w:sz w:val="20"/>
                <w:szCs w:val="20"/>
              </w:rPr>
              <w:t>84.1</w:t>
            </w:r>
          </w:p>
        </w:tc>
        <w:tc>
          <w:tcPr>
            <w:tcW w:w="1921" w:type="dxa"/>
            <w:tcBorders>
              <w:top w:val="none" w:sz="0" w:space="0" w:color="FFFFFF"/>
              <w:left w:val="none" w:sz="0" w:space="0" w:color="FFFFFF"/>
              <w:bottom w:val="none" w:sz="0" w:space="0" w:color="FFFFFF"/>
              <w:right w:val="none" w:sz="0" w:space="0" w:color="FFFFFF"/>
            </w:tcBorders>
          </w:tcPr>
          <w:p w14:paraId="60FADD27" w14:textId="77777777" w:rsidR="00E91697" w:rsidRDefault="00000000">
            <w:pPr>
              <w:spacing w:before="20" w:after="20"/>
              <w:jc w:val="right"/>
            </w:pPr>
            <w:r>
              <w:rPr>
                <w:sz w:val="20"/>
                <w:szCs w:val="20"/>
              </w:rPr>
              <w:t>0.2</w:t>
            </w:r>
          </w:p>
        </w:tc>
        <w:tc>
          <w:tcPr>
            <w:tcW w:w="1587" w:type="dxa"/>
            <w:tcBorders>
              <w:top w:val="none" w:sz="0" w:space="0" w:color="FFFFFF"/>
              <w:left w:val="none" w:sz="0" w:space="0" w:color="FFFFFF"/>
              <w:bottom w:val="none" w:sz="0" w:space="0" w:color="FFFFFF"/>
              <w:right w:val="none" w:sz="0" w:space="0" w:color="FFFFFF"/>
            </w:tcBorders>
          </w:tcPr>
          <w:p w14:paraId="130305E0" w14:textId="77777777" w:rsidR="00E91697" w:rsidRDefault="00000000">
            <w:pPr>
              <w:spacing w:before="20" w:after="20"/>
              <w:jc w:val="right"/>
            </w:pPr>
            <w:r>
              <w:rPr>
                <w:sz w:val="20"/>
                <w:szCs w:val="20"/>
              </w:rPr>
              <w:t>15.7</w:t>
            </w:r>
          </w:p>
        </w:tc>
      </w:tr>
      <w:tr w:rsidR="00E91697" w14:paraId="7DDA65E4" w14:textId="77777777">
        <w:tblPrEx>
          <w:tblCellMar>
            <w:top w:w="0" w:type="dxa"/>
            <w:bottom w:w="0" w:type="dxa"/>
          </w:tblCellMar>
        </w:tblPrEx>
        <w:tc>
          <w:tcPr>
            <w:tcW w:w="1253" w:type="dxa"/>
            <w:tcBorders>
              <w:top w:val="none" w:sz="0" w:space="0" w:color="FFFFFF"/>
              <w:left w:val="none" w:sz="0" w:space="0" w:color="FFFFFF"/>
              <w:bottom w:val="single" w:sz="6" w:space="0" w:color="000000"/>
              <w:right w:val="none" w:sz="0" w:space="0" w:color="FFFFFF"/>
            </w:tcBorders>
          </w:tcPr>
          <w:p w14:paraId="3CDC1597" w14:textId="77777777" w:rsidR="00E91697" w:rsidRDefault="00000000">
            <w:pPr>
              <w:spacing w:before="20" w:after="20"/>
            </w:pPr>
            <w:r>
              <w:rPr>
                <w:sz w:val="20"/>
                <w:szCs w:val="20"/>
              </w:rPr>
              <w:t>SSP5‑8.5</w:t>
            </w:r>
          </w:p>
        </w:tc>
        <w:tc>
          <w:tcPr>
            <w:tcW w:w="1253" w:type="dxa"/>
            <w:tcBorders>
              <w:top w:val="none" w:sz="0" w:space="0" w:color="FFFFFF"/>
              <w:left w:val="none" w:sz="0" w:space="0" w:color="FFFFFF"/>
              <w:bottom w:val="single" w:sz="6" w:space="0" w:color="000000"/>
              <w:right w:val="none" w:sz="0" w:space="0" w:color="FFFFFF"/>
            </w:tcBorders>
          </w:tcPr>
          <w:p w14:paraId="62352030" w14:textId="77777777" w:rsidR="00E91697" w:rsidRDefault="00000000">
            <w:pPr>
              <w:spacing w:before="20" w:after="20"/>
            </w:pPr>
            <w:r>
              <w:rPr>
                <w:sz w:val="20"/>
                <w:szCs w:val="20"/>
              </w:rPr>
              <w:t>q50</w:t>
            </w:r>
          </w:p>
        </w:tc>
        <w:tc>
          <w:tcPr>
            <w:tcW w:w="585" w:type="dxa"/>
            <w:tcBorders>
              <w:top w:val="none" w:sz="0" w:space="0" w:color="FFFFFF"/>
              <w:left w:val="none" w:sz="0" w:space="0" w:color="FFFFFF"/>
              <w:bottom w:val="single" w:sz="6" w:space="0" w:color="000000"/>
              <w:right w:val="none" w:sz="0" w:space="0" w:color="FFFFFF"/>
            </w:tcBorders>
          </w:tcPr>
          <w:p w14:paraId="2B20C594" w14:textId="77777777" w:rsidR="00E91697" w:rsidRDefault="00000000">
            <w:pPr>
              <w:spacing w:before="20" w:after="20"/>
              <w:jc w:val="right"/>
            </w:pPr>
            <w:r>
              <w:rPr>
                <w:sz w:val="20"/>
                <w:szCs w:val="20"/>
              </w:rPr>
              <w:t>294</w:t>
            </w:r>
          </w:p>
        </w:tc>
        <w:tc>
          <w:tcPr>
            <w:tcW w:w="668" w:type="dxa"/>
            <w:tcBorders>
              <w:top w:val="none" w:sz="0" w:space="0" w:color="FFFFFF"/>
              <w:left w:val="none" w:sz="0" w:space="0" w:color="FFFFFF"/>
              <w:bottom w:val="single" w:sz="6" w:space="0" w:color="000000"/>
              <w:right w:val="none" w:sz="0" w:space="0" w:color="FFFFFF"/>
            </w:tcBorders>
          </w:tcPr>
          <w:p w14:paraId="23488713" w14:textId="77777777" w:rsidR="00E91697" w:rsidRDefault="00000000">
            <w:pPr>
              <w:spacing w:before="20" w:after="20"/>
              <w:jc w:val="right"/>
            </w:pPr>
            <w:r>
              <w:rPr>
                <w:sz w:val="20"/>
                <w:szCs w:val="20"/>
              </w:rPr>
              <w:t>7</w:t>
            </w:r>
          </w:p>
        </w:tc>
        <w:tc>
          <w:tcPr>
            <w:tcW w:w="1754" w:type="dxa"/>
            <w:tcBorders>
              <w:top w:val="none" w:sz="0" w:space="0" w:color="FFFFFF"/>
              <w:left w:val="none" w:sz="0" w:space="0" w:color="FFFFFF"/>
              <w:bottom w:val="single" w:sz="6" w:space="0" w:color="000000"/>
              <w:right w:val="none" w:sz="0" w:space="0" w:color="FFFFFF"/>
            </w:tcBorders>
          </w:tcPr>
          <w:p w14:paraId="3072A23E" w14:textId="77777777" w:rsidR="00E91697" w:rsidRDefault="00000000">
            <w:pPr>
              <w:spacing w:before="20" w:after="20"/>
              <w:jc w:val="right"/>
            </w:pPr>
            <w:r>
              <w:rPr>
                <w:sz w:val="20"/>
                <w:szCs w:val="20"/>
              </w:rPr>
              <w:t>73.9</w:t>
            </w:r>
          </w:p>
        </w:tc>
        <w:tc>
          <w:tcPr>
            <w:tcW w:w="1921" w:type="dxa"/>
            <w:tcBorders>
              <w:top w:val="none" w:sz="0" w:space="0" w:color="FFFFFF"/>
              <w:left w:val="none" w:sz="0" w:space="0" w:color="FFFFFF"/>
              <w:bottom w:val="single" w:sz="6" w:space="0" w:color="000000"/>
              <w:right w:val="none" w:sz="0" w:space="0" w:color="FFFFFF"/>
            </w:tcBorders>
          </w:tcPr>
          <w:p w14:paraId="38C70329" w14:textId="77777777" w:rsidR="00E91697" w:rsidRDefault="00000000">
            <w:pPr>
              <w:spacing w:before="20" w:after="20"/>
              <w:jc w:val="right"/>
            </w:pPr>
            <w:r>
              <w:rPr>
                <w:sz w:val="20"/>
                <w:szCs w:val="20"/>
              </w:rPr>
              <w:t>0.4</w:t>
            </w:r>
          </w:p>
        </w:tc>
        <w:tc>
          <w:tcPr>
            <w:tcW w:w="1587" w:type="dxa"/>
            <w:tcBorders>
              <w:top w:val="none" w:sz="0" w:space="0" w:color="FFFFFF"/>
              <w:left w:val="none" w:sz="0" w:space="0" w:color="FFFFFF"/>
              <w:bottom w:val="single" w:sz="6" w:space="0" w:color="000000"/>
              <w:right w:val="none" w:sz="0" w:space="0" w:color="FFFFFF"/>
            </w:tcBorders>
          </w:tcPr>
          <w:p w14:paraId="45D0FF2E" w14:textId="77777777" w:rsidR="00E91697" w:rsidRDefault="00000000">
            <w:pPr>
              <w:spacing w:before="20" w:after="20"/>
              <w:jc w:val="right"/>
            </w:pPr>
            <w:r>
              <w:rPr>
                <w:sz w:val="20"/>
                <w:szCs w:val="20"/>
              </w:rPr>
              <w:t>25.7</w:t>
            </w:r>
          </w:p>
        </w:tc>
      </w:tr>
    </w:tbl>
    <w:p w14:paraId="3E83E865" w14:textId="77777777" w:rsidR="00E91697" w:rsidRDefault="00000000">
      <w:pPr>
        <w:keepNext/>
        <w:spacing w:before="60" w:after="20"/>
        <w:jc w:val="center"/>
      </w:pPr>
      <w:r>
        <w:rPr>
          <w:noProof/>
        </w:rPr>
        <w:lastRenderedPageBreak/>
        <w:drawing>
          <wp:inline distT="0" distB="0" distL="0" distR="0" wp14:anchorId="2A577988" wp14:editId="78DE1F62">
            <wp:extent cx="4648200" cy="4972050"/>
            <wp:effectExtent l="0" t="0" r="0" b="0"/>
            <wp:docPr id="625522853" name="รูปภาพ 62552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48200" cy="4972050"/>
                    </a:xfrm>
                    <a:prstGeom prst="rect">
                      <a:avLst/>
                    </a:prstGeom>
                  </pic:spPr>
                </pic:pic>
              </a:graphicData>
            </a:graphic>
          </wp:inline>
        </w:drawing>
      </w:r>
    </w:p>
    <w:p w14:paraId="65773B3D" w14:textId="77777777" w:rsidR="00E91697" w:rsidRDefault="00000000">
      <w:pPr>
        <w:keepLines/>
        <w:spacing w:before="40" w:after="80"/>
      </w:pPr>
      <w:r>
        <w:rPr>
          <w:b/>
          <w:bCs/>
          <w:sz w:val="20"/>
          <w:szCs w:val="20"/>
        </w:rPr>
        <w:t>Figure 6</w:t>
      </w:r>
      <w:r>
        <w:rPr>
          <w:sz w:val="20"/>
          <w:szCs w:val="20"/>
        </w:rPr>
        <w:t xml:space="preserve"> Signal-preservation error for every index and method, with (a) SSP2-4.5 and (b) SSP5-8.5 on a shared vertical scale. Values are those of Tables 1 and 2. Symbols are ensemble medians and bars the inter-model interquartile range. Indices to the right of the dashed rule, on the shaded background, are sequence-dependent, marked as in Figures 2, 3 and 5.</w:t>
      </w:r>
    </w:p>
    <w:p w14:paraId="2A28771E" w14:textId="77777777" w:rsidR="00E91697" w:rsidRDefault="00000000">
      <w:pPr>
        <w:keepNext/>
        <w:spacing w:before="100" w:after="20" w:line="480" w:lineRule="auto"/>
      </w:pPr>
      <w:r>
        <w:rPr>
          <w:i/>
          <w:iCs/>
        </w:rPr>
        <w:t>3.8 Implications for impact studies</w:t>
      </w:r>
    </w:p>
    <w:p w14:paraId="6D6E7936" w14:textId="77777777" w:rsidR="00E91697" w:rsidRDefault="00000000">
      <w:pPr>
        <w:spacing w:line="480" w:lineRule="auto"/>
        <w:ind w:firstLine="360"/>
        <w:jc w:val="both"/>
      </w:pPr>
      <w:r>
        <w:t xml:space="preserve">The order of operations matters more than the choice of method. Screening the observed record for homogeneity, and placing the calibration and validation periods inside a homogeneous era, changed the out-of-sample residual from 52.09% to 14.56% and changed the conclusion from "no method works" to "all three work about equally well". No choice among QM/EQM, </w:t>
      </w:r>
      <w:proofErr w:type="spellStart"/>
      <w:r>
        <w:t>DetQM</w:t>
      </w:r>
      <w:proofErr w:type="spellEnd"/>
      <w:r>
        <w:t xml:space="preserve"> and QDM comes close to that effect.</w:t>
      </w:r>
    </w:p>
    <w:p w14:paraId="422CF91D" w14:textId="77777777" w:rsidR="00E91697" w:rsidRDefault="00000000">
      <w:pPr>
        <w:spacing w:line="480" w:lineRule="auto"/>
        <w:ind w:firstLine="360"/>
        <w:jc w:val="both"/>
      </w:pPr>
      <w:r>
        <w:lastRenderedPageBreak/>
        <w:t>Given a homogeneous record, method selection should follow the target quantity. For annual precipitation and the wet-day quantiles the differences between methods are within about 1.4 percentage points and any of the three would support the same conclusion. For indices built on threshold exceedance the differences reach 18 percentage points and their sign changes between scenarios, so a study reporting a single method conveys less than the evidence supports. For drought-duration indicators the limiting factor is not the method but the uncorrected sequencing, which here is made worse rather than better by the correction, and which points towards approaches that model occurrence explicitly.</w:t>
      </w:r>
    </w:p>
    <w:p w14:paraId="525DA7F9" w14:textId="77777777" w:rsidR="00E91697" w:rsidRDefault="00000000">
      <w:pPr>
        <w:keepNext/>
        <w:spacing w:before="100" w:after="20" w:line="480" w:lineRule="auto"/>
      </w:pPr>
      <w:r>
        <w:rPr>
          <w:i/>
          <w:iCs/>
        </w:rPr>
        <w:t>3.9 Limitations</w:t>
      </w:r>
    </w:p>
    <w:p w14:paraId="6E01DE82" w14:textId="77777777" w:rsidR="00E91697" w:rsidRDefault="00000000">
      <w:pPr>
        <w:spacing w:line="480" w:lineRule="auto"/>
        <w:ind w:firstLine="360"/>
        <w:jc w:val="both"/>
      </w:pPr>
      <w:r>
        <w:t>The discontinuity confines the analysis to 1981–2004. The calibration sample is twelve years, shorter than is desirable for empirical quantile mapping in the upper tail, and the baseline is 1985–2004 rather than a recent twenty years, so the projected changes are expressed relative to an older reference period than is customary. The post-2006 decade is excluded altogether, so nothing here describes the recent observed climate of Nan.</w:t>
      </w:r>
    </w:p>
    <w:p w14:paraId="58C2265F" w14:textId="77777777" w:rsidR="00E91697" w:rsidRDefault="00000000">
      <w:pPr>
        <w:spacing w:line="480" w:lineRule="auto"/>
        <w:ind w:firstLine="360"/>
        <w:jc w:val="both"/>
      </w:pPr>
      <w:r>
        <w:t xml:space="preserve">Each model contributes one </w:t>
      </w:r>
      <w:proofErr w:type="spellStart"/>
      <w:r>
        <w:t>realisation</w:t>
      </w:r>
      <w:proofErr w:type="spellEnd"/>
      <w:r>
        <w:t>, so the forced response cannot be separated from internal variability. Station history metadata were unavailable, so the discontinuity is documented but not attributed. Raw model fields deliver only one to four distinct series across the province, limiting spatial inference, and only two emission pathways and one future window were examined. All three methods are marginal daily transformations, so the comparison cannot establish how a method that models temporal structure explicitly would behave.</w:t>
      </w:r>
    </w:p>
    <w:p w14:paraId="2B47022C" w14:textId="77777777" w:rsidR="00E91697" w:rsidRDefault="00000000">
      <w:pPr>
        <w:keepNext/>
        <w:spacing w:before="120" w:after="40" w:line="480" w:lineRule="auto"/>
      </w:pPr>
      <w:r>
        <w:rPr>
          <w:b/>
          <w:bCs/>
        </w:rPr>
        <w:t>4. Conclusions</w:t>
      </w:r>
    </w:p>
    <w:p w14:paraId="5E2B2EE5" w14:textId="77777777" w:rsidR="00E91697" w:rsidRDefault="00000000">
      <w:pPr>
        <w:spacing w:line="480" w:lineRule="auto"/>
        <w:ind w:firstLine="360"/>
        <w:jc w:val="both"/>
      </w:pPr>
      <w:r>
        <w:t xml:space="preserve">Screening the observed record was decisive. A split-sample straddling a network-wide discontinuity in the Nan gauge record left a residual out-of-sample error of 52.09%, worse than </w:t>
      </w:r>
      <w:r>
        <w:lastRenderedPageBreak/>
        <w:t>the uncorrected models; moving both periods inside the homogeneous era reduced it to 14.56% and improved every primary metric. All three methods then reduced calibration bias to below 1.8% and converged out of sample to within 2.8 percentage points of one another. Climate-signal preservation stayed within 4.84% for bulk statistics and direct quantiles but reached 24.94% for a tail index, and no method had the smallest absolute error consistently across scenarios and indices. Sequence-dependent indices were made worse by correction. Homogeneity screening should therefore precede method comparison, and method choice should be matched to the rainfall characteristic of interest.</w:t>
      </w:r>
    </w:p>
    <w:p w14:paraId="39B2EA06" w14:textId="77777777" w:rsidR="00E91697" w:rsidRDefault="00000000">
      <w:pPr>
        <w:keepNext/>
        <w:spacing w:before="120" w:after="40" w:line="480" w:lineRule="auto"/>
      </w:pPr>
      <w:r>
        <w:rPr>
          <w:b/>
          <w:bCs/>
        </w:rPr>
        <w:t>5. Acknowledgements</w:t>
      </w:r>
    </w:p>
    <w:p w14:paraId="1FC8B210" w14:textId="77777777" w:rsidR="00E91697" w:rsidRDefault="00000000">
      <w:pPr>
        <w:spacing w:line="480" w:lineRule="auto"/>
        <w:ind w:firstLine="360"/>
        <w:jc w:val="both"/>
      </w:pPr>
      <w:r>
        <w:t xml:space="preserve">The author thanks the Royal Irrigation Department and the Thai Meteorological Department for the rain-gauge records, the World Climate Research </w:t>
      </w:r>
      <w:proofErr w:type="spellStart"/>
      <w:r>
        <w:t>Programme</w:t>
      </w:r>
      <w:proofErr w:type="spellEnd"/>
      <w:r>
        <w:t xml:space="preserve"> for coordinating the Coupled Model Intercomparison Project, and the modelling groups listed in Supplementary Table S10 for making their output available.</w:t>
      </w:r>
    </w:p>
    <w:p w14:paraId="7163C708" w14:textId="77777777" w:rsidR="00E91697" w:rsidRDefault="00000000">
      <w:pPr>
        <w:keepNext/>
        <w:spacing w:before="120" w:after="40" w:line="480" w:lineRule="auto"/>
      </w:pPr>
      <w:r>
        <w:rPr>
          <w:b/>
          <w:bCs/>
        </w:rPr>
        <w:t>6. Conflict of interest</w:t>
      </w:r>
    </w:p>
    <w:p w14:paraId="1BD77917" w14:textId="77777777" w:rsidR="00E91697" w:rsidRDefault="00000000">
      <w:pPr>
        <w:spacing w:line="480" w:lineRule="auto"/>
        <w:ind w:firstLine="360"/>
        <w:jc w:val="both"/>
      </w:pPr>
      <w:r>
        <w:t>The author declares no conflict of interest.</w:t>
      </w:r>
    </w:p>
    <w:p w14:paraId="344D3282" w14:textId="77777777" w:rsidR="00E91697" w:rsidRDefault="00000000">
      <w:pPr>
        <w:keepNext/>
        <w:spacing w:before="120" w:after="40" w:line="480" w:lineRule="auto"/>
      </w:pPr>
      <w:r>
        <w:rPr>
          <w:b/>
          <w:bCs/>
        </w:rPr>
        <w:t>7. Declaration of generative artificial intelligence in the writing process</w:t>
      </w:r>
    </w:p>
    <w:p w14:paraId="10978630" w14:textId="77777777" w:rsidR="00E91697" w:rsidRDefault="00000000">
      <w:pPr>
        <w:spacing w:line="480" w:lineRule="auto"/>
        <w:ind w:firstLine="360"/>
        <w:jc w:val="both"/>
      </w:pPr>
      <w:r>
        <w:t>During the preparation of this work the author used a generative artificial intelligence assistant for code review, statistical verification and language editing. The author reviewed and edited the content afterwards and takes full responsibility for the publication.</w:t>
      </w:r>
    </w:p>
    <w:p w14:paraId="20039490" w14:textId="77777777" w:rsidR="00E91697" w:rsidRDefault="00000000">
      <w:pPr>
        <w:keepNext/>
        <w:spacing w:before="120" w:after="40" w:line="480" w:lineRule="auto"/>
      </w:pPr>
      <w:r>
        <w:rPr>
          <w:b/>
          <w:bCs/>
        </w:rPr>
        <w:lastRenderedPageBreak/>
        <w:t>8. References</w:t>
      </w:r>
    </w:p>
    <w:p w14:paraId="446729D6" w14:textId="77777777" w:rsidR="00E91697" w:rsidRDefault="00000000">
      <w:pPr>
        <w:spacing w:line="480" w:lineRule="auto"/>
        <w:ind w:firstLine="360"/>
        <w:jc w:val="both"/>
      </w:pPr>
      <w:r>
        <w:t>[1] Cannon, A.J., Sobie, S.R., Murdock, T.Q. Bias correction of GCM precipitation by quantile mapping: how well do methods preserve changes in quantiles and extremes? Journal of Climate, 2015, 28(17), 6938-6959.</w:t>
      </w:r>
    </w:p>
    <w:p w14:paraId="44BCC232" w14:textId="77777777" w:rsidR="00E91697" w:rsidRDefault="00000000">
      <w:pPr>
        <w:spacing w:line="480" w:lineRule="auto"/>
        <w:ind w:firstLine="360"/>
        <w:jc w:val="both"/>
      </w:pPr>
      <w:r>
        <w:t xml:space="preserve">[2] </w:t>
      </w:r>
      <w:proofErr w:type="spellStart"/>
      <w:r>
        <w:t>Maraun</w:t>
      </w:r>
      <w:proofErr w:type="spellEnd"/>
      <w:r>
        <w:t>, D. Bias correcting climate change simulations: a critical review. Current Climate Change Reports, 2016, 2(4), 211-220.</w:t>
      </w:r>
    </w:p>
    <w:p w14:paraId="1872CEA2" w14:textId="77777777" w:rsidR="00E91697" w:rsidRDefault="00000000">
      <w:pPr>
        <w:spacing w:line="480" w:lineRule="auto"/>
        <w:ind w:firstLine="360"/>
        <w:jc w:val="both"/>
      </w:pPr>
      <w:r>
        <w:t xml:space="preserve">[3] </w:t>
      </w:r>
      <w:proofErr w:type="spellStart"/>
      <w:r>
        <w:t>Teutschbein</w:t>
      </w:r>
      <w:proofErr w:type="spellEnd"/>
      <w:r>
        <w:t>, C., Seibert, J. Bias correction of regional climate model simulations for hydrological climate-change impact studies: review and evaluation of different methods. Journal of Hydrology, 2012, 456-457, 12-29.</w:t>
      </w:r>
    </w:p>
    <w:p w14:paraId="076DE7DC" w14:textId="77777777" w:rsidR="00E91697" w:rsidRDefault="00000000">
      <w:pPr>
        <w:spacing w:line="480" w:lineRule="auto"/>
        <w:ind w:firstLine="360"/>
        <w:jc w:val="both"/>
      </w:pPr>
      <w:r>
        <w:t>[4] Khadka, D., Babel, M.S., Collins, M., Shrestha, S., Virdis, S.G.P., Chen, A.S. Projected changes in the near-future mean climate and extreme climate events in northeast Thailand. International Journal of Climatology, 2022, 42(2), 1088-1111.</w:t>
      </w:r>
    </w:p>
    <w:p w14:paraId="1E648F95" w14:textId="77777777" w:rsidR="00E91697" w:rsidRDefault="00000000">
      <w:pPr>
        <w:spacing w:line="480" w:lineRule="auto"/>
        <w:ind w:firstLine="360"/>
        <w:jc w:val="both"/>
      </w:pPr>
      <w:r>
        <w:t xml:space="preserve">[5] </w:t>
      </w:r>
      <w:proofErr w:type="spellStart"/>
      <w:r>
        <w:t>Kuinkel</w:t>
      </w:r>
      <w:proofErr w:type="spellEnd"/>
      <w:r>
        <w:t xml:space="preserve">, D., </w:t>
      </w:r>
      <w:proofErr w:type="spellStart"/>
      <w:r>
        <w:t>Promchote</w:t>
      </w:r>
      <w:proofErr w:type="spellEnd"/>
      <w:r>
        <w:t>, P., Upreti, K.R., Aryal, D., Bhandari, S., Adhikari, S. Projected changes in precipitation extremes in southern Thailand using CMIP6 models. Theoretical and Applied Climatology, 2024, 155(9), 8703-8716.</w:t>
      </w:r>
    </w:p>
    <w:p w14:paraId="12E50480" w14:textId="77777777" w:rsidR="00E91697" w:rsidRDefault="00000000">
      <w:pPr>
        <w:spacing w:line="480" w:lineRule="auto"/>
        <w:ind w:firstLine="360"/>
        <w:jc w:val="both"/>
      </w:pPr>
      <w:r>
        <w:t>[6] Tandon, A., Awasthi, A., Pattnayak, K.C. Extreme precipitation projections in Asian subregions: study on CMIP6 development, geographic patterns, and research gaps. Physics and Chemistry of the Earth, 2025, 140, 103963.</w:t>
      </w:r>
    </w:p>
    <w:p w14:paraId="76EA4CE8" w14:textId="77777777" w:rsidR="00E91697" w:rsidRDefault="00000000">
      <w:pPr>
        <w:spacing w:line="480" w:lineRule="auto"/>
        <w:ind w:firstLine="360"/>
        <w:jc w:val="both"/>
      </w:pPr>
      <w:r>
        <w:t xml:space="preserve">[7] Devadarshini, E., Geethalakshmi, V., McDermid, S.P., Bhuvaneswari, K., Mohan Kumar, S., </w:t>
      </w:r>
      <w:proofErr w:type="spellStart"/>
      <w:r>
        <w:t>Sathyamoorthy</w:t>
      </w:r>
      <w:proofErr w:type="spellEnd"/>
      <w:r>
        <w:t>, N.K., … Anandhi, V. A systematic review of climate downscaling and extremes in Coupled Model Intercomparison Project 6 (CMIP6). Environmental Development, 2025, 56, 101280.</w:t>
      </w:r>
    </w:p>
    <w:p w14:paraId="15955925" w14:textId="77777777" w:rsidR="00E91697" w:rsidRDefault="00000000">
      <w:pPr>
        <w:spacing w:line="480" w:lineRule="auto"/>
        <w:ind w:firstLine="360"/>
        <w:jc w:val="both"/>
      </w:pPr>
      <w:r>
        <w:lastRenderedPageBreak/>
        <w:t>[8] Eyring, V., Bony, S., Meehl, G.A., Senior, C.A., Stevens, B., Stouffer, R.J., … Taylor, K.E. Overview of the Coupled Model Intercomparison Project Phase 6 (CMIP6) experimental design and organization. Geoscientific Model Development, 2016, 9(5), 1937-1958.</w:t>
      </w:r>
    </w:p>
    <w:p w14:paraId="1D899378" w14:textId="77777777" w:rsidR="00E91697" w:rsidRDefault="00000000">
      <w:pPr>
        <w:spacing w:line="480" w:lineRule="auto"/>
        <w:ind w:firstLine="360"/>
        <w:jc w:val="both"/>
      </w:pPr>
      <w:r>
        <w:t xml:space="preserve">[9] O'Neill, B.C., Tebaldi, C., van Vuuren, D.P., Eyring, V., </w:t>
      </w:r>
      <w:proofErr w:type="spellStart"/>
      <w:r>
        <w:t>Friedlingstein</w:t>
      </w:r>
      <w:proofErr w:type="spellEnd"/>
      <w:r>
        <w:t>, P., Hurtt, G., … Sanderson, B.M. The Scenario Model Intercomparison Project (</w:t>
      </w:r>
      <w:proofErr w:type="spellStart"/>
      <w:r>
        <w:t>ScenarioMIP</w:t>
      </w:r>
      <w:proofErr w:type="spellEnd"/>
      <w:r>
        <w:t>) for CMIP6. Geoscientific Model Development, 2016, 9(9), 3461-3482.</w:t>
      </w:r>
    </w:p>
    <w:p w14:paraId="41EB30D2" w14:textId="77777777" w:rsidR="00E91697" w:rsidRDefault="00000000">
      <w:pPr>
        <w:spacing w:line="480" w:lineRule="auto"/>
        <w:ind w:firstLine="360"/>
        <w:jc w:val="both"/>
      </w:pPr>
      <w:r>
        <w:t xml:space="preserve">[10] </w:t>
      </w:r>
      <w:proofErr w:type="spellStart"/>
      <w:r>
        <w:t>Ziehn</w:t>
      </w:r>
      <w:proofErr w:type="spellEnd"/>
      <w:r>
        <w:t>, T., Chamberlain, M.A., Law, R.M., Lenton, A., Bodman, R.W., Dix, M., … Srbinovsky, J. The Australian Earth System Model: ACCESS-ESM1.5. Journal of Southern Hemisphere Earth Systems Science, 2020, 70(1), 193-214.</w:t>
      </w:r>
    </w:p>
    <w:p w14:paraId="76BCB40A" w14:textId="77777777" w:rsidR="00E91697" w:rsidRDefault="00000000">
      <w:pPr>
        <w:spacing w:line="480" w:lineRule="auto"/>
        <w:ind w:firstLine="360"/>
        <w:jc w:val="both"/>
      </w:pPr>
      <w:r>
        <w:t xml:space="preserve">[11] </w:t>
      </w:r>
      <w:proofErr w:type="spellStart"/>
      <w:r>
        <w:t>Danabasoglu</w:t>
      </w:r>
      <w:proofErr w:type="spellEnd"/>
      <w:r>
        <w:t xml:space="preserve">, G., Lamarque, J.F., Bacmeister, J., Bailey, D.A., </w:t>
      </w:r>
      <w:proofErr w:type="spellStart"/>
      <w:r>
        <w:t>DuVivier</w:t>
      </w:r>
      <w:proofErr w:type="spellEnd"/>
      <w:r>
        <w:t>, A.K., Edwards, J., … Strand, W.G. The Community Earth System Model version 2 (CESM2). Journal of Advances in Modeling Earth Systems, 2020, 12(2), e2019MS001916.</w:t>
      </w:r>
    </w:p>
    <w:p w14:paraId="4053D5F9" w14:textId="77777777" w:rsidR="00E91697" w:rsidRDefault="00000000">
      <w:pPr>
        <w:spacing w:line="480" w:lineRule="auto"/>
        <w:ind w:firstLine="360"/>
        <w:jc w:val="both"/>
      </w:pPr>
      <w:r>
        <w:t xml:space="preserve">[12] Swart, N.C., Cole, J.N.S., Kharin, V.V., Lazare, M., </w:t>
      </w:r>
      <w:proofErr w:type="spellStart"/>
      <w:r>
        <w:t>Scinocca</w:t>
      </w:r>
      <w:proofErr w:type="spellEnd"/>
      <w:r>
        <w:t>, J.F., Gillett, N.P., … Winter, B. The Canadian Earth System Model version 5 (CanESM5.0.3). Geoscientific Model Development, 2019, 12(11), 4823-4873.</w:t>
      </w:r>
    </w:p>
    <w:p w14:paraId="6B44927D" w14:textId="77777777" w:rsidR="00E91697" w:rsidRDefault="00000000">
      <w:pPr>
        <w:spacing w:line="480" w:lineRule="auto"/>
        <w:ind w:firstLine="360"/>
        <w:jc w:val="both"/>
      </w:pPr>
      <w:r>
        <w:t xml:space="preserve">[13] </w:t>
      </w:r>
      <w:proofErr w:type="spellStart"/>
      <w:r>
        <w:t>Döscher</w:t>
      </w:r>
      <w:proofErr w:type="spellEnd"/>
      <w:r>
        <w:t xml:space="preserve">, R., Acosta, M., Alessandri, A., Anthoni, P., Arneth, A., </w:t>
      </w:r>
      <w:proofErr w:type="spellStart"/>
      <w:r>
        <w:t>Arsouze</w:t>
      </w:r>
      <w:proofErr w:type="spellEnd"/>
      <w:r>
        <w:t>, T., … Zhang, Q. The EC-Earth3 Earth system model for the Coupled Model Intercomparison Project 6. Geoscientific Model Development, 2022, 15(7), 2973-3020.</w:t>
      </w:r>
    </w:p>
    <w:p w14:paraId="40B4A7DE" w14:textId="77777777" w:rsidR="00E91697" w:rsidRDefault="00000000">
      <w:pPr>
        <w:spacing w:line="480" w:lineRule="auto"/>
        <w:ind w:firstLine="360"/>
        <w:jc w:val="both"/>
      </w:pPr>
      <w:r>
        <w:t>[14] Li, L., Yu, Y., Tang, Y., Lin, P., Xie, J., Song, M., … Wang, B. The Flexible Global Ocean-Atmosphere-Land System Model grid-point version 3 (FGOALS-g3): description and evaluation. Journal of Advances in Modeling Earth Systems, 2020, 12(9), e2019MS002012.</w:t>
      </w:r>
    </w:p>
    <w:p w14:paraId="6D98BD32" w14:textId="77777777" w:rsidR="00E91697" w:rsidRDefault="00000000">
      <w:pPr>
        <w:spacing w:line="480" w:lineRule="auto"/>
        <w:ind w:firstLine="360"/>
        <w:jc w:val="both"/>
      </w:pPr>
      <w:r>
        <w:lastRenderedPageBreak/>
        <w:t xml:space="preserve">[15] </w:t>
      </w:r>
      <w:proofErr w:type="spellStart"/>
      <w:r>
        <w:t>Tatebe</w:t>
      </w:r>
      <w:proofErr w:type="spellEnd"/>
      <w:r>
        <w:t xml:space="preserve">, H., Ogura, T., Nitta, T., Komuro, Y., </w:t>
      </w:r>
      <w:proofErr w:type="spellStart"/>
      <w:r>
        <w:t>Ogochi</w:t>
      </w:r>
      <w:proofErr w:type="spellEnd"/>
      <w:r>
        <w:t>, K., Takemura, T., … Kimoto, M. Description and basic evaluation of simulated mean state, internal variability, and climate sensitivity in MIROC6. Geoscientific Model Development, 2019, 12(7), 2727-2765.</w:t>
      </w:r>
    </w:p>
    <w:p w14:paraId="179F274B" w14:textId="77777777" w:rsidR="00E91697" w:rsidRDefault="00000000">
      <w:pPr>
        <w:spacing w:line="480" w:lineRule="auto"/>
        <w:ind w:firstLine="360"/>
        <w:jc w:val="both"/>
      </w:pPr>
      <w:r>
        <w:t>[16] Yukimoto, S., Kawai, H., Koshiro, T., Oshima, N., Yoshida, K., Urakawa, S., … Ishii, M. The Meteorological Research Institute Earth System Model version 2.0, MRI-ESM2.0: description and basic evaluation of the physical component. Journal of the Meteorological Society of Japan, 2019, 97(5), 931-965.</w:t>
      </w:r>
    </w:p>
    <w:p w14:paraId="4FB33319" w14:textId="77777777" w:rsidR="00E91697" w:rsidRDefault="00000000">
      <w:pPr>
        <w:spacing w:line="480" w:lineRule="auto"/>
        <w:ind w:firstLine="360"/>
        <w:jc w:val="both"/>
      </w:pPr>
      <w:r>
        <w:t xml:space="preserve">[17] </w:t>
      </w:r>
      <w:proofErr w:type="spellStart"/>
      <w:r>
        <w:t>Themeßl</w:t>
      </w:r>
      <w:proofErr w:type="spellEnd"/>
      <w:r>
        <w:t xml:space="preserve">, M.J., </w:t>
      </w:r>
      <w:proofErr w:type="spellStart"/>
      <w:r>
        <w:t>Gobiet</w:t>
      </w:r>
      <w:proofErr w:type="spellEnd"/>
      <w:r>
        <w:t>, A., Heinrich, G. Empirical-statistical downscaling and error correction of regional climate models and its impact on the climate change signal. Climatic Change, 2012, 112(2), 449-468.</w:t>
      </w:r>
    </w:p>
    <w:p w14:paraId="28BC3188" w14:textId="77777777" w:rsidR="00E91697" w:rsidRDefault="00000000">
      <w:pPr>
        <w:spacing w:line="480" w:lineRule="auto"/>
        <w:ind w:firstLine="360"/>
        <w:jc w:val="both"/>
      </w:pPr>
      <w:r>
        <w:t xml:space="preserve">[18] Zhang, X., Alexander, L., </w:t>
      </w:r>
      <w:proofErr w:type="spellStart"/>
      <w:r>
        <w:t>Hegerl</w:t>
      </w:r>
      <w:proofErr w:type="spellEnd"/>
      <w:r>
        <w:t>, G.C., Jones, P., Klein Tank, A., Peterson, T.C., … Zwiers, F.W. Indices for monitoring changes in extremes based on daily temperature and precipitation data. WIREs Climate Change, 2011, 2(6), 851-870.</w:t>
      </w:r>
    </w:p>
    <w:p w14:paraId="56C4F403" w14:textId="77777777" w:rsidR="00E91697" w:rsidRDefault="00000000">
      <w:pPr>
        <w:spacing w:line="480" w:lineRule="auto"/>
        <w:ind w:firstLine="360"/>
        <w:jc w:val="both"/>
      </w:pPr>
      <w:r>
        <w:t>[19] Song, Y.H., Chung, E.-S. Intercomparison of bias correction methods for precipitation of multiple GCMs across six continents. Geoscientific Model Development, 2025, 18(21), 8017-8045.</w:t>
      </w:r>
    </w:p>
    <w:p w14:paraId="5CD20D7A" w14:textId="77777777" w:rsidR="00E91697" w:rsidRDefault="00000000">
      <w:pPr>
        <w:spacing w:line="480" w:lineRule="auto"/>
        <w:ind w:firstLine="360"/>
        <w:jc w:val="both"/>
      </w:pPr>
      <w:r>
        <w:t xml:space="preserve">[20] </w:t>
      </w:r>
      <w:proofErr w:type="spellStart"/>
      <w:r>
        <w:t>Padulano</w:t>
      </w:r>
      <w:proofErr w:type="spellEnd"/>
      <w:r>
        <w:t>, R., Gomez-Mogollon, L.A., Napolitano, L., Rianna, G. Quantile-based bias-correction of extreme rainfall: pros and cons of popular methods for climate signal preservation. Journal of Hydrology, 2025, 653, 132814.</w:t>
      </w:r>
    </w:p>
    <w:p w14:paraId="015BDADD" w14:textId="77777777" w:rsidR="00E91697" w:rsidRDefault="00000000">
      <w:pPr>
        <w:spacing w:line="480" w:lineRule="auto"/>
        <w:ind w:firstLine="360"/>
        <w:jc w:val="both"/>
      </w:pPr>
      <w:r>
        <w:t>[21] Potter, N.J., Chiew, F.H.S., Charles, S.P., Fu, G., Zheng, H., Zhang, L. Bias in dynamically downscaled rainfall characteristics for hydroclimatic projections. Hydrology and Earth System Sciences, 2020, 24, 2963-2979.</w:t>
      </w:r>
    </w:p>
    <w:p w14:paraId="3BE80616" w14:textId="77777777" w:rsidR="00E91697" w:rsidRDefault="00000000">
      <w:pPr>
        <w:spacing w:line="480" w:lineRule="auto"/>
        <w:ind w:firstLine="360"/>
        <w:jc w:val="both"/>
      </w:pPr>
      <w:r>
        <w:lastRenderedPageBreak/>
        <w:t>[22] O'Brien, E., Griffin, S., Duffy, C., Nolan, P. Resolving the dry period projection paradox: treat 'consecutiveness' as a nonlinearity. International Journal of Climatology, 2025, 45(11), e8745.</w:t>
      </w:r>
    </w:p>
    <w:p w14:paraId="4F3E3D81" w14:textId="77777777" w:rsidR="00E91697" w:rsidRDefault="00000000">
      <w:pPr>
        <w:spacing w:line="480" w:lineRule="auto"/>
        <w:ind w:firstLine="360"/>
        <w:jc w:val="both"/>
      </w:pPr>
      <w:r>
        <w:t xml:space="preserve">[23] </w:t>
      </w:r>
      <w:proofErr w:type="spellStart"/>
      <w:r>
        <w:t>Addisuu</w:t>
      </w:r>
      <w:proofErr w:type="spellEnd"/>
      <w:r>
        <w:t xml:space="preserve">, A.A., </w:t>
      </w:r>
      <w:proofErr w:type="spellStart"/>
      <w:r>
        <w:t>Tsidu</w:t>
      </w:r>
      <w:proofErr w:type="spellEnd"/>
      <w:r>
        <w:t>, G.M., Basupi, L.V. Impact of two variants of quantile mapping bias correction on CMIP6-based projections of extreme precipitation over southern Africa. International Journal of Climatology, 2026, 46(10), e70428.</w:t>
      </w:r>
    </w:p>
    <w:sectPr w:rsidR="00E91697">
      <w:footerReference w:type="default" r:id="rId13"/>
      <w:pgSz w:w="12240" w:h="15840"/>
      <w:pgMar w:top="1440" w:right="1440" w:bottom="1440" w:left="1440" w:header="708" w:footer="708" w:gutter="0"/>
      <w:lnNumType w:countBy="1" w:start="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64F95" w14:textId="77777777" w:rsidR="000D5D11" w:rsidRDefault="000D5D11">
      <w:r>
        <w:separator/>
      </w:r>
    </w:p>
  </w:endnote>
  <w:endnote w:type="continuationSeparator" w:id="0">
    <w:p w14:paraId="3A63E158" w14:textId="77777777" w:rsidR="000D5D11" w:rsidRDefault="000D5D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3A03" w14:textId="77777777" w:rsidR="00E91697" w:rsidRDefault="00000000">
    <w:pPr>
      <w:suppressLineNumbers/>
      <w:jc w:val="center"/>
    </w:pPr>
    <w:r>
      <w:rPr>
        <w:sz w:val="20"/>
        <w:szCs w:val="20"/>
      </w:rPr>
      <w:fldChar w:fldCharType="begin"/>
    </w:r>
    <w:r>
      <w:rPr>
        <w:sz w:val="20"/>
        <w:szCs w:val="20"/>
      </w:rPr>
      <w:instrText>PAGE</w:instrText>
    </w:r>
    <w:r>
      <w:rPr>
        <w:sz w:val="20"/>
        <w:szCs w:val="20"/>
      </w:rPr>
      <w:fldChar w:fldCharType="separate"/>
    </w:r>
    <w:r w:rsidR="003C42E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5C8DC" w14:textId="77777777" w:rsidR="000D5D11" w:rsidRDefault="000D5D11">
      <w:r>
        <w:separator/>
      </w:r>
    </w:p>
  </w:footnote>
  <w:footnote w:type="continuationSeparator" w:id="0">
    <w:p w14:paraId="37F53FA8" w14:textId="77777777" w:rsidR="000D5D11" w:rsidRDefault="000D5D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D4EA9"/>
    <w:multiLevelType w:val="hybridMultilevel"/>
    <w:tmpl w:val="5B36BA14"/>
    <w:lvl w:ilvl="0" w:tplc="07DE53D4">
      <w:start w:val="1"/>
      <w:numFmt w:val="bullet"/>
      <w:lvlText w:val="●"/>
      <w:lvlJc w:val="left"/>
      <w:pPr>
        <w:ind w:left="720" w:hanging="360"/>
      </w:pPr>
    </w:lvl>
    <w:lvl w:ilvl="1" w:tplc="7B6A2808">
      <w:start w:val="1"/>
      <w:numFmt w:val="bullet"/>
      <w:lvlText w:val="○"/>
      <w:lvlJc w:val="left"/>
      <w:pPr>
        <w:ind w:left="1440" w:hanging="360"/>
      </w:pPr>
    </w:lvl>
    <w:lvl w:ilvl="2" w:tplc="FFC23BE2">
      <w:start w:val="1"/>
      <w:numFmt w:val="bullet"/>
      <w:lvlText w:val="■"/>
      <w:lvlJc w:val="left"/>
      <w:pPr>
        <w:ind w:left="2160" w:hanging="360"/>
      </w:pPr>
    </w:lvl>
    <w:lvl w:ilvl="3" w:tplc="BCE67148">
      <w:start w:val="1"/>
      <w:numFmt w:val="bullet"/>
      <w:lvlText w:val="●"/>
      <w:lvlJc w:val="left"/>
      <w:pPr>
        <w:ind w:left="2880" w:hanging="360"/>
      </w:pPr>
    </w:lvl>
    <w:lvl w:ilvl="4" w:tplc="42AE8432">
      <w:start w:val="1"/>
      <w:numFmt w:val="bullet"/>
      <w:lvlText w:val="○"/>
      <w:lvlJc w:val="left"/>
      <w:pPr>
        <w:ind w:left="3600" w:hanging="360"/>
      </w:pPr>
    </w:lvl>
    <w:lvl w:ilvl="5" w:tplc="E56C072E">
      <w:start w:val="1"/>
      <w:numFmt w:val="bullet"/>
      <w:lvlText w:val="■"/>
      <w:lvlJc w:val="left"/>
      <w:pPr>
        <w:ind w:left="4320" w:hanging="360"/>
      </w:pPr>
    </w:lvl>
    <w:lvl w:ilvl="6" w:tplc="DE0ACAB4">
      <w:start w:val="1"/>
      <w:numFmt w:val="bullet"/>
      <w:lvlText w:val="●"/>
      <w:lvlJc w:val="left"/>
      <w:pPr>
        <w:ind w:left="5040" w:hanging="360"/>
      </w:pPr>
    </w:lvl>
    <w:lvl w:ilvl="7" w:tplc="0E66D984">
      <w:start w:val="1"/>
      <w:numFmt w:val="bullet"/>
      <w:lvlText w:val="●"/>
      <w:lvlJc w:val="left"/>
      <w:pPr>
        <w:ind w:left="5760" w:hanging="360"/>
      </w:pPr>
    </w:lvl>
    <w:lvl w:ilvl="8" w:tplc="152ED228">
      <w:start w:val="1"/>
      <w:numFmt w:val="bullet"/>
      <w:lvlText w:val="●"/>
      <w:lvlJc w:val="left"/>
      <w:pPr>
        <w:ind w:left="6480" w:hanging="360"/>
      </w:pPr>
    </w:lvl>
  </w:abstractNum>
  <w:num w:numId="1" w16cid:durableId="2023967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697"/>
    <w:rsid w:val="000D5D11"/>
    <w:rsid w:val="003C42E1"/>
    <w:rsid w:val="00571768"/>
    <w:rsid w:val="00E9169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C7B63"/>
  <w15:docId w15:val="{60180251-0A73-414D-9667-3C8C21EDE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ข้อความอ้างอิงท้ายเรื่อง อักขระ"/>
    <w:link w:val="aa"/>
    <w:uiPriority w:val="99"/>
    <w:semiHidden/>
    <w:unhideWhenUsed/>
    <w:rPr>
      <w:sz w:val="20"/>
      <w:szCs w:val="20"/>
    </w:rPr>
  </w:style>
  <w:style w:type="character" w:styleId="ac">
    <w:name w:val="line number"/>
    <w:basedOn w:val="a0"/>
    <w:uiPriority w:val="99"/>
    <w:semiHidden/>
    <w:unhideWhenUsed/>
    <w:rsid w:val="003C4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6432</Words>
  <Characters>36666</Characters>
  <Application>Microsoft Office Word</Application>
  <DocSecurity>0</DocSecurity>
  <Lines>305</Lines>
  <Paragraphs>86</Paragraphs>
  <ScaleCrop>false</ScaleCrop>
  <Company/>
  <LinksUpToDate>false</LinksUpToDate>
  <CharactersWithSpaces>43012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Bias-corrected CMIP6 projections of precipitation and rainfall extremes over Uttaradit Province, Thailand</dc:title>
  <dc:creator>Surasit Punyawansiri</dc:creator>
  <cp:lastModifiedBy>Dr.Surasit Punyawansiri</cp:lastModifiedBy>
  <cp:revision>2</cp:revision>
  <dcterms:created xsi:type="dcterms:W3CDTF">2026-09-02T02:37:00Z</dcterms:created>
  <dcterms:modified xsi:type="dcterms:W3CDTF">2026-09-02T02:37:00Z</dcterms:modified>
</cp:coreProperties>
</file>