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480"/>
        <w:jc w:val="left"/>
      </w:pPr>
      <w:r>
        <w:rPr>
          <w:rFonts w:ascii="Times New Roman" w:cs="Times New Roman" w:eastAsia="Times New Roman" w:hAnsi="Times New Roman"/>
          <w:b/>
          <w:bCs/>
          <w:i w:val="false"/>
          <w:iCs w:val="false"/>
          <w:sz w:val="24"/>
          <w:szCs w:val="24"/>
        </w:rPr>
        <w:t xml:space="preserve">Climate-Signal Preservation of Bias-Corrected Daily Precipitation from Global Climate Models: A Comparison of Quantile Mapping Methods over Uttaradit, Thailand</w:t>
      </w:r>
    </w:p>
    <w:p>
      <w:pPr>
        <w:spacing w:line="480"/>
      </w:pPr>
      <w:r>
        <w:rPr>
          <w:rFonts w:ascii="Times New Roman" w:cs="Times New Roman" w:eastAsia="Times New Roman" w:hAnsi="Times New Roman"/>
          <w:b w:val="false"/>
          <w:bCs w:val="false"/>
          <w:i w:val="false"/>
          <w:iCs w:val="false"/>
          <w:sz w:val="20"/>
          <w:szCs w:val="20"/>
        </w:rPr>
        <w:t xml:space="preserve">Surasit Punyawansiri</w:t>
      </w:r>
      <w:r>
        <w:rPr>
          <w:rFonts w:ascii="Times New Roman" w:cs="Times New Roman" w:eastAsia="Times New Roman" w:hAnsi="Times New Roman"/>
          <w:b w:val="false"/>
          <w:bCs w:val="false"/>
          <w:i w:val="false"/>
          <w:iCs w:val="false"/>
          <w:sz w:val="20"/>
          <w:szCs w:val="20"/>
          <w:vertAlign w:val="superscript"/>
        </w:rPr>
        <w:t xml:space="preserve">1,*</w:t>
      </w:r>
    </w:p>
    <w:p>
      <w:pPr>
        <w:spacing w:line="480"/>
      </w:pP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val="false"/>
          <w:iCs w:val="false"/>
          <w:sz w:val="20"/>
          <w:szCs w:val="20"/>
        </w:rPr>
        <w:t xml:space="preserve">Office of Water Management and Hydrology, Royal Irrigation Department, Dusit, Bangkok 10300, Thailand</w:t>
      </w:r>
    </w:p>
    <w:p>
      <w:pPr>
        <w:spacing w:line="480"/>
      </w:pP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Corresponding author: Surasit.ku@ku.th</w:t>
      </w:r>
    </w:p>
    <w:p>
      <w:pPr>
        <w:spacing w:after="160" w:before="80" w:line="240"/>
        <w:jc w:val="right"/>
      </w:pPr>
      <w:r>
        <w:rPr>
          <w:rFonts w:ascii="Times New Roman" w:cs="Times New Roman" w:eastAsia="Times New Roman" w:hAnsi="Times New Roman"/>
          <w:b w:val="false"/>
          <w:bCs w:val="false"/>
          <w:i w:val="false"/>
          <w:iCs w:val="false"/>
          <w:sz w:val="18"/>
          <w:szCs w:val="18"/>
        </w:rPr>
        <w:t xml:space="preserve">Received … ; Revised … ; Accepted …</w:t>
      </w:r>
    </w:p>
    <w:p>
      <w:pPr>
        <w:keepNext/>
        <w:spacing w:after="40" w:before="120" w:line="480"/>
        <w:jc w:val="left"/>
      </w:pPr>
      <w:r>
        <w:rPr>
          <w:rFonts w:ascii="Times New Roman" w:cs="Times New Roman" w:eastAsia="Times New Roman" w:hAnsi="Times New Roman"/>
          <w:b/>
          <w:bCs/>
          <w:i w:val="false"/>
          <w:iCs w:val="false"/>
          <w:sz w:val="20"/>
          <w:szCs w:val="20"/>
        </w:rPr>
        <w:t xml:space="preserve">Abstract</w:t>
      </w:r>
    </w:p>
    <w:p>
      <w:pPr>
        <w:spacing w:after="0" w:before="0" w:line="480"/>
        <w:jc w:val="both"/>
      </w:pPr>
      <w:r>
        <w:rPr>
          <w:rFonts w:ascii="Times New Roman" w:cs="Times New Roman" w:eastAsia="Times New Roman" w:hAnsi="Times New Roman"/>
          <w:b w:val="false"/>
          <w:bCs w:val="false"/>
          <w:i w:val="false"/>
          <w:iCs w:val="false"/>
          <w:sz w:val="20"/>
          <w:szCs w:val="20"/>
        </w:rPr>
        <w:t xml:space="preserve">Bias correction is usually judged by how much historical error it removes, yet a correction applied to future simulations must also decide how much of the model's own climate-change signal survives. Empirical, detrended and delta quantile mapping were applied to daily precipitation from seven CMIP6 models at 13 rain gauges in northern Thailand under two SSP scenarios, sharing the same observations, quality control, occurrence model, calibration period (1981–2002), independent validation period (2003–2014) and future baseline, so that only the intensity transformation differed. Over calibration, empirical and delta mapping reduced the mean absolute bias in wet-day frequency from 71.14% to 0.03% and detrended mapping to 0.46%. Out of sample all three converged, to 28.65%, 28.76% and 28.65% against 67.22% for the raw models, and none improved maximum consecutive dry days. For 2021–2050 the median signal-preservation error stayed within 4.18% for bulk statistics and wet-day quantiles under every method, but reached 15.54% for the frequency of days above 50 mm. The method with the smallest absolute error changed with the scenario for eight of the sixteen indices examined, so no method was consistently closest to the raw signal. A descriptive two-factor sum-of-squares partition assigned at most 5.4% of the total to the additive method component. Method selection should be aligned with the rainfall characteristic and the signal property the analysis intends to preserve.</w:t>
      </w:r>
    </w:p>
    <w:p>
      <w:pPr>
        <w:spacing w:line="480"/>
      </w:pPr>
      <w:r>
        <w:rPr>
          <w:rFonts w:ascii="Times New Roman" w:cs="Times New Roman" w:eastAsia="Times New Roman" w:hAnsi="Times New Roman"/>
          <w:b w:val="false"/>
          <w:bCs w:val="false"/>
          <w:i w:val="false"/>
          <w:iCs w:val="false"/>
          <w:sz w:val="20"/>
          <w:szCs w:val="20"/>
        </w:rPr>
        <w:t xml:space="preserve"/>
      </w:r>
    </w:p>
    <w:p>
      <w:pPr>
        <w:spacing w:after="0" w:before="0" w:line="480"/>
        <w:jc w:val="both"/>
      </w:pPr>
      <w:r>
        <w:rPr>
          <w:rFonts w:ascii="Times New Roman" w:cs="Times New Roman" w:eastAsia="Times New Roman" w:hAnsi="Times New Roman"/>
          <w:b/>
          <w:bCs/>
          <w:i w:val="false"/>
          <w:iCs w:val="false"/>
          <w:sz w:val="20"/>
          <w:szCs w:val="20"/>
        </w:rPr>
        <w:t xml:space="preserve">Keywords:</w:t>
      </w:r>
      <w:r>
        <w:rPr>
          <w:rFonts w:ascii="Times New Roman" w:cs="Times New Roman" w:eastAsia="Times New Roman" w:hAnsi="Times New Roman"/>
          <w:b w:val="false"/>
          <w:bCs w:val="false"/>
          <w:i w:val="false"/>
          <w:iCs w:val="false"/>
          <w:sz w:val="20"/>
          <w:szCs w:val="20"/>
        </w:rPr>
        <w:t xml:space="preserve"> Bias adjustment, Extreme rainfall, Model evaluation, Rain gauge network, Signal retention, Upper Thailand</w:t>
      </w:r>
    </w:p>
    <w:p>
      <w:pPr>
        <w:spacing w:line="480"/>
      </w:pPr>
      <w:r>
        <w:rPr>
          <w:rFonts w:ascii="Times New Roman" w:cs="Times New Roman" w:eastAsia="Times New Roman" w:hAnsi="Times New Roman"/>
          <w:b w:val="false"/>
          <w:bCs w:val="false"/>
          <w:i w:val="false"/>
          <w:iCs w:val="false"/>
          <w:sz w:val="20"/>
          <w:szCs w:val="20"/>
        </w:rPr>
        <w:t xml:space="preserve"/>
      </w:r>
    </w:p>
    <w:p>
      <w:pPr>
        <w:keepNext/>
        <w:spacing w:after="40" w:before="120" w:line="480"/>
        <w:jc w:val="left"/>
      </w:pPr>
      <w:r>
        <w:rPr>
          <w:rFonts w:ascii="Times New Roman" w:cs="Times New Roman" w:eastAsia="Times New Roman" w:hAnsi="Times New Roman"/>
          <w:b/>
          <w:bCs/>
          <w:i w:val="false"/>
          <w:iCs w:val="false"/>
          <w:sz w:val="20"/>
          <w:szCs w:val="20"/>
        </w:rPr>
        <w:t xml:space="preserve">1. Introduction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Statistical bias correction of daily precipitation stands between global climate models and local impact assessment, because coarse-resolution models produce too many low-intensity wet days and misrepresent the intensity distribution [1,2]. Quantile mapping is the most widely applied remedy [1,3], but its variants embody different assumptions about what should be preserved. Empirical quantile mapping (QM/EQM) transforms the modelled distribution onto the observed one and makes no explicit provision for the climate-change signal. Detrended quantile mapping (DetQM) removes the model's mean change before mapping and restores it afterwards, so its design objective is the mean signal. Quantile delta mapping (QDM) multiplies the observed calibration quantile by the model's own relative change at that quantile, so its objective is the quantile-level signal [1]. The methods therefore differ primarily in the climate-signal property they are designed to preserve.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distinction matters because bias removal and signal preservation are separate objectives: a transformation estimated on a historical period can reproduce the observed distribution closely and still alter the ratio between a future and a historical statistic, which is the quantity an impact study uses. That is why delta-based formulations were introduced [1] and why corrections have to be compared on the change signal rather than on historical fit alone [2].</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Extreme-rainfall indices add a further consideration, because they are derived from the corrected sequence rather than read from the corrected distribution. Threshold counts, tail accumulations and multi-day maxima are all computed after correction, so preservation of a direct quantile signal need not imply preservation of the indices built from it. Sequence-dependent indices raise a separate issue: quantile mapping assigns a new magnitude to each rank and does not reorder days, so persistence statistics inherit the model's own temporal structure.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 controlled comparison is therefore needed in which the methods differ only in the transformation, are evaluated out of sample as well as in sample, and are assessed on bias removal and signal preservation separately across bulk statistics, direct quantiles, derived extremes and persistence. Regional CMIP6 assessments for Thailand report weak mean-rainfall signals alongside stronger extreme signals [4,5], which makes the treatment of extremes consequential. Uttaradit Province in northern Thailand offers a station-based testbed with a record long enough for a split-sample design.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Five questions are addressed. </w:t>
      </w:r>
      <w:r>
        <w:rPr>
          <w:rFonts w:ascii="Times New Roman" w:cs="Times New Roman" w:eastAsia="Times New Roman" w:hAnsi="Times New Roman"/>
          <w:b/>
          <w:bCs/>
          <w:i w:val="false"/>
          <w:iCs w:val="false"/>
          <w:sz w:val="20"/>
          <w:szCs w:val="20"/>
        </w:rPr>
        <w:t xml:space="preserve">RQ1.</w:t>
      </w:r>
      <w:r>
        <w:rPr>
          <w:rFonts w:ascii="Times New Roman" w:cs="Times New Roman" w:eastAsia="Times New Roman" w:hAnsi="Times New Roman"/>
          <w:b w:val="false"/>
          <w:bCs w:val="false"/>
          <w:i w:val="false"/>
          <w:iCs w:val="false"/>
          <w:sz w:val="20"/>
          <w:szCs w:val="20"/>
        </w:rPr>
        <w:t xml:space="preserve"> Which method provides the most effective historical bias reduction? </w:t>
      </w:r>
      <w:r>
        <w:rPr>
          <w:rFonts w:ascii="Times New Roman" w:cs="Times New Roman" w:eastAsia="Times New Roman" w:hAnsi="Times New Roman"/>
          <w:b/>
          <w:bCs/>
          <w:i w:val="false"/>
          <w:iCs w:val="false"/>
          <w:sz w:val="20"/>
          <w:szCs w:val="20"/>
        </w:rPr>
        <w:t xml:space="preserve">RQ2.</w:t>
      </w:r>
      <w:r>
        <w:rPr>
          <w:rFonts w:ascii="Times New Roman" w:cs="Times New Roman" w:eastAsia="Times New Roman" w:hAnsi="Times New Roman"/>
          <w:b w:val="false"/>
          <w:bCs w:val="false"/>
          <w:i w:val="false"/>
          <w:iCs w:val="false"/>
          <w:sz w:val="20"/>
          <w:szCs w:val="20"/>
        </w:rPr>
        <w:t xml:space="preserve"> Does a method that performs well during calibration also perform well in independent validation? </w:t>
      </w:r>
      <w:r>
        <w:rPr>
          <w:rFonts w:ascii="Times New Roman" w:cs="Times New Roman" w:eastAsia="Times New Roman" w:hAnsi="Times New Roman"/>
          <w:b/>
          <w:bCs/>
          <w:i w:val="false"/>
          <w:iCs w:val="false"/>
          <w:sz w:val="20"/>
          <w:szCs w:val="20"/>
        </w:rPr>
        <w:t xml:space="preserve">RQ3.</w:t>
      </w:r>
      <w:r>
        <w:rPr>
          <w:rFonts w:ascii="Times New Roman" w:cs="Times New Roman" w:eastAsia="Times New Roman" w:hAnsi="Times New Roman"/>
          <w:b w:val="false"/>
          <w:bCs w:val="false"/>
          <w:i w:val="false"/>
          <w:iCs w:val="false"/>
          <w:sz w:val="20"/>
          <w:szCs w:val="20"/>
        </w:rPr>
        <w:t xml:space="preserve"> Which method best preserves mean and distributional climate signals? </w:t>
      </w:r>
      <w:r>
        <w:rPr>
          <w:rFonts w:ascii="Times New Roman" w:cs="Times New Roman" w:eastAsia="Times New Roman" w:hAnsi="Times New Roman"/>
          <w:b/>
          <w:bCs/>
          <w:i w:val="false"/>
          <w:iCs w:val="false"/>
          <w:sz w:val="20"/>
          <w:szCs w:val="20"/>
        </w:rPr>
        <w:t xml:space="preserve">RQ4.</w:t>
      </w:r>
      <w:r>
        <w:rPr>
          <w:rFonts w:ascii="Times New Roman" w:cs="Times New Roman" w:eastAsia="Times New Roman" w:hAnsi="Times New Roman"/>
          <w:b w:val="false"/>
          <w:bCs w:val="false"/>
          <w:i w:val="false"/>
          <w:iCs w:val="false"/>
          <w:sz w:val="20"/>
          <w:szCs w:val="20"/>
        </w:rPr>
        <w:t xml:space="preserve"> Do method differences become larger for upper-tail and extreme-rainfall indices than for bulk statistics? </w:t>
      </w:r>
      <w:r>
        <w:rPr>
          <w:rFonts w:ascii="Times New Roman" w:cs="Times New Roman" w:eastAsia="Times New Roman" w:hAnsi="Times New Roman"/>
          <w:b/>
          <w:bCs/>
          <w:i w:val="false"/>
          <w:iCs w:val="false"/>
          <w:sz w:val="20"/>
          <w:szCs w:val="20"/>
        </w:rPr>
        <w:t xml:space="preserve">RQ5.</w:t>
      </w:r>
      <w:r>
        <w:rPr>
          <w:rFonts w:ascii="Times New Roman" w:cs="Times New Roman" w:eastAsia="Times New Roman" w:hAnsi="Times New Roman"/>
          <w:b w:val="false"/>
          <w:bCs w:val="false"/>
          <w:i w:val="false"/>
          <w:iCs w:val="false"/>
          <w:sz w:val="20"/>
          <w:szCs w:val="20"/>
        </w:rPr>
        <w:t xml:space="preserve"> Does preserving a quantile-level signal imply preservation of derived extreme-rainfall indices?</w:t>
      </w:r>
    </w:p>
    <w:p>
      <w:pPr>
        <w:keepNext/>
        <w:spacing w:after="40" w:before="120" w:line="480"/>
        <w:jc w:val="left"/>
      </w:pPr>
      <w:r>
        <w:rPr>
          <w:rFonts w:ascii="Times New Roman" w:cs="Times New Roman" w:eastAsia="Times New Roman" w:hAnsi="Times New Roman"/>
          <w:b/>
          <w:bCs/>
          <w:i w:val="false"/>
          <w:iCs w:val="false"/>
          <w:sz w:val="20"/>
          <w:szCs w:val="20"/>
        </w:rPr>
        <w:t xml:space="preserve">2. Materials and methods</w:t>
      </w:r>
    </w:p>
    <w:p>
      <w:pPr>
        <w:keepNext/>
        <w:spacing w:after="20" w:before="100" w:line="480"/>
        <w:jc w:val="left"/>
      </w:pPr>
      <w:r>
        <w:rPr>
          <w:rFonts w:ascii="Times New Roman" w:cs="Times New Roman" w:eastAsia="Times New Roman" w:hAnsi="Times New Roman"/>
          <w:b w:val="false"/>
          <w:bCs w:val="false"/>
          <w:i/>
          <w:iCs/>
          <w:sz w:val="20"/>
          <w:szCs w:val="20"/>
        </w:rPr>
        <w:t xml:space="preserve">2.1 Study area and data</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Uttaradit Province lies in northern Thailand between 17.16° and 18.37° N and 99.90° and 101.17° E (Figure 1). Daily rainfall for 1981–2014 was used from 13 gauges, with mean annual wet-day totals over 1981–2002 of 954 to 1,326 mm.</w:t>
      </w:r>
    </w:p>
    <w:p>
      <w:pPr>
        <w:keepNext/>
        <w:spacing w:after="20" w:before="60" w:lineRule="auto"/>
        <w:jc w:val="center"/>
      </w:pPr>
      <w:r>
        <w:drawing>
          <wp:inline distT="0" distB="0" distL="0" distR="0">
            <wp:extent cx="32956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95650" cy="232410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1</w:t>
      </w:r>
      <w:r>
        <w:rPr>
          <w:rFonts w:ascii="Times New Roman" w:cs="Times New Roman" w:eastAsia="Times New Roman" w:hAnsi="Times New Roman"/>
          <w:b w:val="false"/>
          <w:bCs w:val="false"/>
          <w:i w:val="false"/>
          <w:iCs w:val="false"/>
          <w:sz w:val="18"/>
          <w:szCs w:val="18"/>
        </w:rPr>
        <w:t xml:space="preserve"> Location of Uttaradit Province in Thailand (inset) and the 13 rain gauges used in this study, over terrain elevation.</w:t>
      </w:r>
    </w:p>
    <w:p>
      <w:pPr>
        <w:keepNext/>
        <w:spacing w:after="20" w:before="100" w:line="480"/>
        <w:jc w:val="left"/>
      </w:pPr>
      <w:r>
        <w:rPr>
          <w:rFonts w:ascii="Times New Roman" w:cs="Times New Roman" w:eastAsia="Times New Roman" w:hAnsi="Times New Roman"/>
          <w:b w:val="false"/>
          <w:bCs w:val="false"/>
          <w:i/>
          <w:iCs/>
          <w:sz w:val="20"/>
          <w:szCs w:val="20"/>
        </w:rPr>
        <w:t xml:space="preserve">2.2 Observed-data quality control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Zeros standing in for missing observations were screened against six diagnostics per station-month, combining the surrounding gauges, the station's own climatology for that calendar month and the length of the zero run; a zero was reclassified as missing only when at least one neighbour-based diagnostic and at least two in total supported it. Of 5,304 station-months, 43 were flagged, corresponding to 1,308 daily values or 0.810% of the record, which were set to missing; no value was imputed. The same quality-controlled record was used by all three methods.</w:t>
      </w:r>
    </w:p>
    <w:p>
      <w:pPr>
        <w:keepNext/>
        <w:spacing w:after="20" w:before="100" w:line="480"/>
        <w:jc w:val="left"/>
      </w:pPr>
      <w:r>
        <w:rPr>
          <w:rFonts w:ascii="Times New Roman" w:cs="Times New Roman" w:eastAsia="Times New Roman" w:hAnsi="Times New Roman"/>
          <w:b w:val="false"/>
          <w:bCs w:val="false"/>
          <w:i/>
          <w:iCs/>
          <w:sz w:val="20"/>
          <w:szCs w:val="20"/>
        </w:rPr>
        <w:t xml:space="preserve">2.3 CMIP6 data and experimental design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Daily precipitation was used from seven CMIP6 models [6,7] for the historical experiment and for SSP2-4.5 and SSP5-8.5: ACCESS-ESM1-5 [8], CESM2 [9], CanESM5 [10], EC-Earth3 [11], FGOALS-g3 [12], MIROC6 [13] and MRI-ESM2-0 [14], all realisation r1i1p1f1 except CESM2 (r11i1p1f1). CESM2, CanESM5 and FGOALS-g3 use a 365-day calendar and the remainder the standard calendar; calendars were detected from the data. Across the 13 analysed gauges each model delivers between one and five distinct daily series (Supplementary Table S10), so the raw fields carry limited sub-provincial structure.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Parameters were estimated on </w:t>
      </w:r>
      <w:r>
        <w:rPr>
          <w:rFonts w:ascii="Times New Roman" w:cs="Times New Roman" w:eastAsia="Times New Roman" w:hAnsi="Times New Roman"/>
          <w:b/>
          <w:bCs/>
          <w:i w:val="false"/>
          <w:iCs w:val="false"/>
          <w:sz w:val="20"/>
          <w:szCs w:val="20"/>
        </w:rPr>
        <w:t xml:space="preserve">1981–2002</w:t>
      </w:r>
      <w:r>
        <w:rPr>
          <w:rFonts w:ascii="Times New Roman" w:cs="Times New Roman" w:eastAsia="Times New Roman" w:hAnsi="Times New Roman"/>
          <w:b w:val="false"/>
          <w:bCs w:val="false"/>
          <w:i w:val="false"/>
          <w:iCs w:val="false"/>
          <w:sz w:val="20"/>
          <w:szCs w:val="20"/>
        </w:rPr>
        <w:t xml:space="preserve"> and frozen. The frozen parameters were applied to the calibration period itself, to the independent validation period </w:t>
      </w:r>
      <w:r>
        <w:rPr>
          <w:rFonts w:ascii="Times New Roman" w:cs="Times New Roman" w:eastAsia="Times New Roman" w:hAnsi="Times New Roman"/>
          <w:b/>
          <w:bCs/>
          <w:i w:val="false"/>
          <w:iCs w:val="false"/>
          <w:sz w:val="20"/>
          <w:szCs w:val="20"/>
        </w:rPr>
        <w:t xml:space="preserve">2003–2014</w:t>
      </w:r>
      <w:r>
        <w:rPr>
          <w:rFonts w:ascii="Times New Roman" w:cs="Times New Roman" w:eastAsia="Times New Roman" w:hAnsi="Times New Roman"/>
          <w:b w:val="false"/>
          <w:bCs w:val="false"/>
          <w:i w:val="false"/>
          <w:iCs w:val="false"/>
          <w:sz w:val="20"/>
          <w:szCs w:val="20"/>
        </w:rPr>
        <w:t xml:space="preserve">, to the baseline </w:t>
      </w:r>
      <w:r>
        <w:rPr>
          <w:rFonts w:ascii="Times New Roman" w:cs="Times New Roman" w:eastAsia="Times New Roman" w:hAnsi="Times New Roman"/>
          <w:b/>
          <w:bCs/>
          <w:i w:val="false"/>
          <w:iCs w:val="false"/>
          <w:sz w:val="20"/>
          <w:szCs w:val="20"/>
        </w:rPr>
        <w:t xml:space="preserve">1995–2014</w:t>
      </w:r>
      <w:r>
        <w:rPr>
          <w:rFonts w:ascii="Times New Roman" w:cs="Times New Roman" w:eastAsia="Times New Roman" w:hAnsi="Times New Roman"/>
          <w:b w:val="false"/>
          <w:bCs w:val="false"/>
          <w:i w:val="false"/>
          <w:iCs w:val="false"/>
          <w:sz w:val="20"/>
          <w:szCs w:val="20"/>
        </w:rPr>
        <w:t xml:space="preserve"> and to the future window </w:t>
      </w:r>
      <w:r>
        <w:rPr>
          <w:rFonts w:ascii="Times New Roman" w:cs="Times New Roman" w:eastAsia="Times New Roman" w:hAnsi="Times New Roman"/>
          <w:b/>
          <w:bCs/>
          <w:i w:val="false"/>
          <w:iCs w:val="false"/>
          <w:sz w:val="20"/>
          <w:szCs w:val="20"/>
        </w:rPr>
        <w:t xml:space="preserve">2021–2050</w:t>
      </w:r>
      <w:r>
        <w:rPr>
          <w:rFonts w:ascii="Times New Roman" w:cs="Times New Roman" w:eastAsia="Times New Roman" w:hAnsi="Times New Roman"/>
          <w:b w:val="false"/>
          <w:bCs w:val="false"/>
          <w:i w:val="false"/>
          <w:iCs w:val="false"/>
          <w:sz w:val="20"/>
          <w:szCs w:val="20"/>
        </w:rPr>
        <w:t xml:space="preserve">. All statistics for 2021–2050 were recomputed from the daily corrected series over that 30-year window. Acceptance criteria governing what may be claimed are given in Supplementary Table S9.</w:t>
      </w:r>
    </w:p>
    <w:p>
      <w:pPr>
        <w:keepNext/>
        <w:spacing w:after="20" w:before="100" w:line="480"/>
        <w:jc w:val="left"/>
      </w:pPr>
      <w:r>
        <w:rPr>
          <w:rFonts w:ascii="Times New Roman" w:cs="Times New Roman" w:eastAsia="Times New Roman" w:hAnsi="Times New Roman"/>
          <w:b w:val="false"/>
          <w:bCs w:val="false"/>
          <w:i/>
          <w:iCs/>
          <w:sz w:val="20"/>
          <w:szCs w:val="20"/>
        </w:rPr>
        <w:t xml:space="preserve">2.4 Bias-correction methods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Supplementary Table S1 summarises the design of the three methods and the settings they share. All operate on wet days defined by a 1.0 mm d⁻¹ threshold. Frequency adaptation is applied once per gauge–model pair before any intensity mapping: the model wet-day threshold is raised until the model wet-day frequency over the calibration period matches the observed frequency [15]. Because this occurrence model is estimated once and shared, differences between the methods arise from the intensity transformation alone.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Writing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obs,cal</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mod,cal</w:t>
      </w:r>
      <w:r>
        <w:rPr>
          <w:rFonts w:ascii="Times New Roman" w:cs="Times New Roman" w:eastAsia="Times New Roman" w:hAnsi="Times New Roman"/>
          <w:b w:val="false"/>
          <w:bCs w:val="false"/>
          <w:i w:val="false"/>
          <w:iCs w:val="false"/>
          <w:sz w:val="20"/>
          <w:szCs w:val="20"/>
        </w:rPr>
        <w:t xml:space="preserve"> for the observed and modelled wet-day quantile functions over the calibration period, and </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for a target-period value,</w:t>
      </w:r>
    </w:p>
    <w:p>
      <w:pPr>
        <w:spacing w:after="60" w:before="60" w:line="480"/>
        <w:ind w:left="720"/>
        <w:jc w:val="left"/>
      </w:pPr>
      <m:oMath>
        <m:r>
          <m:t>BC</m:t>
        </m:r>
        <m:d>
          <m:dPr/>
          <m:e>
            <m:r>
              <m:t>x</m:t>
            </m:r>
          </m:e>
        </m:d>
        <m:r>
          <m:t> = </m:t>
        </m:r>
        <m:sSubSup>
          <m:sSubSupPr/>
          <m:e>
            <m:r>
              <m:t>F</m:t>
            </m:r>
          </m:e>
          <m:sub>
            <m:r>
              <m:t>obs,cal</m:t>
            </m:r>
          </m:sub>
          <m:sup>
            <m:r>
              <m:t>−1</m:t>
            </m:r>
          </m:sup>
        </m:sSubSup>
        <m:d>
          <m:dPr/>
          <m:e>
            <m:sSub>
              <m:sSubPr/>
              <m:e>
                <m:r>
                  <m:t>F</m:t>
                </m:r>
              </m:e>
              <m:sub>
                <m:r>
                  <m:t>mod,cal</m:t>
                </m:r>
              </m:sub>
            </m:sSub>
            <m:d>
              <m:dPr/>
              <m:e>
                <m:r>
                  <m:t>x</m:t>
                </m:r>
              </m:e>
            </m:d>
          </m:e>
        </m:d>
      </m:oMath>
      <w:r>
        <w:tab/>
        <w:tab/>
      </w:r>
      <w:r>
        <w:rPr>
          <w:rFonts w:ascii="Times New Roman" w:cs="Times New Roman" w:eastAsia="Times New Roman" w:hAnsi="Times New Roman"/>
          <w:b w:val="false"/>
          <w:bCs w:val="false"/>
          <w:i w:val="false"/>
          <w:iCs w:val="false"/>
          <w:sz w:val="20"/>
          <w:szCs w:val="20"/>
        </w:rPr>
        <w:t xml:space="preserve">(1)</w:t>
      </w:r>
    </w:p>
    <w:p>
      <w:pPr>
        <w:spacing w:after="60" w:before="60" w:line="480"/>
        <w:ind w:left="720"/>
        <w:jc w:val="left"/>
      </w:pPr>
      <m:oMath>
        <m:r>
          <m:t>BC</m:t>
        </m:r>
        <m:d>
          <m:dPr/>
          <m:e>
            <m:r>
              <m:t>x</m:t>
            </m:r>
          </m:e>
        </m:d>
        <m:r>
          <m:t> = s · </m:t>
        </m:r>
        <m:sSubSup>
          <m:sSubSupPr/>
          <m:e>
            <m:r>
              <m:t>F</m:t>
            </m:r>
          </m:e>
          <m:sub>
            <m:r>
              <m:t>obs,cal</m:t>
            </m:r>
          </m:sub>
          <m:sup>
            <m:r>
              <m:t>−1</m:t>
            </m:r>
          </m:sup>
        </m:sSubSup>
        <m:d>
          <m:dPr/>
          <m:e>
            <m:sSub>
              <m:sSubPr/>
              <m:e>
                <m:r>
                  <m:t>F</m:t>
                </m:r>
              </m:e>
              <m:sub>
                <m:r>
                  <m:t>mod,cal</m:t>
                </m:r>
              </m:sub>
            </m:sSub>
            <m:d>
              <m:dPr/>
              <m:e>
                <m:f>
                  <m:num>
                    <m:r>
                      <m:t>x</m:t>
                    </m:r>
                  </m:num>
                  <m:den>
                    <m:r>
                      <m:t>s</m:t>
                    </m:r>
                  </m:den>
                </m:f>
              </m:e>
            </m:d>
          </m:e>
        </m:d>
        <m:r>
          <m:t>,   s = </m:t>
        </m:r>
        <m:f>
          <m:num>
            <m:sSub>
              <m:sSubPr/>
              <m:e>
                <m:r>
                  <m:t>μ</m:t>
                </m:r>
              </m:e>
              <m:sub>
                <m:r>
                  <m:t>tgt</m:t>
                </m:r>
              </m:sub>
            </m:sSub>
          </m:num>
          <m:den>
            <m:sSub>
              <m:sSubPr/>
              <m:e>
                <m:r>
                  <m:t>μ</m:t>
                </m:r>
              </m:e>
              <m:sub>
                <m:r>
                  <m:t>cal</m:t>
                </m:r>
              </m:sub>
            </m:sSub>
          </m:den>
        </m:f>
      </m:oMath>
      <w:r>
        <w:tab/>
        <w:tab/>
      </w:r>
      <w:r>
        <w:rPr>
          <w:rFonts w:ascii="Times New Roman" w:cs="Times New Roman" w:eastAsia="Times New Roman" w:hAnsi="Times New Roman"/>
          <w:b w:val="false"/>
          <w:bCs w:val="false"/>
          <w:i w:val="false"/>
          <w:iCs w:val="false"/>
          <w:sz w:val="20"/>
          <w:szCs w:val="20"/>
        </w:rPr>
        <w:t xml:space="preserve">(2)</w:t>
      </w:r>
    </w:p>
    <w:p>
      <w:pPr>
        <w:spacing w:after="60" w:before="60" w:line="480"/>
        <w:ind w:left="720"/>
        <w:jc w:val="left"/>
      </w:pPr>
      <m:oMath>
        <m:r>
          <m:t>BC</m:t>
        </m:r>
        <m:d>
          <m:dPr/>
          <m:e>
            <m:r>
              <m:t>x</m:t>
            </m:r>
          </m:e>
        </m:d>
        <m:r>
          <m:t> = </m:t>
        </m:r>
        <m:sSubSup>
          <m:sSubSupPr/>
          <m:e>
            <m:r>
              <m:t>F</m:t>
            </m:r>
          </m:e>
          <m:sub>
            <m:r>
              <m:t>obs,cal</m:t>
            </m:r>
          </m:sub>
          <m:sup>
            <m:r>
              <m:t>−1</m:t>
            </m:r>
          </m:sup>
        </m:sSubSup>
        <m:d>
          <m:dPr/>
          <m:e>
            <m:r>
              <m:t>p</m:t>
            </m:r>
          </m:e>
        </m:d>
        <m:r>
          <m:t> · </m:t>
        </m:r>
        <m:d>
          <m:dPr>
            <m:begChr m:val="["/>
            <m:endChr m:val="]"/>
          </m:dPr>
          <m:e>
            <m:f>
              <m:num>
                <m:r>
                  <m:t>x</m:t>
                </m:r>
              </m:num>
              <m:den>
                <m:sSubSup>
                  <m:sSubSupPr/>
                  <m:e>
                    <m:r>
                      <m:t>F</m:t>
                    </m:r>
                  </m:e>
                  <m:sub>
                    <m:r>
                      <m:t>mod,cal</m:t>
                    </m:r>
                  </m:sub>
                  <m:sup>
                    <m:r>
                      <m:t>−1</m:t>
                    </m:r>
                  </m:sup>
                </m:sSubSup>
                <m:d>
                  <m:dPr/>
                  <m:e>
                    <m:r>
                      <m:t>p</m:t>
                    </m:r>
                  </m:e>
                </m:d>
              </m:den>
            </m:f>
          </m:e>
        </m:d>
        <m:r>
          <m:t>,   p = </m:t>
        </m:r>
        <m:sSub>
          <m:sSubPr/>
          <m:e>
            <m:r>
              <m:t>F</m:t>
            </m:r>
          </m:e>
          <m:sub>
            <m:r>
              <m:t>mod,tgt</m:t>
            </m:r>
          </m:sub>
        </m:sSub>
        <m:d>
          <m:dPr/>
          <m:e>
            <m:r>
              <m:t>x</m:t>
            </m:r>
          </m:e>
        </m:d>
      </m:oMath>
      <w:r>
        <w:tab/>
        <w:tab/>
      </w:r>
      <w:r>
        <w:rPr>
          <w:rFonts w:ascii="Times New Roman" w:cs="Times New Roman" w:eastAsia="Times New Roman" w:hAnsi="Times New Roman"/>
          <w:b w:val="false"/>
          <w:bCs w:val="false"/>
          <w:i w:val="false"/>
          <w:iCs w:val="false"/>
          <w:sz w:val="20"/>
          <w:szCs w:val="20"/>
        </w:rPr>
        <w:t xml:space="preserve">(3)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is the ratio of the target-period to the calibration-period wet-day mean of the model. Empirical distributions used the sorted wet-day sample with Hazen plotting positions and linear interpolation. Beyond the calibration range the multiplicative correction ratio at the nearest calibration quantile was held constant with no clipping; extrapolation affected 0.41% of wet days on average.</w:t>
      </w:r>
    </w:p>
    <w:p>
      <w:pPr>
        <w:keepNext/>
        <w:spacing w:after="20" w:before="100" w:line="480"/>
        <w:jc w:val="left"/>
      </w:pPr>
      <w:r>
        <w:rPr>
          <w:rFonts w:ascii="Times New Roman" w:cs="Times New Roman" w:eastAsia="Times New Roman" w:hAnsi="Times New Roman"/>
          <w:b w:val="false"/>
          <w:bCs w:val="false"/>
          <w:i/>
          <w:iCs/>
          <w:sz w:val="20"/>
          <w:szCs w:val="20"/>
        </w:rPr>
        <w:t xml:space="preserve">2.5 Rainfall indices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Indices follow the definitions of the Expert Team on Climate Change Detection and Indices [16] where applicable, supplemented by wet-day frequency and empirical wet-day quantiles: PRCPTOT, wet-day frequency, SDII,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50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99</w:t>
      </w:r>
      <w:r>
        <w:rPr>
          <w:rFonts w:ascii="Times New Roman" w:cs="Times New Roman" w:eastAsia="Times New Roman" w:hAnsi="Times New Roman"/>
          <w:b w:val="false"/>
          <w:bCs w:val="false"/>
          <w:i w:val="false"/>
          <w:iCs w:val="false"/>
          <w:sz w:val="20"/>
          <w:szCs w:val="20"/>
        </w:rPr>
        <w:t xml:space="preserve">, Rx1day, Rx5day, R10mm, R20mm, R50mm, R95p, R99p, CDD and CWD. Percentile thresholds for R95p and R99p came from observed wet days over the calibration period at each gauge. Direct quantiles, derived extremes and sequence-dependent indices are reported separately throughout.</w:t>
      </w:r>
    </w:p>
    <w:p>
      <w:pPr>
        <w:keepNext/>
        <w:spacing w:after="20" w:before="100" w:line="480"/>
        <w:jc w:val="left"/>
      </w:pPr>
      <w:r>
        <w:rPr>
          <w:rFonts w:ascii="Times New Roman" w:cs="Times New Roman" w:eastAsia="Times New Roman" w:hAnsi="Times New Roman"/>
          <w:b w:val="false"/>
          <w:bCs w:val="false"/>
          <w:i/>
          <w:iCs/>
          <w:sz w:val="20"/>
          <w:szCs w:val="20"/>
        </w:rPr>
        <w:t xml:space="preserve">2.6 Performance metric</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Historical performance is the </w:t>
      </w:r>
      <w:r>
        <w:rPr>
          <w:rFonts w:ascii="Times New Roman" w:cs="Times New Roman" w:eastAsia="Times New Roman" w:hAnsi="Times New Roman"/>
          <w:b/>
          <w:bCs/>
          <w:i w:val="false"/>
          <w:iCs w:val="false"/>
          <w:sz w:val="20"/>
          <w:szCs w:val="20"/>
        </w:rPr>
        <w:t xml:space="preserve">mean absolute bias</w:t>
      </w:r>
      <w:r>
        <w:rPr>
          <w:rFonts w:ascii="Times New Roman" w:cs="Times New Roman" w:eastAsia="Times New Roman" w:hAnsi="Times New Roman"/>
          <w:b w:val="false"/>
          <w:bCs w:val="false"/>
          <w:i w:val="false"/>
          <w:iCs w:val="false"/>
          <w:sz w:val="20"/>
          <w:szCs w:val="20"/>
        </w:rPr>
        <w:t xml:space="preserve">,</w:t>
      </w:r>
    </w:p>
    <w:p>
      <w:pPr>
        <w:spacing w:after="60" w:before="60" w:line="480"/>
        <w:ind w:left="720"/>
        <w:jc w:val="left"/>
      </w:pPr>
      <m:oMath>
        <m:r>
          <m:t>MAB</m:t>
        </m:r>
        <m:d>
          <m:dPr/>
          <m:e>
            <m:r>
              <m:t>k</m:t>
            </m:r>
          </m:e>
        </m:d>
        <m:r>
          <m:t> = </m:t>
        </m:r>
        <m:f>
          <m:num>
            <m:r>
              <m:t>1</m:t>
            </m:r>
          </m:num>
          <m:den>
            <m:r>
              <m:t>NM</m:t>
            </m:r>
          </m:den>
        </m:f>
        <m:nary>
          <m:naryPr>
            <m:chr m:val="∑"/>
            <m:limLoc m:val="undOvr"/>
          </m:naryPr>
          <m:sub>
            <m:r>
              <m:t>i = 1</m:t>
            </m:r>
          </m:sub>
          <m:sup>
            <m:r>
              <m:t>N</m:t>
            </m:r>
          </m:sup>
          <m:e>
            <m:nary>
              <m:naryPr>
                <m:chr m:val="∑"/>
                <m:limLoc m:val="undOvr"/>
              </m:naryPr>
              <m:sub>
                <m:r>
                  <m:t>j = 1</m:t>
                </m:r>
              </m:sub>
              <m:sup>
                <m:r>
                  <m:t>M</m:t>
                </m:r>
              </m:sup>
              <m:e>
                <m:r>
                  <m:t>∣</m:t>
                </m:r>
                <m:sSub>
                  <m:sSubPr/>
                  <m:e>
                    <m:r>
                      <m:t>ε</m:t>
                    </m:r>
                  </m:e>
                  <m:sub>
                    <m:r>
                      <m:t>ijk</m:t>
                    </m:r>
                  </m:sub>
                </m:sSub>
                <m:r>
                  <m:t>∣</m:t>
                </m:r>
              </m:e>
            </m:nary>
          </m:e>
        </m:nary>
      </m:oMath>
      <w:r>
        <w:tab/>
        <w:tab/>
      </w:r>
      <w:r>
        <w:rPr>
          <w:rFonts w:ascii="Times New Roman" w:cs="Times New Roman" w:eastAsia="Times New Roman" w:hAnsi="Times New Roman"/>
          <w:b w:val="false"/>
          <w:bCs w:val="false"/>
          <w:i w:val="false"/>
          <w:iCs w:val="false"/>
          <w:sz w:val="20"/>
          <w:szCs w:val="20"/>
        </w:rPr>
        <w:t xml:space="preserve">(4)</w:t>
      </w:r>
    </w:p>
    <w:p>
      <w:pPr>
        <w:spacing w:after="60" w:before="60" w:line="480"/>
        <w:ind w:left="720"/>
        <w:jc w:val="left"/>
      </w:pPr>
      <m:oMath>
        <m:sSub>
          <m:sSubPr/>
          <m:e>
            <m:r>
              <m:t>ε</m:t>
            </m:r>
          </m:e>
          <m:sub>
            <m:r>
              <m:t>ijk</m:t>
            </m:r>
          </m:sub>
        </m:sSub>
        <m:r>
          <m:t> = 100 · </m:t>
        </m:r>
        <m:f>
          <m:num>
            <m:sSub>
              <m:sSubPr/>
              <m:e>
                <m:r>
                  <m:t>S</m:t>
                </m:r>
              </m:e>
              <m:sub>
                <m:r>
                  <m:t>ijk</m:t>
                </m:r>
              </m:sub>
            </m:sSub>
            <m:r>
              <m:t> − </m:t>
            </m:r>
            <m:sSub>
              <m:sSubPr/>
              <m:e>
                <m:r>
                  <m:t>O</m:t>
                </m:r>
              </m:e>
              <m:sub>
                <m:r>
                  <m:t>ik</m:t>
                </m:r>
              </m:sub>
            </m:sSub>
          </m:num>
          <m:den>
            <m:sSub>
              <m:sSubPr/>
              <m:e>
                <m:r>
                  <m:t>O</m:t>
                </m:r>
              </m:e>
              <m:sub>
                <m:r>
                  <m:t>ik</m:t>
                </m:r>
              </m:sub>
            </m:sSub>
          </m:den>
        </m:f>
      </m:oMath>
      <w:r>
        <w:tab/>
        <w:tab/>
      </w:r>
      <w:r>
        <w:rPr>
          <w:rFonts w:ascii="Times New Roman" w:cs="Times New Roman" w:eastAsia="Times New Roman" w:hAnsi="Times New Roman"/>
          <w:b w:val="false"/>
          <w:bCs w:val="false"/>
          <w:i w:val="false"/>
          <w:iCs w:val="false"/>
          <w:sz w:val="20"/>
          <w:szCs w:val="20"/>
        </w:rPr>
        <w:t xml:space="preserve">(5)</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 are the simulated and observed values of index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13 gauges and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7 models; cases with a zero observed denominator were excluded.</w:t>
      </w:r>
    </w:p>
    <w:p>
      <w:pPr>
        <w:keepNext/>
        <w:spacing w:after="20" w:before="100" w:line="480"/>
        <w:jc w:val="left"/>
      </w:pPr>
      <w:r>
        <w:rPr>
          <w:rFonts w:ascii="Times New Roman" w:cs="Times New Roman" w:eastAsia="Times New Roman" w:hAnsi="Times New Roman"/>
          <w:b w:val="false"/>
          <w:bCs w:val="false"/>
          <w:i/>
          <w:iCs/>
          <w:sz w:val="20"/>
          <w:szCs w:val="20"/>
        </w:rPr>
        <w:t xml:space="preserve">2.7 Climate-signal preservation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For a statistic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rPr>
        <w:t xml:space="preserve">, the raw and corrected signals are the ratios of its 2021–2050 value to its 1995–2014 baseline value within the same model, written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fut</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base</w:t>
      </w:r>
      <w:r>
        <w:rPr>
          <w:rFonts w:ascii="Times New Roman" w:cs="Times New Roman" w:eastAsia="Times New Roman" w:hAnsi="Times New Roman"/>
          <w:b w:val="false"/>
          <w:bCs w:val="false"/>
          <w:i w:val="false"/>
          <w:iCs w:val="false"/>
          <w:sz w:val="20"/>
          <w:szCs w:val="20"/>
        </w:rPr>
        <w:t xml:space="preserve">,</w:t>
      </w:r>
    </w:p>
    <w:p>
      <w:pPr>
        <w:spacing w:after="60" w:before="60" w:line="480"/>
        <w:ind w:left="720"/>
        <w:jc w:val="left"/>
      </w:pPr>
      <m:oMath>
        <m:sSub>
          <m:sSubPr/>
          <m:e>
            <m:r>
              <m:t>S</m:t>
            </m:r>
          </m:e>
          <m:sub>
            <m:r>
              <m:t>raw</m:t>
            </m:r>
          </m:sub>
        </m:sSub>
        <m:r>
          <m:t> = </m:t>
        </m:r>
        <m:f>
          <m:num>
            <m:sSub>
              <m:sSubPr/>
              <m:e>
                <m:r>
                  <m:t>q</m:t>
                </m:r>
              </m:e>
              <m:sub>
                <m:r>
                  <m:t>fut,raw</m:t>
                </m:r>
              </m:sub>
            </m:sSub>
          </m:num>
          <m:den>
            <m:sSub>
              <m:sSubPr/>
              <m:e>
                <m:r>
                  <m:t>q</m:t>
                </m:r>
              </m:e>
              <m:sub>
                <m:r>
                  <m:t>base,raw</m:t>
                </m:r>
              </m:sub>
            </m:sSub>
          </m:den>
        </m:f>
        <m:r>
          <m:t>,     </m:t>
        </m:r>
        <m:sSub>
          <m:sSubPr/>
          <m:e>
            <m:r>
              <m:t>S</m:t>
            </m:r>
          </m:e>
          <m:sub>
            <m:r>
              <m:t>BC</m:t>
            </m:r>
          </m:sub>
        </m:sSub>
        <m:r>
          <m:t> = </m:t>
        </m:r>
        <m:f>
          <m:num>
            <m:sSub>
              <m:sSubPr/>
              <m:e>
                <m:r>
                  <m:t>q</m:t>
                </m:r>
              </m:e>
              <m:sub>
                <m:r>
                  <m:t>fut,BC</m:t>
                </m:r>
              </m:sub>
            </m:sSub>
          </m:num>
          <m:den>
            <m:sSub>
              <m:sSubPr/>
              <m:e>
                <m:r>
                  <m:t>q</m:t>
                </m:r>
              </m:e>
              <m:sub>
                <m:r>
                  <m:t>base,BC</m:t>
                </m:r>
              </m:sub>
            </m:sSub>
          </m:den>
        </m:f>
      </m:oMath>
      <w:r>
        <w:tab/>
        <w:tab/>
      </w:r>
      <w:r>
        <w:rPr>
          <w:rFonts w:ascii="Times New Roman" w:cs="Times New Roman" w:eastAsia="Times New Roman" w:hAnsi="Times New Roman"/>
          <w:b w:val="false"/>
          <w:bCs w:val="false"/>
          <w:i w:val="false"/>
          <w:iCs w:val="false"/>
          <w:sz w:val="20"/>
          <w:szCs w:val="20"/>
        </w:rPr>
        <w:t xml:space="preserve">(6)</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and the signal-preservation error is</w:t>
      </w:r>
    </w:p>
    <w:p>
      <w:pPr>
        <w:spacing w:after="60" w:before="60" w:line="480"/>
        <w:ind w:left="720"/>
        <w:jc w:val="left"/>
      </w:pPr>
      <m:oMath>
        <m:r>
          <m:t>PE</m:t>
        </m:r>
        <m:d>
          <m:dPr/>
          <m:e>
            <m:r>
              <m:t>q</m:t>
            </m:r>
          </m:e>
        </m:d>
        <m:r>
          <m:t> = 100 · </m:t>
        </m:r>
        <m:f>
          <m:num>
            <m:sSub>
              <m:sSubPr/>
              <m:e>
                <m:r>
                  <m:t>S</m:t>
                </m:r>
              </m:e>
              <m:sub>
                <m:r>
                  <m:t>BC</m:t>
                </m:r>
              </m:sub>
            </m:sSub>
            <m:d>
              <m:dPr/>
              <m:e>
                <m:r>
                  <m:t>q</m:t>
                </m:r>
              </m:e>
            </m:d>
            <m:r>
              <m:t> − </m:t>
            </m:r>
            <m:sSub>
              <m:sSubPr/>
              <m:e>
                <m:r>
                  <m:t>S</m:t>
                </m:r>
              </m:e>
              <m:sub>
                <m:r>
                  <m:t>raw</m:t>
                </m:r>
              </m:sub>
            </m:sSub>
            <m:d>
              <m:dPr/>
              <m:e>
                <m:r>
                  <m:t>q</m:t>
                </m:r>
              </m:e>
            </m:d>
          </m:num>
          <m:den>
            <m:sSub>
              <m:sSubPr/>
              <m:e>
                <m:r>
                  <m:t>S</m:t>
                </m:r>
              </m:e>
              <m:sub>
                <m:r>
                  <m:t>raw</m:t>
                </m:r>
              </m:sub>
            </m:sSub>
            <m:d>
              <m:dPr/>
              <m:e>
                <m:r>
                  <m:t>q</m:t>
                </m:r>
              </m:e>
            </m:d>
          </m:den>
        </m:f>
      </m:oMath>
      <w:r>
        <w:tab/>
        <w:tab/>
      </w:r>
      <w:r>
        <w:rPr>
          <w:rFonts w:ascii="Times New Roman" w:cs="Times New Roman" w:eastAsia="Times New Roman" w:hAnsi="Times New Roman"/>
          <w:b w:val="false"/>
          <w:bCs w:val="false"/>
          <w:i w:val="false"/>
          <w:iCs w:val="false"/>
          <w:sz w:val="20"/>
          <w:szCs w:val="20"/>
        </w:rPr>
        <w:t xml:space="preserve">(7)</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PE near zero indicates close preservation, positive values amplification and negative values attenuation. Observations never enter the denominator of a climate-change signal.</w:t>
      </w:r>
    </w:p>
    <w:p>
      <w:pPr>
        <w:keepNext/>
        <w:spacing w:after="20" w:before="100" w:line="480"/>
        <w:jc w:val="left"/>
      </w:pPr>
      <w:r>
        <w:rPr>
          <w:rFonts w:ascii="Times New Roman" w:cs="Times New Roman" w:eastAsia="Times New Roman" w:hAnsi="Times New Roman"/>
          <w:b w:val="false"/>
          <w:bCs w:val="false"/>
          <w:i/>
          <w:iCs/>
          <w:sz w:val="20"/>
          <w:szCs w:val="20"/>
        </w:rPr>
        <w:t xml:space="preserve">2.8 Method and model effects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spread of projected changes was summarised by a descriptive two-factor sum-of-squares partition with GCM and bias-correction method as the explicit factors, computed separately for each scenario. Because station is not modelled as a factor although the data are indexed by GCM × method × station, the residual carries the GCM × method interaction together with station-level and higher-order unmodelled variation; it should not be read as interaction alone, and this is not a full variance-component analysis.</w:t>
      </w:r>
    </w:p>
    <w:p>
      <w:pPr>
        <w:keepNext/>
        <w:spacing w:after="20" w:before="100" w:line="480"/>
        <w:jc w:val="left"/>
      </w:pPr>
      <w:r>
        <w:rPr>
          <w:rFonts w:ascii="Times New Roman" w:cs="Times New Roman" w:eastAsia="Times New Roman" w:hAnsi="Times New Roman"/>
          <w:b w:val="false"/>
          <w:bCs w:val="false"/>
          <w:i/>
          <w:iCs/>
          <w:sz w:val="20"/>
          <w:szCs w:val="20"/>
        </w:rPr>
        <w:t xml:space="preserve">2.9 Statistical interpretation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One estimator is used for every reported ensemble quantity. Within each GCM the signal-preservation error is averaged across the gauge evaluation locations at which it is defined, giving one value per model; the reported summary is the median of those values across the GCMs, with the inter-model interquartile range as a measure of spread rather than a confidence interval. Formally, for scenario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index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and method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w:t>
      </w:r>
    </w:p>
    <w:p>
      <w:pPr>
        <w:spacing w:after="60" w:before="60" w:line="480"/>
        <w:ind w:left="720"/>
        <w:jc w:val="left"/>
      </w:pPr>
      <m:oMath>
        <m:sSub>
          <m:sSubPr/>
          <m:e>
            <m:r>
              <m:t>E</m:t>
            </m:r>
          </m:e>
          <m:sub>
            <m:r>
              <m:t>j</m:t>
            </m:r>
          </m:sub>
        </m:sSub>
        <m:r>
          <m:t> = </m:t>
        </m:r>
        <m:f>
          <m:num>
            <m:r>
              <m:t>1</m:t>
            </m:r>
          </m:num>
          <m:den>
            <m:sSub>
              <m:sSubPr/>
              <m:e>
                <m:r>
                  <m:t>N</m:t>
                </m:r>
              </m:e>
              <m:sub>
                <m:r>
                  <m:t>j</m:t>
                </m:r>
              </m:sub>
            </m:sSub>
          </m:den>
        </m:f>
        <m:nary>
          <m:naryPr>
            <m:chr m:val="∑"/>
            <m:limLoc m:val="undOvr"/>
          </m:naryPr>
          <m:sub>
            <m:r>
              <m:t>i = 1</m:t>
            </m:r>
          </m:sub>
          <m:sup>
            <m:sSub>
              <m:sSubPr/>
              <m:e>
                <m:r>
                  <m:t>N</m:t>
                </m:r>
              </m:e>
              <m:sub>
                <m:r>
                  <m:t>j</m:t>
                </m:r>
              </m:sub>
            </m:sSub>
          </m:sup>
          <m:e>
            <m:sSub>
              <m:sSubPr/>
              <m:e>
                <m:r>
                  <m:t>PE</m:t>
                </m:r>
              </m:e>
              <m:sub>
                <m:r>
                  <m:t>ijkmc</m:t>
                </m:r>
              </m:sub>
            </m:sSub>
          </m:e>
        </m:nary>
        <m:r>
          <m:t>,    reported value = </m:t>
        </m:r>
        <m:r>
          <m:t>median</m:t>
        </m:r>
        <m:d>
          <m:dPr/>
          <m:e>
            <m:sSub>
              <m:sSubPr/>
              <m:e>
                <m:r>
                  <m:t>E</m:t>
                </m:r>
              </m:e>
              <m:sub>
                <m:r>
                  <m:t>j</m:t>
                </m:r>
              </m:sub>
            </m:sSub>
          </m:e>
        </m:d>
      </m:oMath>
      <w:r>
        <w:tab/>
        <w:tab/>
      </w:r>
      <w:r>
        <w:rPr>
          <w:rFonts w:ascii="Times New Roman" w:cs="Times New Roman" w:eastAsia="Times New Roman" w:hAnsi="Times New Roman"/>
          <w:b w:val="false"/>
          <w:bCs w:val="false"/>
          <w:i w:val="false"/>
          <w:iCs w:val="false"/>
          <w:sz w:val="20"/>
          <w:szCs w:val="20"/>
        </w:rPr>
        <w:t xml:space="preserve">(8)</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 runs over gauges and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over GCMs. The gauges are evaluation locations, not independent model realizations, so they are averaged inside a model before the ensemble summary is taken; pooling gauge-by-model combinations into a single sample would allow the number of gauges to outweigh the inter-model spread, which is the quantity of interest here. Estimation is always separate by scenario: no aggregation across forcing pathways is defined, and none is reported. Where a threshold index has no qualifying day in a model's baseline the ratio is undefined, so the number of contributing GCMs is stated with every table.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When identifying the method closest to the raw signal, methods are compared on the absolute value of the ensemble-median PE. Paired contrasts (Supplementary Table S8) are descriptive and carry no significance test: seven models are too few, and are not a random sample of a defined population, to support an inferential claim, and a non-significant result would be read as equivalence when it would only indicate low power.</w:t>
      </w:r>
    </w:p>
    <w:p>
      <w:pPr>
        <w:keepNext/>
        <w:spacing w:after="40" w:before="120" w:line="480"/>
        <w:jc w:val="left"/>
      </w:pPr>
      <w:r>
        <w:rPr>
          <w:rFonts w:ascii="Times New Roman" w:cs="Times New Roman" w:eastAsia="Times New Roman" w:hAnsi="Times New Roman"/>
          <w:b/>
          <w:bCs/>
          <w:i w:val="false"/>
          <w:iCs w:val="false"/>
          <w:sz w:val="20"/>
          <w:szCs w:val="20"/>
        </w:rPr>
        <w:t xml:space="preserve">3. Results</w:t>
      </w:r>
    </w:p>
    <w:p>
      <w:pPr>
        <w:keepNext/>
        <w:spacing w:after="20" w:before="100" w:line="480"/>
        <w:jc w:val="left"/>
      </w:pPr>
      <w:r>
        <w:rPr>
          <w:rFonts w:ascii="Times New Roman" w:cs="Times New Roman" w:eastAsia="Times New Roman" w:hAnsi="Times New Roman"/>
          <w:b w:val="false"/>
          <w:bCs w:val="false"/>
          <w:i/>
          <w:iCs/>
          <w:sz w:val="20"/>
          <w:szCs w:val="20"/>
        </w:rPr>
        <w:t xml:space="preserve">3.1 Historical bias reduction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All three methods removed most of the historical bias in the marginal statistics, and QM and QDM were numerically identical over the calibration period (Supplementary Table S2). Mean absolute bias in wet-day frequency fell from 71.14% in the raw models to 0.03% under QM and QDM and 0.46% under DetQM; SDII fell from 45.25% to 0.01% and 0.42%,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from 48.17% to 0.02% and 0.19%. The identity between QM and QDM is expected rather than coincidental: over the calibration period the delta term in Equation (3) equals unity, so QDM reduces exactly to QM. DetQM differs because it rescales by the target-period mean before mapping.</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largest reduction in mean absolute bias was for the frequency of days above 50 mm, where the raw bias of 194.93% fell to 1.04–1.05% under all three methods. Sequence-dependent indices behaved differently and the three methods were nearly indistinguishable: Rx5day improved only from 34.52% to 25.52%, CDD from 47.90% to 42.21–42.52% and CWD from 89.99% to 35.05–35.06%.</w:t>
      </w:r>
    </w:p>
    <w:p>
      <w:pPr>
        <w:keepNext/>
        <w:spacing w:after="20" w:before="100" w:line="480"/>
        <w:jc w:val="left"/>
      </w:pPr>
      <w:r>
        <w:rPr>
          <w:rFonts w:ascii="Times New Roman" w:cs="Times New Roman" w:eastAsia="Times New Roman" w:hAnsi="Times New Roman"/>
          <w:b w:val="false"/>
          <w:bCs w:val="false"/>
          <w:i/>
          <w:iCs/>
          <w:sz w:val="20"/>
          <w:szCs w:val="20"/>
        </w:rPr>
        <w:t xml:space="preserve">3.2 Independent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calibration ordering did not survive out of sample, and the three methods converged (Figure 2 and Supplementary Table S3). Mean absolute bias in wet-day frequency was 28.65% for QM/EQM, 28.76% for DetQM and 28.65% for QDM, against 67.22% for the raw models. PRCPTOT was 15.90%, 15.10% and 15.82% against 38.45%; SDII 26.91%, 26.97% and 27.37% against 44.08%.</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Small differences emerged for individual indices without favouring one method consistently. QM/EQM had the smallest error for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50</w:t>
      </w:r>
      <w:r>
        <w:rPr>
          <w:rFonts w:ascii="Times New Roman" w:cs="Times New Roman" w:eastAsia="Times New Roman" w:hAnsi="Times New Roman"/>
          <w:b w:val="false"/>
          <w:bCs w:val="false"/>
          <w:i w:val="false"/>
          <w:iCs w:val="false"/>
          <w:sz w:val="20"/>
          <w:szCs w:val="20"/>
        </w:rPr>
        <w:t xml:space="preserve"> (24.17% against 26.52% for QDM),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(31.17% against 33.69%) and R95p (41.81% against 45.48%); DetQM for PRCPTOT (15.10%)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99</w:t>
      </w:r>
      <w:r>
        <w:rPr>
          <w:rFonts w:ascii="Times New Roman" w:cs="Times New Roman" w:eastAsia="Times New Roman" w:hAnsi="Times New Roman"/>
          <w:b w:val="false"/>
          <w:bCs w:val="false"/>
          <w:i w:val="false"/>
          <w:iCs w:val="false"/>
          <w:sz w:val="20"/>
          <w:szCs w:val="20"/>
        </w:rPr>
        <w:t xml:space="preserve"> (27.39%); QDM for Rx1day (26.85% against 30.96% for QM/EQM) and Rx5day (31.52% against 33.59%). CDD was improved by none of them: 51.47% to 51.98% after correction against 48.42% before it.</w:t>
      </w:r>
    </w:p>
    <w:p>
      <w:pPr>
        <w:keepNext/>
        <w:spacing w:after="20" w:before="60" w:lineRule="auto"/>
        <w:jc w:val="center"/>
      </w:pPr>
      <w:r>
        <w:drawing>
          <wp:inline distT="0" distB="0" distL="0" distR="0">
            <wp:extent cx="40195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174307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2</w:t>
      </w:r>
      <w:r>
        <w:rPr>
          <w:rFonts w:ascii="Times New Roman" w:cs="Times New Roman" w:eastAsia="Times New Roman" w:hAnsi="Times New Roman"/>
          <w:b w:val="false"/>
          <w:bCs w:val="false"/>
          <w:i w:val="false"/>
          <w:iCs w:val="false"/>
          <w:sz w:val="18"/>
          <w:szCs w:val="18"/>
        </w:rPr>
        <w:t xml:space="preserve"> Mean absolute bias of raw and bias-corrected CMIP6 daily precipitation against gauge observations over the independent validation period 2003–2014, using parameters fitted on 1981–2002 and frozen, averaged across 13 gauges and 7 models. The dotted divider separates statistics controlled by the marginal daily distribution from sequence-dependent and multi-day statistics. The vertical axis is logarithmic. The calibration-period counterpart, on identical axes, is Supplementary Table S2.</w:t>
      </w:r>
    </w:p>
    <w:p>
      <w:pPr>
        <w:keepNext/>
        <w:spacing w:after="20" w:before="100" w:line="480"/>
        <w:jc w:val="left"/>
      </w:pPr>
      <w:r>
        <w:rPr>
          <w:rFonts w:ascii="Times New Roman" w:cs="Times New Roman" w:eastAsia="Times New Roman" w:hAnsi="Times New Roman"/>
          <w:b w:val="false"/>
          <w:bCs w:val="false"/>
          <w:i/>
          <w:iCs/>
          <w:sz w:val="20"/>
          <w:szCs w:val="20"/>
        </w:rPr>
        <w:t xml:space="preserve">3.3 Preservation of bulk and distributional climate signals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Signal-preservation errors for the bulk statistics and the direct wet-day quantiles were small under every method and in both scenarios (Table 1, Figure 3; all indices in Supplementary Table S4, full listing in Supplementary Data S5). Preservation here is measured against each model's own raw change, not against observations, so a PE near zero means the modelled change was carried through, not that the corrected series matches the gauges. The largest absolute median PE anywhere in this group was +4.18% for q50 under QM/EQM in SSP2-4.5; under SSP5-8.5 the largest was +3.71% for q99 under DetQM. Across the three methods the median error for annual precipitation ranged from +0.75% to +1.27% in SSP2-4.5 and from −0.06% to +1.19% in SSP5-8.5.</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Which method came closest to the raw signal depended on the quantile and on the scenario. At q95 the smallest absolute error corresponded to a median PE of −0.02% under DetQM in SSP2-4.5 and +0.75% under QDM in SSP5-8.5. At q99 QDM gave the smallest absolute error in both scenarios, with median PE of +0.26% and +0.03% against +1.95% and +3.60% for QM/EQM, whereas at q90 QM/EQM was smallest in both. Inter-model interquartile ranges overlap heavily across methods throughout this group.</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1</w:t>
      </w:r>
      <w:r>
        <w:rPr>
          <w:rFonts w:ascii="Times New Roman" w:cs="Times New Roman" w:eastAsia="Times New Roman" w:hAnsi="Times New Roman"/>
          <w:b w:val="false"/>
          <w:bCs w:val="false"/>
          <w:i w:val="false"/>
          <w:iCs w:val="false"/>
          <w:sz w:val="18"/>
          <w:szCs w:val="18"/>
        </w:rPr>
        <w:t xml:space="preserve"> Climate-signal preservation for bulk statistics and wet-day quantiles, 2021–2050 relative to the 1995–2014 baseline of the same model and method. Each cell is the median [interquartile range] of the signal-preservation error from Equation (7), where the error is first averaged across the gauge evaluation locations within each GCM and the summary is then taken across GCMs, as defined by Equation (8). Scenarios are reported separately and are never pooled. The column n gives the number of contributing GCMs.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1"/>
        <w:gridCol w:w="1076"/>
        <w:gridCol w:w="1002"/>
        <w:gridCol w:w="1819"/>
        <w:gridCol w:w="1819"/>
        <w:gridCol w:w="1819"/>
        <w:gridCol w:w="334"/>
      </w:tblGrid>
      <w:tr>
        <w:trPr>
          <w:tblHeader/>
        </w:trPr>
        <w:tc>
          <w:tcPr>
            <w:tcW w:type="dxa" w:w="1151"/>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107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Type</w:t>
            </w:r>
          </w:p>
        </w:tc>
        <w:tc>
          <w:tcPr>
            <w:tcW w:type="dxa" w:w="1002"/>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Scenario</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QM/EQM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DetQM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QDM</w:t>
            </w:r>
          </w:p>
        </w:tc>
        <w:tc>
          <w:tcPr>
            <w:tcW w:type="dxa" w:w="334"/>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n</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 days</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occurrence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+0.29 [-2.02, +2.22]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+0.84 [-1.77, +2.35]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-0.09 [-2.18, +2.49]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-0.97 [-1.75, -0.11]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-1.25 [-1.62, -0.07]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-1.48 [-1.74, -0.11]</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accumulation</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+1.27 [+0.30, +3.78]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+0.81 [-0.23, +2.25]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+0.73 [-0.18, +2.12]</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+1.01 [-0.23, +2.05]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+1.19 [-0.05, +1.72]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-0.07 [-0.36, +0.64]</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intensity</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+0.94 [+0.32, +2.76]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-0.09 [-1.34, +1.64]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+0.69 [-1.04, +2.13]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+1.46 [+0.08, +3.06]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+1.17 [+0.22, +2.17]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+1.12 [+0.09, +1.86]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q50</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+4.18 [+0.72, +7.36]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+0.88 [-1.36, +5.77]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+1.22 [+0.89, +6.34]</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+2.33 [+2.16, +3.79]</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+1.88 [+0.81, +4.05]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+1.84 [+0.43, +3.63]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q90</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+0.15 [-0.12, +3.48]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+1.03 [-0.81, +3.34]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+0.43 [-0.78, +3.63]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+1.21 [-2.05, +4.03]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+1.46 [-0.80, +4.21]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+1.70 [-0.72, +3.97]</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q95</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+0.09 [-1.80, +2.03]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-0.02 [-1.43, +1.63]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-0.05 [-1.03, +1.29]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+2.72 [+1.79, +5.13]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+2.78 [+1.72, +3.17]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+0.76 [+0.51, +2.69]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q99</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direct quantile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+1.95 [-0.83, +2.93]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+1.46 [-1.29, +2.11]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+0.26 [-2.21, +2.08]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+3.60 [-1.32, +7.53]</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+3.71 [-1.19, +6.65]</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+0.03 [-1.72, +2.99]</w:t>
            </w:r>
          </w:p>
        </w:tc>
        <w:tc>
          <w:tcPr>
            <w:tcW w:type="dxa" w:w="334"/>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bl>
    <w:p>
      <w:pPr>
        <w:keepNext/>
        <w:spacing w:after="20" w:before="60" w:lineRule="auto"/>
        <w:jc w:val="center"/>
      </w:pPr>
      <w:r>
        <w:drawing>
          <wp:inline distT="0" distB="0" distL="0" distR="0">
            <wp:extent cx="40195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56222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3</w:t>
      </w:r>
      <w:r>
        <w:rPr>
          <w:rFonts w:ascii="Times New Roman" w:cs="Times New Roman" w:eastAsia="Times New Roman" w:hAnsi="Times New Roman"/>
          <w:b w:val="false"/>
          <w:bCs w:val="false"/>
          <w:i w:val="false"/>
          <w:iCs w:val="false"/>
          <w:sz w:val="18"/>
          <w:szCs w:val="18"/>
        </w:rPr>
        <w:t xml:space="preserve"> Signal-preservation error for 2021–2050 relative to the 1995–2014 baseline of the same model and method, for (a) bulk statistics and (b) wet-day quantiles, with the two scenarios in separate panels. Bars are the ensemble median and whiskers the inter-model interquartile range, a measure of spread and not a confidence interval; both follow Equation (8). PE = 0 means the raw model signal was reproduced exactly.</w:t>
      </w:r>
    </w:p>
    <w:p>
      <w:pPr>
        <w:keepNext/>
        <w:spacing w:after="20" w:before="100" w:line="480"/>
        <w:jc w:val="left"/>
      </w:pPr>
      <w:r>
        <w:rPr>
          <w:rFonts w:ascii="Times New Roman" w:cs="Times New Roman" w:eastAsia="Times New Roman" w:hAnsi="Times New Roman"/>
          <w:b w:val="false"/>
          <w:bCs w:val="false"/>
          <w:i/>
          <w:iCs/>
          <w:sz w:val="20"/>
          <w:szCs w:val="20"/>
        </w:rPr>
        <w:t xml:space="preserve">3.4 Preservation of extreme-rainfall signals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Errors were larger and the method contrasts wider for the derived extreme indices than for the direct quantiles (Table 2, Figure 4). The largest median error of the study was +15.54% for the frequency of days above 50 mm under QM/EQM in SSP2-4.5, against +6.60% for DetQM and +14.76% for QDM; in SSP5-8.5 the same index gave +5.29%, +9.67% and +8.38%. For R99p the medians were −9.21%, −5.76% and −5.95% in SSP2-4.5 and +13.86%, +4.75% and −5.98% in SSP5-8.5.</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spread between the best and worst method summarises how much the choice matters: 0.52 percentage points for annual precipitation in SSP2-4.5 and 1.25 in SSP5-8.5, against 8.94 and 4.39 for the frequency of days above 50 mm and 3.44 and 19.84 for R99p. Method-related differences were therefore substantially larger for several derived extreme indices than for the bulk statistics: 8.94 and 4.39 percentage points for the frequency of days above 50 mm against 0.52 and 1.25 for annual precipitation.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Sample size falls with rarity: all seven GCMs contribute to every bulk and quantile cell, but only six to the frequency of days above 50 mm, because EC-Earth3 simulates no such day at any gauge in the baseline, and within the contributing models the supporting gauges fall to between 9 and 12 of 13.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Across the sixteen indices examined, the method with the smallest absolute error was the same in both scenarios for only eight. QDM had the smallest error in 17 of the 32 scenario-index combinations, DetQM in 9 and QM/EQM in 6.</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2</w:t>
      </w:r>
      <w:r>
        <w:rPr>
          <w:rFonts w:ascii="Times New Roman" w:cs="Times New Roman" w:eastAsia="Times New Roman" w:hAnsi="Times New Roman"/>
          <w:b w:val="false"/>
          <w:bCs w:val="false"/>
          <w:i w:val="false"/>
          <w:iCs w:val="false"/>
          <w:sz w:val="18"/>
          <w:szCs w:val="18"/>
        </w:rPr>
        <w:t xml:space="preserve"> Climate-signal preservation for derived extreme-rainfall indices. Format and estimator as Table 1. The Type column records how each index is constructed. The frequency of days above 50 mm rests on six GCMs because EC-Earth3 simulates no such day in the baseline.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1"/>
        <w:gridCol w:w="1076"/>
        <w:gridCol w:w="1002"/>
        <w:gridCol w:w="1819"/>
        <w:gridCol w:w="1819"/>
        <w:gridCol w:w="1819"/>
        <w:gridCol w:w="334"/>
      </w:tblGrid>
      <w:tr>
        <w:trPr>
          <w:tblHeader/>
        </w:trPr>
        <w:tc>
          <w:tcPr>
            <w:tcW w:type="dxa" w:w="1151"/>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107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Type</w:t>
            </w:r>
          </w:p>
        </w:tc>
        <w:tc>
          <w:tcPr>
            <w:tcW w:type="dxa" w:w="1002"/>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Scenario</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QM/EQM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DetQM</w:t>
            </w:r>
          </w:p>
        </w:tc>
        <w:tc>
          <w:tcPr>
            <w:tcW w:type="dxa" w:w="1819"/>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QDM</w:t>
            </w:r>
          </w:p>
        </w:tc>
        <w:tc>
          <w:tcPr>
            <w:tcW w:type="dxa" w:w="334"/>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n</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derived extreme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+1.63 [+0.34, +1.97]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+0.81 [-0.57, +1.21]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+0.59 [-0.48, +1.13]</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+0.82 [+0.64, +3.13]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+1.34 [+0.58, +3.15]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+0.03 [-0.71, +1.10]</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R10mm</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derived threshold</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-0.80 [-2.34, +4.77]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-2.44 [-3.05, +1.56]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-2.03 [-2.42, +1.62]</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+3.71 [-0.56, +6.88]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+4.26 [-1.42, +8.18]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+0.48 [-0.04, +6.51]</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R20mm</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derived threshold</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+1.00 [-1.72, +4.86]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+0.52 [+0.14, +3.12]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+2.11 [-0.77, +6.09]</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+6.53 [+4.40, +10.37]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+5.24 [+2.22, +7.93]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+5.73 [-1.03, +9.46]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R50mm</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derived threshold</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+15.54 [-4.83, +25.34]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+6.60 [+1.90, +23.87]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+14.76 [+10.55, +18.52]</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6</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+5.29 [+4.03, +13.12]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+9.67 [-0.79, +20.26]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+8.38 [-10.86, +18.38]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R95p</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derived tail</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-1.49 [-3.43, +2.32]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-2.59 [-4.10, +0.81]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-1.45 [-3.95, +0.08]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-2.85 [-6.95, +6.04]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-1.74 [-4.06, +6.80]</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-6.21 [-8.23, -3.05]</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R99p</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derived tail</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-9.21 [-19.36, +3.38]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-5.76 [-9.09, -0.23]</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-5.95 [-14.19, +18.91]</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+13.86 [-18.45, +17.46]</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+4.75 [-14.57, +24.42]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-5.98 [-15.71, +21.18]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sequence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+0.83 [+0.31, +1.71]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+1.09 [-1.41, +1.38]</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-0.15 [-1.51, +0.66]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+1.02 [-0.19, +4.74]</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+1.36 [-0.42, +3.17]</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-0.30 [-0.65, +1.35]</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sequence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-2.41 [-5.73, +0.30]</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-3.10 [-6.23, +0.69]</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-3.32 [-5.44, +1.26]</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+2.59 [-3.68, +7.09]</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+2.61 [-3.29, +6.82]</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+2.25 [-3.03, +6.77]</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1151"/>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107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sequence</w:t>
            </w:r>
          </w:p>
        </w:tc>
        <w:tc>
          <w:tcPr>
            <w:tcW w:type="dxa" w:w="1002"/>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+2.80 [-1.96, +6.70]</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+2.79 [-2.11, +6.71]</w:t>
            </w:r>
          </w:p>
        </w:tc>
        <w:tc>
          <w:tcPr>
            <w:tcW w:type="dxa" w:w="1819"/>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+1.73 [-1.89, +7.08]</w:t>
            </w:r>
          </w:p>
        </w:tc>
        <w:tc>
          <w:tcPr>
            <w:tcW w:type="dxa" w:w="334"/>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w:t>
            </w:r>
          </w:p>
        </w:tc>
      </w:tr>
      <w:tr>
        <w:tc>
          <w:tcPr>
            <w:tcW w:type="dxa" w:w="1151"/>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7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20"/>
                <w:szCs w:val="20"/>
              </w:rPr>
              <w:t xml:space="preserve"/>
            </w:r>
          </w:p>
        </w:tc>
        <w:tc>
          <w:tcPr>
            <w:tcW w:type="dxa" w:w="1002"/>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-1.97 [-4.50, +3.64]</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-1.61 [-4.60, +3.79]</w:t>
            </w:r>
          </w:p>
        </w:tc>
        <w:tc>
          <w:tcPr>
            <w:tcW w:type="dxa" w:w="1819"/>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-1.57 [-4.18, +3.52]</w:t>
            </w:r>
          </w:p>
        </w:tc>
        <w:tc>
          <w:tcPr>
            <w:tcW w:type="dxa" w:w="334"/>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20"/>
                <w:szCs w:val="20"/>
              </w:rPr>
              <w:t xml:space="preserve"/>
            </w:r>
          </w:p>
        </w:tc>
      </w:tr>
    </w:tbl>
    <w:p>
      <w:pPr>
        <w:keepNext/>
        <w:spacing w:after="20" w:before="60" w:lineRule="auto"/>
        <w:jc w:val="center"/>
      </w:pPr>
      <w:r>
        <w:drawing>
          <wp:inline distT="0" distB="0" distL="0" distR="0">
            <wp:extent cx="40195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619375"/>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4</w:t>
      </w:r>
      <w:r>
        <w:rPr>
          <w:rFonts w:ascii="Times New Roman" w:cs="Times New Roman" w:eastAsia="Times New Roman" w:hAnsi="Times New Roman"/>
          <w:b w:val="false"/>
          <w:bCs w:val="false"/>
          <w:i w:val="false"/>
          <w:iCs w:val="false"/>
          <w:sz w:val="18"/>
          <w:szCs w:val="18"/>
        </w:rPr>
        <w:t xml:space="preserve"> As Figure 3, for derived extreme-rainfall indices: (a) daily and threshold-derived extremes and (b) tail-derived and sequence-dependent indices, using the construction types of Table 2. Open hatched bars mark sequence-dependent indices.</w:t>
      </w:r>
    </w:p>
    <w:p>
      <w:pPr>
        <w:keepNext/>
        <w:spacing w:after="20" w:before="100" w:line="480"/>
        <w:jc w:val="left"/>
      </w:pPr>
      <w:r>
        <w:rPr>
          <w:rFonts w:ascii="Times New Roman" w:cs="Times New Roman" w:eastAsia="Times New Roman" w:hAnsi="Times New Roman"/>
          <w:b w:val="false"/>
          <w:bCs w:val="false"/>
          <w:i/>
          <w:iCs/>
          <w:sz w:val="20"/>
          <w:szCs w:val="20"/>
        </w:rPr>
        <w:t xml:space="preserve">3.5 Temporal dependence and persistence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Residual errors in the wet–dry sequence were very similar across the three methods (Supplementary Table S7). Over the validation period the mean absolute bias in the transition probability P(wet | wet) was 14.25% for QM/EQM, 14.32% for DetQM and 14.40% for QDM against 26.99% for the raw models; that improvement follows from the shared frequency adaptation, not from the intensity transformation. The lag-1 autocorrelation of occurrence was not improved by any method, at 29.79% to 29.81% against 28.43% before correction, and mean dry-spell length remained biased by 35.66% to 36.43% against 54.26%. The three methods differ by less than 1 percentage point on every sequencing statistic, while the residual against observations stays between a quarter and a third.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Signal-preservation errors for the two persistence indices are correspondingly small and method-insensitive, spanning −3.32% to +2.61% for maximum consecutive dry days and −1.97% to +2.80% for maximum consecutive wet days across the two scenarios. Both are reported as diagnostics, because a marginal transformation cannot reconstruct the sequence on which they are defined.</w:t>
      </w:r>
    </w:p>
    <w:p>
      <w:pPr>
        <w:keepNext/>
        <w:spacing w:after="20" w:before="100" w:line="480"/>
        <w:jc w:val="left"/>
      </w:pPr>
      <w:r>
        <w:rPr>
          <w:rFonts w:ascii="Times New Roman" w:cs="Times New Roman" w:eastAsia="Times New Roman" w:hAnsi="Times New Roman"/>
          <w:b w:val="false"/>
          <w:bCs w:val="false"/>
          <w:i/>
          <w:iCs/>
          <w:sz w:val="20"/>
          <w:szCs w:val="20"/>
        </w:rPr>
        <w:t xml:space="preserve">3.6 Relative roles of GCM and method effects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additive main effect of the bias-correction method was small in both scenarios (Table 3). It reached at most 5.4% of the total sum of squares, for q50 under SSP2-4.5, and at most 1.0% under SSP5-8.5, for R95p. The GCM main effect spanned 9.5% to 82.3% under SSP2-4.5 and 25.4% to 83.5% under SSP5-8.5.</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residual term was large throughout, from 17.6% to 90.2% under SSP2-4.5 and 16.3% to 74.5% under SSP5-8.5, and largest for the same indices on which the methods diverged most: 90.2% for days above 20 mm and 74.5% for days above 50 mm. Because station is not an explicit factor, this term carries station-level and higher-order variation as well as the GCM × method interaction and cannot be read as interaction alone.</w:t>
      </w:r>
    </w:p>
    <w:p>
      <w:pPr>
        <w:keepNext/>
        <w:keepLines/>
        <w:spacing w:after="60" w:before="40" w:line="240"/>
        <w:jc w:val="left"/>
      </w:pPr>
      <w:r>
        <w:rPr>
          <w:rFonts w:ascii="Times New Roman" w:cs="Times New Roman" w:eastAsia="Times New Roman" w:hAnsi="Times New Roman"/>
          <w:b/>
          <w:bCs/>
          <w:i w:val="false"/>
          <w:iCs w:val="false"/>
          <w:sz w:val="18"/>
          <w:szCs w:val="18"/>
        </w:rPr>
        <w:t xml:space="preserve">Table 3</w:t>
      </w:r>
      <w:r>
        <w:rPr>
          <w:rFonts w:ascii="Times New Roman" w:cs="Times New Roman" w:eastAsia="Times New Roman" w:hAnsi="Times New Roman"/>
          <w:b w:val="false"/>
          <w:bCs w:val="false"/>
          <w:i w:val="false"/>
          <w:iCs w:val="false"/>
          <w:sz w:val="18"/>
          <w:szCs w:val="18"/>
        </w:rPr>
        <w:t xml:space="preserve"> Descriptive two-factor sum-of-squares partition of the projected change by GCM and bias-correction method, computed separately for each scenario, for the indices discussed in Section 3.6; the full listing is in Supplementary Table S6. N is the number of GCM × method × gauge cells entering the partition and n the number of contributing models. The residual includes the GCM × method interaction together with station-level and higher-order unmodelled variation, because station is not an explicit factor. This is not a variance-component analysis.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585"/>
        <w:gridCol w:w="668"/>
        <w:gridCol w:w="1754"/>
        <w:gridCol w:w="1921"/>
        <w:gridCol w:w="1587"/>
      </w:tblGrid>
      <w:tr>
        <w:trPr>
          <w:tblHeader/>
        </w:trPr>
        <w:tc>
          <w:tcPr>
            <w:tcW w:type="dxa" w:w="125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Scenario</w:t>
            </w:r>
          </w:p>
        </w:tc>
        <w:tc>
          <w:tcPr>
            <w:tcW w:type="dxa" w:w="125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585"/>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N</w:t>
            </w:r>
          </w:p>
        </w:tc>
        <w:tc>
          <w:tcPr>
            <w:tcW w:type="dxa" w:w="668"/>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n</w:t>
            </w:r>
          </w:p>
        </w:tc>
        <w:tc>
          <w:tcPr>
            <w:tcW w:type="dxa" w:w="1754"/>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GCM main effect (%)</w:t>
            </w:r>
          </w:p>
        </w:tc>
        <w:tc>
          <w:tcPr>
            <w:tcW w:type="dxa" w:w="1921"/>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BC-method main effect (%)</w:t>
            </w:r>
          </w:p>
        </w:tc>
        <w:tc>
          <w:tcPr>
            <w:tcW w:type="dxa" w:w="158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Residual (%)</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78.3</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0.6</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21.1</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R20mm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9.5</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0.3</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90.2</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R50mm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214</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18.5</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0.2</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81.3</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R95p</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66.9</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0.1</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33.0</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63.6</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1.6</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34.9</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SSP2‑4.5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q50</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25.4</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5.4</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69.2</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83.5</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0.2</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16.3</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R20mm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42.2</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0.1</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57.8</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R50mm</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214</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25.4</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74.5</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R95p</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80.2</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18.9</w:t>
            </w:r>
          </w:p>
        </w:tc>
      </w:tr>
      <w:tr>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25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58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76.8</w:t>
            </w:r>
          </w:p>
        </w:tc>
        <w:tc>
          <w:tcPr>
            <w:tcW w:type="dxa" w:w="1921"/>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0.3</w:t>
            </w:r>
          </w:p>
        </w:tc>
        <w:tc>
          <w:tcPr>
            <w:tcW w:type="dxa" w:w="158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22.9</w:t>
            </w:r>
          </w:p>
        </w:tc>
      </w:tr>
      <w:tr>
        <w:tc>
          <w:tcPr>
            <w:tcW w:type="dxa" w:w="125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SSP5‑8.5</w:t>
            </w:r>
          </w:p>
        </w:tc>
        <w:tc>
          <w:tcPr>
            <w:tcW w:type="dxa" w:w="125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q50</w:t>
            </w:r>
          </w:p>
        </w:tc>
        <w:tc>
          <w:tcPr>
            <w:tcW w:type="dxa" w:w="585"/>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w:t>
            </w:r>
          </w:p>
        </w:tc>
        <w:tc>
          <w:tcPr>
            <w:tcW w:type="dxa" w:w="668"/>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w:t>
            </w:r>
          </w:p>
        </w:tc>
        <w:tc>
          <w:tcPr>
            <w:tcW w:type="dxa" w:w="1754"/>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52.5</w:t>
            </w:r>
          </w:p>
        </w:tc>
        <w:tc>
          <w:tcPr>
            <w:tcW w:type="dxa" w:w="1921"/>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0.4</w:t>
            </w:r>
          </w:p>
        </w:tc>
        <w:tc>
          <w:tcPr>
            <w:tcW w:type="dxa" w:w="158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47.0</w:t>
            </w:r>
          </w:p>
        </w:tc>
      </w:tr>
    </w:tbl>
    <w:p>
      <w:pPr>
        <w:keepNext/>
        <w:spacing w:after="20" w:before="60" w:lineRule="auto"/>
        <w:jc w:val="center"/>
      </w:pPr>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76450"/>
                    </a:xfrm>
                    <a:prstGeom prst="rect">
                      <a:avLst/>
                    </a:prstGeom>
                  </pic:spPr>
                </pic:pic>
              </a:graphicData>
            </a:graphic>
          </wp:inline>
        </w:drawing>
      </w:r>
    </w:p>
    <w:p>
      <w:pPr>
        <w:keepNext w:val="false"/>
        <w:keepLines/>
        <w:spacing w:after="80" w:before="40" w:line="240"/>
        <w:jc w:val="left"/>
      </w:pPr>
      <w:r>
        <w:rPr>
          <w:rFonts w:ascii="Times New Roman" w:cs="Times New Roman" w:eastAsia="Times New Roman" w:hAnsi="Times New Roman"/>
          <w:b/>
          <w:bCs/>
          <w:i w:val="false"/>
          <w:iCs w:val="false"/>
          <w:sz w:val="18"/>
          <w:szCs w:val="18"/>
        </w:rPr>
        <w:t xml:space="preserve">Figure 5</w:t>
      </w:r>
      <w:r>
        <w:rPr>
          <w:rFonts w:ascii="Times New Roman" w:cs="Times New Roman" w:eastAsia="Times New Roman" w:hAnsi="Times New Roman"/>
          <w:b w:val="false"/>
          <w:bCs w:val="false"/>
          <w:i w:val="false"/>
          <w:iCs w:val="false"/>
          <w:sz w:val="18"/>
          <w:szCs w:val="18"/>
        </w:rPr>
        <w:t xml:space="preserve"> Integrated comparison of signal-preservation error by bias-correction method for (a) SSP2-4.5 and (b) SSP5-8.5, on a common vertical scale. Values are those of Tables 1 and 2. Symbols are ensemble medians and bars the inter-model interquartile range. Indices on the shaded background are sequence-dependent diagnostics.</w:t>
      </w:r>
    </w:p>
    <w:p>
      <w:pPr>
        <w:keepNext/>
        <w:spacing w:after="40" w:before="120" w:line="480"/>
        <w:jc w:val="left"/>
      </w:pPr>
      <w:r>
        <w:rPr>
          <w:rFonts w:ascii="Times New Roman" w:cs="Times New Roman" w:eastAsia="Times New Roman" w:hAnsi="Times New Roman"/>
          <w:b/>
          <w:bCs/>
          <w:i w:val="false"/>
          <w:iCs w:val="false"/>
          <w:sz w:val="20"/>
          <w:szCs w:val="20"/>
        </w:rPr>
        <w:t xml:space="preserve">4. Discussion</w:t>
      </w:r>
    </w:p>
    <w:p>
      <w:pPr>
        <w:keepNext/>
        <w:spacing w:after="20" w:before="100" w:line="480"/>
        <w:jc w:val="left"/>
      </w:pPr>
      <w:r>
        <w:rPr>
          <w:rFonts w:ascii="Times New Roman" w:cs="Times New Roman" w:eastAsia="Times New Roman" w:hAnsi="Times New Roman"/>
          <w:b w:val="false"/>
          <w:bCs w:val="false"/>
          <w:i/>
          <w:iCs/>
          <w:sz w:val="20"/>
          <w:szCs w:val="20"/>
        </w:rPr>
        <w:t xml:space="preserve">4.1 Bias removal is not equivalent to out-of-sample performance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apparent ordering over the calibration period largely reflects the construction of the methods. QM and QDM coincide there by construction and DetQM differs only through its rescaling step, so the sub-1% errors in Supplementary Table S2 describe the transformations rather than their skill. Out of sample the three give similar errors on the primary metrics, differing by less than 1 percentage point (Supplementary Table S3), while the residual error of 15–34% is an order of magnitude larger than any difference between them. A comparison based on calibration-period agreement alone would support conclusions the independent period does not sustain.</w:t>
      </w:r>
    </w:p>
    <w:p>
      <w:pPr>
        <w:keepNext/>
        <w:spacing w:after="20" w:before="100" w:line="480"/>
        <w:jc w:val="left"/>
      </w:pPr>
      <w:r>
        <w:rPr>
          <w:rFonts w:ascii="Times New Roman" w:cs="Times New Roman" w:eastAsia="Times New Roman" w:hAnsi="Times New Roman"/>
          <w:b w:val="false"/>
          <w:bCs w:val="false"/>
          <w:i/>
          <w:iCs/>
          <w:sz w:val="20"/>
          <w:szCs w:val="20"/>
        </w:rPr>
        <w:t xml:space="preserve">4.2 No method preserves the climate signal consistently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signal-preservation results do not order the three methods. Across the sixteen indices the smallest absolute error was returned by QDM in 17 of 32 scenario-index combinations, by DetQM in 9 and by QM/EQM in 6, and for only eight of the sixteen indices was the same method smallest under both scenarios. A ranking established under one forcing pathway therefore transfers to the other for only half the indices examined.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departures from the design objectives are instructive. QDM gave the smallest absolute error at q99 under both scenarios, which is what a quantile-level delta is built to achieve, but at q95 only under SSP5-8.5 and at q90 under neither; DetQM was smallest for SDII and q50 under SSP2-4.5 but not under SSP5-8.5; and QM/EQM, which makes no explicit provision for the signal, was smallest in six combinations including q90 under both.</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magnitudes are as informative as the ordering. For the bulk statistics and direct quantiles every median error lies within 4.18% of zero, and the spread between best and worst method is 0.52 and 1.25 percentage points for annual precipitation. Where the raw signal is a mean or a quantile of the corrected distribution, all three transformations reproduce it closely enough that the choice between them is of little consequence.</w:t>
      </w:r>
    </w:p>
    <w:p>
      <w:pPr>
        <w:keepNext/>
        <w:spacing w:after="20" w:before="100" w:line="480"/>
        <w:jc w:val="left"/>
      </w:pPr>
      <w:r>
        <w:rPr>
          <w:rFonts w:ascii="Times New Roman" w:cs="Times New Roman" w:eastAsia="Times New Roman" w:hAnsi="Times New Roman"/>
          <w:b w:val="false"/>
          <w:bCs w:val="false"/>
          <w:i/>
          <w:iCs/>
          <w:sz w:val="20"/>
          <w:szCs w:val="20"/>
        </w:rPr>
        <w:t xml:space="preserve">4.3 Derived extremes behave differently from the quantiles they are built 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picture changes for indices computed from the corrected sequence rather than read from the corrected distribution: median errors reach +15.54% for the frequency of days above 50 mm, and the spread between best and worst method reaches 8.94 percentage points for that index and 19.84 for R99p.</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method with the smallest absolute signal-preservation error for a direct quantile is not systematically the method with the smallest error for the indices derived from it. Under SSP5-8.5, QDM gave the smallest absolute error at q95 and q99 yet the largest at R95p; under SSP2-4.5, DetQM was smallest for both q95 and the frequency of days above 50 mm, while QDM was smallest at q99 and DetQM at R99p. Preservation of a direct quantile signal and preservation of a derived threshold or tail index are separate properties, and the answer to RQ5 is negative.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Threshold indices can respond more strongly than quantiles to small magnitude changes near a fixed boundary, although this mechanism was not isolated here. The estimates for the rarest indices also rest on the fewest data, with only six GCMs contributing to the frequency of days above 50 mm, so the wide interquartile ranges in Figure 4 are part of the result rather than noise around it.</w:t>
      </w:r>
    </w:p>
    <w:p>
      <w:pPr>
        <w:keepNext/>
        <w:spacing w:after="20" w:before="100" w:line="480"/>
        <w:jc w:val="left"/>
      </w:pPr>
      <w:r>
        <w:rPr>
          <w:rFonts w:ascii="Times New Roman" w:cs="Times New Roman" w:eastAsia="Times New Roman" w:hAnsi="Times New Roman"/>
          <w:b w:val="false"/>
          <w:bCs w:val="false"/>
          <w:i/>
          <w:iCs/>
          <w:sz w:val="20"/>
          <w:szCs w:val="20"/>
        </w:rPr>
        <w:t xml:space="preserve">4.4 Temporal dependence remains a separate problem</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None of the methods reconstructs event sequencing, and the results show that this limitation is not method-sensitive. Quantile mapping assigns magnitudes to ranks; the only mechanism altering the wet–dry sequence is the shared frequency adaptation, which changes which days count as wet. It roughly halves the bias in the transition probability P(wet | wet) but leaves the lag-1 autocorrelation of occurrence unimproved and dry-spell length biased by more than a third. Because the mechanism is shared, the three methods differ by less than 1 percentage point on every sequencing statistic, and the residual against observations is between a quarter and a third whichever method is chosen.</w:t>
      </w:r>
    </w:p>
    <w:p>
      <w:pPr>
        <w:keepNext/>
        <w:spacing w:after="20" w:before="100" w:line="480"/>
        <w:jc w:val="left"/>
      </w:pPr>
      <w:r>
        <w:rPr>
          <w:rFonts w:ascii="Times New Roman" w:cs="Times New Roman" w:eastAsia="Times New Roman" w:hAnsi="Times New Roman"/>
          <w:b w:val="false"/>
          <w:bCs w:val="false"/>
          <w:i/>
          <w:iCs/>
          <w:sz w:val="20"/>
          <w:szCs w:val="20"/>
        </w:rPr>
        <w:t xml:space="preserve">4.5 Implications for impact studies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Method selection should follow the target quantity. For annual precipitation and the wet-day quantiles the differences between methods are small relative to the errors themselves, and any of the three would support the same conclusion; whether that carries over to a hydrological application is a separate question this study does not test, because no water-balance or runoff model was run. For indices built on threshold exceedance the differences are far larger and their sign changes between scenarios, so a study reporting a single method conveys less than the evidence supports; reporting two corrections, or stating which signal property the chosen one protects, costs little. For drought-duration and spell-length indicators the limiting factor is not the choice of method but the uncorrected sequencing, which points towards approaches that model occurrence explicitly rather than towards another quantile-mapping variant.</w:t>
      </w:r>
    </w:p>
    <w:p>
      <w:pPr>
        <w:keepNext/>
        <w:spacing w:after="20" w:before="100" w:line="480"/>
        <w:jc w:val="left"/>
      </w:pPr>
      <w:r>
        <w:rPr>
          <w:rFonts w:ascii="Times New Roman" w:cs="Times New Roman" w:eastAsia="Times New Roman" w:hAnsi="Times New Roman"/>
          <w:b w:val="false"/>
          <w:bCs w:val="false"/>
          <w:i/>
          <w:iCs/>
          <w:sz w:val="20"/>
          <w:szCs w:val="20"/>
        </w:rPr>
        <w:t xml:space="preserve">4.6 Limitations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Each model contributes one realisation, so the forced response cannot be separated from internal variability, and the network comprises 13 gauges over one province with no station history metadata, so residual observational heterogeneity cannot be excluded. Raw model fields deliver only one to five distinct series across the study area, limiting spatial inference, and only two emission pathways and one future window were examined. All three methods are marginal daily transformations, so the comparison cannot establish how a method that models temporal structure explicitly would behave. The decomposition in Table 6 is a main-effect partition and does not resolve the interaction term it reports.</w:t>
      </w:r>
    </w:p>
    <w:p>
      <w:pPr>
        <w:keepNext/>
        <w:spacing w:after="40" w:before="120" w:line="480"/>
        <w:jc w:val="left"/>
      </w:pPr>
      <w:r>
        <w:rPr>
          <w:rFonts w:ascii="Times New Roman" w:cs="Times New Roman" w:eastAsia="Times New Roman" w:hAnsi="Times New Roman"/>
          <w:b/>
          <w:bCs/>
          <w:i w:val="false"/>
          <w:iCs w:val="false"/>
          <w:sz w:val="20"/>
          <w:szCs w:val="20"/>
        </w:rPr>
        <w:t xml:space="preserve">5. Conclusion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three methods substantially reduced historical marginal bias, but their differences narrowed under independent validation and none improved maximum consecutive dry days. Climate-signal preservation stayed close to each model's own raw change for bulk statistics and direct quantiles, while method differences were larger and more variable for derived threshold and tail indices. No method had the smallest absolute error consistently across scenarios and indices. Temporal-dependence errors were similar among the three, reflecting the shared marginal framework. Method choice should be matched to the rainfall characteristic and climate-signal property of interest, not judged by historical bias reduction alone.</w:t>
      </w:r>
    </w:p>
    <w:p>
      <w:pPr>
        <w:keepNext/>
        <w:spacing w:after="40" w:before="120" w:line="480"/>
        <w:jc w:val="left"/>
      </w:pPr>
      <w:r>
        <w:rPr>
          <w:rFonts w:ascii="Times New Roman" w:cs="Times New Roman" w:eastAsia="Times New Roman" w:hAnsi="Times New Roman"/>
          <w:b/>
          <w:bCs/>
          <w:i w:val="false"/>
          <w:iCs w:val="false"/>
          <w:sz w:val="20"/>
          <w:szCs w:val="20"/>
        </w:rPr>
        <w:t xml:space="preserve">6. Ethical Approval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Not applicable: the study used meteorological station records and publicly archived model output, with no human participants or animals.</w:t>
      </w:r>
    </w:p>
    <w:p>
      <w:pPr>
        <w:keepNext/>
        <w:spacing w:after="40" w:before="120" w:line="480"/>
        <w:jc w:val="left"/>
      </w:pPr>
      <w:r>
        <w:rPr>
          <w:rFonts w:ascii="Times New Roman" w:cs="Times New Roman" w:eastAsia="Times New Roman" w:hAnsi="Times New Roman"/>
          <w:b/>
          <w:bCs/>
          <w:i w:val="false"/>
          <w:iCs w:val="false"/>
          <w:sz w:val="20"/>
          <w:szCs w:val="20"/>
        </w:rPr>
        <w:t xml:space="preserve">7. Acknowledgements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author thanks the Royal Irrigation Department and the Thai Meteorological Department for the rain-gauge records, the World Climate Research Programme for coordinating CMIP6, and the modelling groups listed in Section 2.3 for making their output available.</w:t>
      </w:r>
    </w:p>
    <w:p>
      <w:pPr>
        <w:keepNext/>
        <w:spacing w:after="40" w:before="120" w:line="480"/>
        <w:jc w:val="left"/>
      </w:pPr>
      <w:r>
        <w:rPr>
          <w:rFonts w:ascii="Times New Roman" w:cs="Times New Roman" w:eastAsia="Times New Roman" w:hAnsi="Times New Roman"/>
          <w:b/>
          <w:bCs/>
          <w:i w:val="false"/>
          <w:iCs w:val="false"/>
          <w:sz w:val="20"/>
          <w:szCs w:val="20"/>
        </w:rPr>
        <w:t xml:space="preserve">8. Author Contributions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Punyawansiri, S.: Conceptualization, Methodology, Software, Formal analysis, Data curation, Validation, Visualization, Writing – original draft, Writing – review &amp; editing.</w:t>
      </w:r>
    </w:p>
    <w:p>
      <w:pPr>
        <w:keepNext/>
        <w:spacing w:after="40" w:before="120" w:line="480"/>
        <w:jc w:val="left"/>
      </w:pPr>
      <w:r>
        <w:rPr>
          <w:rFonts w:ascii="Times New Roman" w:cs="Times New Roman" w:eastAsia="Times New Roman" w:hAnsi="Times New Roman"/>
          <w:b/>
          <w:bCs/>
          <w:i w:val="false"/>
          <w:iCs w:val="false"/>
          <w:sz w:val="20"/>
          <w:szCs w:val="20"/>
        </w:rPr>
        <w:t xml:space="preserve">9. Conflicts of Interest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author declares no conflict of interest.</w:t>
      </w:r>
    </w:p>
    <w:p>
      <w:pPr>
        <w:keepNext/>
        <w:spacing w:after="40" w:before="120" w:line="480"/>
        <w:jc w:val="left"/>
      </w:pPr>
      <w:r>
        <w:rPr>
          <w:rFonts w:ascii="Times New Roman" w:cs="Times New Roman" w:eastAsia="Times New Roman" w:hAnsi="Times New Roman"/>
          <w:b/>
          <w:bCs/>
          <w:i w:val="false"/>
          <w:iCs w:val="false"/>
          <w:sz w:val="20"/>
          <w:szCs w:val="20"/>
        </w:rPr>
        <w:t xml:space="preserve">10. Declaration of Generative AI and AI-Assisted Technologies in the Writing Process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During the preparation of this work the author used a generative AI assistant for code review, statistical verification and language editing. The author reviewed and edited the content afterwards and takes full responsibility for the publication.</w:t>
      </w:r>
    </w:p>
    <w:p>
      <w:pPr>
        <w:keepNext/>
        <w:spacing w:after="40" w:before="120" w:line="480"/>
        <w:jc w:val="left"/>
      </w:pPr>
      <w:r>
        <w:rPr>
          <w:rFonts w:ascii="Times New Roman" w:cs="Times New Roman" w:eastAsia="Times New Roman" w:hAnsi="Times New Roman"/>
          <w:b/>
          <w:bCs/>
          <w:i w:val="false"/>
          <w:iCs w:val="false"/>
          <w:sz w:val="20"/>
          <w:szCs w:val="20"/>
        </w:rPr>
        <w:t xml:space="preserve">11. References</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 Cannon AJ, Sobie SR, Murdock TQ. Bias correction of GCM precipitation by quantile mapping: how well do methods preserve changes in quantiles and extremes? J Clim. 2015;28(17):6938-6959.</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[2] Maraun D. Bias correcting climate change simulations: a critical review. Curr Clim Change Rep. 2016;2(4):211-220.</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[3] Teutschbein C, Seibert J. Bias correction of regional climate model simulations for hydrological climate-change impact studies: review and evaluation of different methods. J Hydrol. 2012;456-457:12-29.</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[4] Khadka D, Babel MS, Collins M, Shrestha S, Virdis SGP, Chen AS. Projected changes in the near-future mean climate and extreme climate events in northeast Thailand. Int J Climatol. 2022;42(2):1088-1111.</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[5] Kuinkel D, Promchote P, Upreti KR, Aryal D, Bhandari S, Adhikari S. Projected changes in precipitation extremes in southern Thailand using CMIP6 models. Theor Appl Climatol. 2024;155(9):8703-8716.</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[6] Eyring V, Bony S, Meehl GA, Senior CA, Stevens B, Stouffer RJ, et al. Overview of the Coupled Model Intercomparison Project Phase 6 (CMIP6) experimental design and organization. Geosci Model Dev. 2016;9(5):1937-1958.</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[7] O'Neill BC, Tebaldi C, van Vuuren DP, Eyring V, Friedlingstein P, Hurtt G, et al. The Scenario Model Intercomparison Project (ScenarioMIP) for CMIP6. Geosci Model Dev. 2016;9(9):3461-3482.</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[8] Ziehn T, Chamberlain MA, Law RM, Lenton A, Bodman RW, Dix M, et al. The Australian Earth System Model: ACCESS-ESM1.5. J South Hemisph Earth Syst Sci. 2020;70(1):193-214.</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[9] Danabasoglu G, Lamarque JF, Bacmeister J, Bailey DA, DuVivier AK, Edwards J, et al. The Community Earth System Model version 2 (CESM2). J Adv Model Earth Syst. 2020;12(2):e2019MS001916.</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[10] Swart NC, Cole JNS, Kharin VV, Lazare M, Scinocca JF, Gillett NP, et al. The Canadian Earth System Model version 5 (CanESM5.0.3). Geosci Model Dev. 2019;12(11):4823-4873.</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[11] Döscher R, Acosta M, Alessandri A, Anthoni P, Arneth A, Arsouze T, et al. The EC-Earth3 Earth system model for the Coupled Model Intercomparison Project 6. Geosci Model Dev. 2022;15(7):2973-3020.</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[12] Li L, Yu Y, Tang Y, Lin P, Xie J, Song M, et al. The Flexible Global Ocean-Atmosphere-Land System Model grid-point version 3 (FGOALS-g3): description and evaluation. J Adv Model Earth Syst. 2020;12(9):e2019MS002012.</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[13] Tatebe H, Ogura T, Nitta T, Komuro Y, Ogochi K, Takemura T, et al. Description and basic evaluation of simulated mean state, internal variability, and climate sensitivity in MIROC6. Geosci Model Dev. 2019;12(7):2727-2765.</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[14] Yukimoto S, Kawai H, Koshiro T, Oshima N, Yoshida K, Urakawa S, et al. The Meteorological Research Institute Earth System Model version 2.0, MRI-ESM2.0: description and basic evaluation of the physical component. J Meteorol Soc Jpn. 2019;97(5):931-965.</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[15] Themeßl MJ, Gobiet A, Heinrich G. Empirical-statistical downscaling and error correction of regional climate models and its impact on the climate change signal. Clim Change. 2012;112(2):449-468.</w:t>
      </w:r>
    </w:p>
    <w:p>
      <w:pPr>
        <w:spacing w:after="20" w:line="240"/>
        <w:ind w:left="360" w:hanging="360"/>
        <w:jc w:val="both"/>
      </w:pPr>
      <w:r>
        <w:rPr>
          <w:rFonts w:ascii="Times New Roman" w:cs="Times New Roman" w:eastAsia="Times New Roman" w:hAnsi="Times New Roman"/>
          <w:b w:val="false"/>
          <w:bCs w:val="false"/>
          <w:i w:val="false"/>
          <w:iCs w:val="false"/>
          <w:sz w:val="20"/>
          <w:szCs w:val="20"/>
        </w:rPr>
        <w:t xml:space="preserve">[16] World Climate Research Programme. Climate change indices. In: Expert Team on Climate Change Detection and Indices (ETCCDI) [Internet]. 2020 [cited 2026 Aug 31]. Available from: http://etccdi.pacificclimate.org</w:t>
      </w:r>
    </w:p>
    <w:sectPr>
      <w:pgSz w:w="11908" w:h="16833" w:orient="portrait"/>
      <w:pgMar w:top="1440" w:right="1440" w:bottom="1440" w:left="1440" w:header="708" w:footer="708" w:gutter="0"/>
      <w:lnNumType w:countBy="1" w:start="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0cdd48c396f4268166214ad85776656ba773b1.png"/><Relationship Id="rId8" Type="http://schemas.openxmlformats.org/officeDocument/2006/relationships/image" Target="media/700eadd324e5333da943560495c8fb57cc858f04.png"/><Relationship Id="rId9" Type="http://schemas.openxmlformats.org/officeDocument/2006/relationships/image" Target="media/b6554fbb5e994d72910cd82d18081ee1b17b1735.png"/><Relationship Id="rId10" Type="http://schemas.openxmlformats.org/officeDocument/2006/relationships/image" Target="media/8e474c156daba3bdc4661ab022b1b7028c83a260.png"/><Relationship Id="rId11" Type="http://schemas.openxmlformats.org/officeDocument/2006/relationships/image" Target="media/291065ffdc919c27679d3e836062af2780b556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Un-named</cp:lastModifiedBy>
  <cp:revision>1</cp:revision>
  <dcterms:created xsi:type="dcterms:W3CDTF">2026-09-01T19:46:57.757Z</dcterms:created>
  <dcterms:modified xsi:type="dcterms:W3CDTF">2026-09-01T19:46:57.757Z</dcterms:modified>
</cp:coreProperties>
</file>

<file path=docProps/custom.xml><?xml version="1.0" encoding="utf-8"?>
<Properties xmlns="http://schemas.openxmlformats.org/officeDocument/2006/custom-properties" xmlns:vt="http://schemas.openxmlformats.org/officeDocument/2006/docPropsVTypes"/>
</file>