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2"/>
        </w:rPr>
        <w:t>Observed Baseline Climatology, Extreme Precipitation Indices, and CMIP6 Projections over Uttaradit Province, Thailand</w:t>
      </w:r>
    </w:p>
    <w:p>
      <w:pPr>
        <w:jc w:val="center"/>
      </w:pPr>
      <w:r>
        <w:rPr>
          <w:rFonts w:ascii="Arial" w:hAnsi="Arial"/>
          <w:i/>
          <w:sz w:val="19"/>
        </w:rPr>
        <w:t>Target: Scopus Q1–Q2 Climate Journal | Study Area: Uttaradit Province | Baseline: 1995–2014 | Projections: 2021–2050</w:t>
      </w:r>
    </w:p>
    <w:p>
      <w:pPr>
        <w:pStyle w:val="Heading1"/>
      </w:pPr>
      <w:r>
        <w:rPr>
          <w:color w:val="1B365D"/>
        </w:rPr>
        <w:t>Abstract</w:t>
      </w:r>
    </w:p>
    <w:p>
      <w:r>
        <w:t>Accurate assessment of precipitation extremes and their future projections is critical for resilient water resources management in the Upper Nan River basin and the operational security of the Sirikit Dam in Uttaradit Province, Northern Thailand. This study establishes a rigorous baseline climatology of daily precipitation and 11 Expert Team on Climate Change Detection and Indices (ETCCDI) extreme metrics across 13 meteorological stations for the authoritative 1995–2014 period, and evaluates the performance and future projections of seven Coupled Model Intercomparison Project Phase 6 (CMIP6) General Circulation Models (GCMs). Baseline mean annual precipitation across Uttaradit averaged 1139.80 ± 213.19 mm (ranging from 947.71 mm at Station 351012 to 1425.06 mm at Station 351003), with 77.8% (886.85 mm) concentrated during the Southwest Monsoon wet season (May–October). Pre-computed Quantile Delta Mapping (QDM) bias correction reduced the raw multi-model ensemble annual rainfall bias from -307.13 mm (-26.9%) to -69.90 mm (-6.1%), representing an aggregate absolute bias reduction of 77.2% and an average model-specific bias reduction of 73.3% across the seven GCMs. Under near-term future warming (2021–2050), the multi-model ensemble projects modest increases in mean annual rainfall of +2.5% (+23.60 mm) under SSP2-4.5 and +1.2% (+11.70 mm) under SSP5-8.5. These findings provide an evidence-based foundation for flood hazard mitigation, reservoir operational scheduling, and climate adaptation in northern Thailand.</w:t>
      </w:r>
    </w:p>
    <w:p>
      <w:r>
        <w:rPr>
          <w:b/>
        </w:rPr>
        <w:t xml:space="preserve">Keywords: </w:t>
      </w:r>
      <w:r>
        <w:t>CMIP6; ETCCDI; extreme precipitation; Quantile Delta Mapping; Uttaradit; Sirikit Dam; Northern Thailand.</w:t>
      </w:r>
    </w:p>
    <w:p>
      <w:pPr>
        <w:pStyle w:val="Heading1"/>
      </w:pPr>
      <w:r>
        <w:rPr>
          <w:color w:val="1B365D"/>
        </w:rPr>
        <w:t>1. Introduction</w:t>
      </w:r>
    </w:p>
    <w:p>
      <w:r>
        <w:t>Precipitation extremes represent one of the most critical drivers of hydrologic vulnerability in Southeast Asia. In Northern Thailand, the province of Uttaradit occupies a pivotal hydrologic position within the Upper Nan River basin, hosting the Sirikit Multipurpose Dam...</w:t>
      </w:r>
    </w:p>
    <w:p>
      <w:pPr>
        <w:pStyle w:val="Heading1"/>
      </w:pPr>
      <w:r>
        <w:rPr>
          <w:color w:val="1B365D"/>
        </w:rPr>
        <w:t>2. Materials and Methods</w:t>
      </w:r>
    </w:p>
    <w:p>
      <w:r>
        <w:t>Uttaradit Province covers approximately 7,838 km² in northern Thailand. Daily rainfall records were obtained from the Thai Meteorological Department (TMD) for 13 official rain gauge stations... Historical baseline was strictly locked to 1995–2014 per CMIP6 protocol.</w:t>
      </w:r>
    </w:p>
    <w:p>
      <w:pPr>
        <w:pStyle w:val="Heading1"/>
      </w:pPr>
      <w:r>
        <w:rPr>
          <w:color w:val="1B365D"/>
        </w:rPr>
        <w:t>3. Results</w:t>
      </w:r>
    </w:p>
    <w:p>
      <w:r>
        <w:t>Baseline mean annual precipitation averaged 1139.80 mm. Seasonal partitioning demonstrates that 77.8% occurs during May–October. 11 ETCCDI indices confirm strong topographic contrasts across districts...</w:t>
      </w:r>
    </w:p>
    <w:p>
      <w:pPr>
        <w:pStyle w:val="Heading1"/>
      </w:pPr>
      <w:r>
        <w:rPr>
          <w:color w:val="1B365D"/>
        </w:rPr>
        <w:t>4. Discussion</w:t>
      </w:r>
    </w:p>
    <w:p>
      <w:r>
        <w:t>The observed spatial variability reflects complex mountainous terrain flanking the Nan River basin. Pre-computed QDM bias correction substantially improves GCM fidelity...</w:t>
      </w:r>
    </w:p>
    <w:p>
      <w:pPr>
        <w:pStyle w:val="Heading1"/>
      </w:pPr>
      <w:r>
        <w:rPr>
          <w:color w:val="1B365D"/>
        </w:rPr>
        <w:t>5. Conclusions</w:t>
      </w:r>
    </w:p>
    <w:p>
      <w:r>
        <w:t>This investigation delivers an authoritative, reproducible baseline and climate projection assessment for Uttaradit Province across 13 stations...</w:t>
      </w:r>
    </w:p>
    <w:p>
      <w:r>
        <w:rPr>
          <w:b/>
        </w:rPr>
        <w:t>Table 1. Geographic and climatological characteristics of the 13 meteorological stations in Uttaradit Province (1995–2014 baseline).</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val="single" w:sz="4" w:space="0" w:color="auto"/>
              <w:left w:val="none"/>
              <w:bottom w:val="single" w:sz="4" w:space="0" w:color="auto"/>
              <w:right w:val="none"/>
            </w:tcBorders>
          </w:tcPr>
          <w:p>
            <w:pPr>
              <w:jc w:val="center"/>
            </w:pPr>
            <w:r>
              <w:rPr>
                <w:b/>
                <w:sz w:val="15"/>
              </w:rPr>
              <w:t>Station ID</w:t>
            </w:r>
          </w:p>
        </w:tc>
        <w:tc>
          <w:tcPr>
            <w:tcW w:type="dxa" w:w="1080"/>
            <w:tcBorders>
              <w:top w:val="single" w:sz="4" w:space="0" w:color="auto"/>
              <w:left w:val="none"/>
              <w:bottom w:val="single" w:sz="4" w:space="0" w:color="auto"/>
              <w:right w:val="none"/>
            </w:tcBorders>
          </w:tcPr>
          <w:p>
            <w:pPr>
              <w:jc w:val="center"/>
            </w:pPr>
            <w:r>
              <w:rPr>
                <w:b/>
                <w:sz w:val="15"/>
              </w:rPr>
              <w:t>District</w:t>
            </w:r>
          </w:p>
        </w:tc>
        <w:tc>
          <w:tcPr>
            <w:tcW w:type="dxa" w:w="1080"/>
            <w:tcBorders>
              <w:top w:val="single" w:sz="4" w:space="0" w:color="auto"/>
              <w:left w:val="none"/>
              <w:bottom w:val="single" w:sz="4" w:space="0" w:color="auto"/>
              <w:right w:val="none"/>
            </w:tcBorders>
          </w:tcPr>
          <w:p>
            <w:pPr>
              <w:jc w:val="center"/>
            </w:pPr>
            <w:r>
              <w:rPr>
                <w:b/>
                <w:sz w:val="15"/>
              </w:rPr>
              <w:t>Latitude (°N)</w:t>
            </w:r>
          </w:p>
        </w:tc>
        <w:tc>
          <w:tcPr>
            <w:tcW w:type="dxa" w:w="1080"/>
            <w:tcBorders>
              <w:top w:val="single" w:sz="4" w:space="0" w:color="auto"/>
              <w:left w:val="none"/>
              <w:bottom w:val="single" w:sz="4" w:space="0" w:color="auto"/>
              <w:right w:val="none"/>
            </w:tcBorders>
          </w:tcPr>
          <w:p>
            <w:pPr>
              <w:jc w:val="center"/>
            </w:pPr>
            <w:r>
              <w:rPr>
                <w:b/>
                <w:sz w:val="15"/>
              </w:rPr>
              <w:t>Longitude (°E)</w:t>
            </w:r>
          </w:p>
        </w:tc>
        <w:tc>
          <w:tcPr>
            <w:tcW w:type="dxa" w:w="1080"/>
            <w:tcBorders>
              <w:top w:val="single" w:sz="4" w:space="0" w:color="auto"/>
              <w:left w:val="none"/>
              <w:bottom w:val="single" w:sz="4" w:space="0" w:color="auto"/>
              <w:right w:val="none"/>
            </w:tcBorders>
          </w:tcPr>
          <w:p>
            <w:pPr>
              <w:jc w:val="center"/>
            </w:pPr>
            <w:r>
              <w:rPr>
                <w:b/>
                <w:sz w:val="15"/>
              </w:rPr>
              <w:t>Elevation (m)</w:t>
            </w:r>
          </w:p>
        </w:tc>
        <w:tc>
          <w:tcPr>
            <w:tcW w:type="dxa" w:w="1080"/>
            <w:tcBorders>
              <w:top w:val="single" w:sz="4" w:space="0" w:color="auto"/>
              <w:left w:val="none"/>
              <w:bottom w:val="single" w:sz="4" w:space="0" w:color="auto"/>
              <w:right w:val="none"/>
            </w:tcBorders>
          </w:tcPr>
          <w:p>
            <w:pPr>
              <w:jc w:val="center"/>
            </w:pPr>
            <w:r>
              <w:rPr>
                <w:b/>
                <w:sz w:val="15"/>
              </w:rPr>
              <w:t>Mean Ann (mm)</w:t>
            </w:r>
          </w:p>
        </w:tc>
        <w:tc>
          <w:tcPr>
            <w:tcW w:type="dxa" w:w="1080"/>
            <w:tcBorders>
              <w:top w:val="single" w:sz="4" w:space="0" w:color="auto"/>
              <w:left w:val="none"/>
              <w:bottom w:val="single" w:sz="4" w:space="0" w:color="auto"/>
              <w:right w:val="none"/>
            </w:tcBorders>
          </w:tcPr>
          <w:p>
            <w:pPr>
              <w:jc w:val="center"/>
            </w:pPr>
            <w:r>
              <w:rPr>
                <w:b/>
                <w:sz w:val="15"/>
              </w:rPr>
              <w:t>SD (mm)</w:t>
            </w:r>
          </w:p>
        </w:tc>
        <w:tc>
          <w:tcPr>
            <w:tcW w:type="dxa" w:w="1080"/>
            <w:tcBorders>
              <w:top w:val="single" w:sz="4" w:space="0" w:color="auto"/>
              <w:left w:val="none"/>
              <w:bottom w:val="single" w:sz="4" w:space="0" w:color="auto"/>
              <w:right w:val="none"/>
            </w:tcBorders>
          </w:tcPr>
          <w:p>
            <w:pPr>
              <w:jc w:val="center"/>
            </w:pPr>
            <w:r>
              <w:rPr>
                <w:b/>
                <w:sz w:val="15"/>
              </w:rPr>
              <w:t>CV (%)</w:t>
            </w:r>
          </w:p>
        </w:tc>
      </w:tr>
      <w:tr>
        <w:tc>
          <w:tcPr>
            <w:tcW w:type="dxa" w:w="1080"/>
          </w:tcPr>
          <w:p>
            <w:pPr>
              <w:jc w:val="left"/>
            </w:pPr>
            <w:r>
              <w:rPr>
                <w:sz w:val="14"/>
              </w:rPr>
              <w:t>351001</w:t>
            </w:r>
          </w:p>
        </w:tc>
        <w:tc>
          <w:tcPr>
            <w:tcW w:type="dxa" w:w="1080"/>
          </w:tcPr>
          <w:p>
            <w:pPr>
              <w:jc w:val="left"/>
            </w:pPr>
            <w:r>
              <w:rPr>
                <w:sz w:val="14"/>
              </w:rPr>
              <w:t>Phichai</w:t>
            </w:r>
          </w:p>
        </w:tc>
        <w:tc>
          <w:tcPr>
            <w:tcW w:type="dxa" w:w="1080"/>
          </w:tcPr>
          <w:p>
            <w:pPr>
              <w:jc w:val="right"/>
            </w:pPr>
            <w:r>
              <w:rPr>
                <w:sz w:val="14"/>
              </w:rPr>
              <w:t>17.23</w:t>
            </w:r>
          </w:p>
        </w:tc>
        <w:tc>
          <w:tcPr>
            <w:tcW w:type="dxa" w:w="1080"/>
          </w:tcPr>
          <w:p>
            <w:pPr>
              <w:jc w:val="right"/>
            </w:pPr>
            <w:r>
              <w:rPr>
                <w:sz w:val="14"/>
              </w:rPr>
              <w:t>100.10</w:t>
            </w:r>
          </w:p>
        </w:tc>
        <w:tc>
          <w:tcPr>
            <w:tcW w:type="dxa" w:w="1080"/>
          </w:tcPr>
          <w:p>
            <w:pPr>
              <w:jc w:val="right"/>
            </w:pPr>
            <w:r>
              <w:rPr>
                <w:sz w:val="14"/>
              </w:rPr>
              <w:t>54.57</w:t>
            </w:r>
          </w:p>
        </w:tc>
        <w:tc>
          <w:tcPr>
            <w:tcW w:type="dxa" w:w="1080"/>
          </w:tcPr>
          <w:p>
            <w:pPr>
              <w:jc w:val="right"/>
            </w:pPr>
            <w:r>
              <w:rPr>
                <w:sz w:val="14"/>
              </w:rPr>
              <w:t>995.65</w:t>
            </w:r>
          </w:p>
        </w:tc>
        <w:tc>
          <w:tcPr>
            <w:tcW w:type="dxa" w:w="1080"/>
          </w:tcPr>
          <w:p>
            <w:pPr>
              <w:jc w:val="right"/>
            </w:pPr>
            <w:r>
              <w:rPr>
                <w:sz w:val="14"/>
              </w:rPr>
              <w:t>125.39</w:t>
            </w:r>
          </w:p>
        </w:tc>
        <w:tc>
          <w:tcPr>
            <w:tcW w:type="dxa" w:w="1080"/>
          </w:tcPr>
          <w:p>
            <w:pPr>
              <w:jc w:val="right"/>
            </w:pPr>
            <w:r>
              <w:rPr>
                <w:sz w:val="14"/>
              </w:rPr>
              <w:t>12.6</w:t>
            </w:r>
          </w:p>
        </w:tc>
      </w:tr>
      <w:tr>
        <w:tc>
          <w:tcPr>
            <w:tcW w:type="dxa" w:w="1080"/>
          </w:tcPr>
          <w:p>
            <w:pPr>
              <w:jc w:val="left"/>
            </w:pPr>
            <w:r>
              <w:rPr>
                <w:sz w:val="14"/>
              </w:rPr>
              <w:t>351002</w:t>
            </w:r>
          </w:p>
        </w:tc>
        <w:tc>
          <w:tcPr>
            <w:tcW w:type="dxa" w:w="1080"/>
          </w:tcPr>
          <w:p>
            <w:pPr>
              <w:jc w:val="left"/>
            </w:pPr>
            <w:r>
              <w:rPr>
                <w:sz w:val="14"/>
              </w:rPr>
              <w:t>Tron</w:t>
            </w:r>
          </w:p>
        </w:tc>
        <w:tc>
          <w:tcPr>
            <w:tcW w:type="dxa" w:w="1080"/>
          </w:tcPr>
          <w:p>
            <w:pPr>
              <w:jc w:val="right"/>
            </w:pPr>
            <w:r>
              <w:rPr>
                <w:sz w:val="14"/>
              </w:rPr>
              <w:t>17.42</w:t>
            </w:r>
          </w:p>
        </w:tc>
        <w:tc>
          <w:tcPr>
            <w:tcW w:type="dxa" w:w="1080"/>
          </w:tcPr>
          <w:p>
            <w:pPr>
              <w:jc w:val="right"/>
            </w:pPr>
            <w:r>
              <w:rPr>
                <w:sz w:val="14"/>
              </w:rPr>
              <w:t>100.13</w:t>
            </w:r>
          </w:p>
        </w:tc>
        <w:tc>
          <w:tcPr>
            <w:tcW w:type="dxa" w:w="1080"/>
          </w:tcPr>
          <w:p>
            <w:pPr>
              <w:jc w:val="right"/>
            </w:pPr>
            <w:r>
              <w:rPr>
                <w:sz w:val="14"/>
              </w:rPr>
              <w:t>62.02</w:t>
            </w:r>
          </w:p>
        </w:tc>
        <w:tc>
          <w:tcPr>
            <w:tcW w:type="dxa" w:w="1080"/>
          </w:tcPr>
          <w:p>
            <w:pPr>
              <w:jc w:val="right"/>
            </w:pPr>
            <w:r>
              <w:rPr>
                <w:sz w:val="14"/>
              </w:rPr>
              <w:t>1053.80</w:t>
            </w:r>
          </w:p>
        </w:tc>
        <w:tc>
          <w:tcPr>
            <w:tcW w:type="dxa" w:w="1080"/>
          </w:tcPr>
          <w:p>
            <w:pPr>
              <w:jc w:val="right"/>
            </w:pPr>
            <w:r>
              <w:rPr>
                <w:sz w:val="14"/>
              </w:rPr>
              <w:t>264.84</w:t>
            </w:r>
          </w:p>
        </w:tc>
        <w:tc>
          <w:tcPr>
            <w:tcW w:type="dxa" w:w="1080"/>
          </w:tcPr>
          <w:p>
            <w:pPr>
              <w:jc w:val="right"/>
            </w:pPr>
            <w:r>
              <w:rPr>
                <w:sz w:val="14"/>
              </w:rPr>
              <w:t>25.1</w:t>
            </w:r>
          </w:p>
        </w:tc>
      </w:tr>
      <w:tr>
        <w:tc>
          <w:tcPr>
            <w:tcW w:type="dxa" w:w="1080"/>
          </w:tcPr>
          <w:p>
            <w:pPr>
              <w:jc w:val="left"/>
            </w:pPr>
            <w:r>
              <w:rPr>
                <w:sz w:val="14"/>
              </w:rPr>
              <w:t>351003</w:t>
            </w:r>
          </w:p>
        </w:tc>
        <w:tc>
          <w:tcPr>
            <w:tcW w:type="dxa" w:w="1080"/>
          </w:tcPr>
          <w:p>
            <w:pPr>
              <w:jc w:val="left"/>
            </w:pPr>
            <w:r>
              <w:rPr>
                <w:sz w:val="14"/>
              </w:rPr>
              <w:t>Tha Pla</w:t>
            </w:r>
          </w:p>
        </w:tc>
        <w:tc>
          <w:tcPr>
            <w:tcW w:type="dxa" w:w="1080"/>
          </w:tcPr>
          <w:p>
            <w:pPr>
              <w:jc w:val="right"/>
            </w:pPr>
            <w:r>
              <w:rPr>
                <w:sz w:val="14"/>
              </w:rPr>
              <w:t>17.67</w:t>
            </w:r>
          </w:p>
        </w:tc>
        <w:tc>
          <w:tcPr>
            <w:tcW w:type="dxa" w:w="1080"/>
          </w:tcPr>
          <w:p>
            <w:pPr>
              <w:jc w:val="right"/>
            </w:pPr>
            <w:r>
              <w:rPr>
                <w:sz w:val="14"/>
              </w:rPr>
              <w:t>100.68</w:t>
            </w:r>
          </w:p>
        </w:tc>
        <w:tc>
          <w:tcPr>
            <w:tcW w:type="dxa" w:w="1080"/>
          </w:tcPr>
          <w:p>
            <w:pPr>
              <w:jc w:val="right"/>
            </w:pPr>
            <w:r>
              <w:rPr>
                <w:sz w:val="14"/>
              </w:rPr>
              <w:t>371.77</w:t>
            </w:r>
          </w:p>
        </w:tc>
        <w:tc>
          <w:tcPr>
            <w:tcW w:type="dxa" w:w="1080"/>
          </w:tcPr>
          <w:p>
            <w:pPr>
              <w:jc w:val="right"/>
            </w:pPr>
            <w:r>
              <w:rPr>
                <w:sz w:val="14"/>
              </w:rPr>
              <w:t>1425.06</w:t>
            </w:r>
          </w:p>
        </w:tc>
        <w:tc>
          <w:tcPr>
            <w:tcW w:type="dxa" w:w="1080"/>
          </w:tcPr>
          <w:p>
            <w:pPr>
              <w:jc w:val="right"/>
            </w:pPr>
            <w:r>
              <w:rPr>
                <w:sz w:val="14"/>
              </w:rPr>
              <w:t>204.80</w:t>
            </w:r>
          </w:p>
        </w:tc>
        <w:tc>
          <w:tcPr>
            <w:tcW w:type="dxa" w:w="1080"/>
          </w:tcPr>
          <w:p>
            <w:pPr>
              <w:jc w:val="right"/>
            </w:pPr>
            <w:r>
              <w:rPr>
                <w:sz w:val="14"/>
              </w:rPr>
              <w:t>14.4</w:t>
            </w:r>
          </w:p>
        </w:tc>
      </w:tr>
      <w:tr>
        <w:tc>
          <w:tcPr>
            <w:tcW w:type="dxa" w:w="1080"/>
          </w:tcPr>
          <w:p>
            <w:pPr>
              <w:jc w:val="left"/>
            </w:pPr>
            <w:r>
              <w:rPr>
                <w:sz w:val="14"/>
              </w:rPr>
              <w:t>351004</w:t>
            </w:r>
          </w:p>
        </w:tc>
        <w:tc>
          <w:tcPr>
            <w:tcW w:type="dxa" w:w="1080"/>
          </w:tcPr>
          <w:p>
            <w:pPr>
              <w:jc w:val="left"/>
            </w:pPr>
            <w:r>
              <w:rPr>
                <w:sz w:val="14"/>
              </w:rPr>
              <w:t>Laplae</w:t>
            </w:r>
          </w:p>
        </w:tc>
        <w:tc>
          <w:tcPr>
            <w:tcW w:type="dxa" w:w="1080"/>
          </w:tcPr>
          <w:p>
            <w:pPr>
              <w:jc w:val="right"/>
            </w:pPr>
            <w:r>
              <w:rPr>
                <w:sz w:val="14"/>
              </w:rPr>
              <w:t>17.65</w:t>
            </w:r>
          </w:p>
        </w:tc>
        <w:tc>
          <w:tcPr>
            <w:tcW w:type="dxa" w:w="1080"/>
          </w:tcPr>
          <w:p>
            <w:pPr>
              <w:jc w:val="right"/>
            </w:pPr>
            <w:r>
              <w:rPr>
                <w:sz w:val="14"/>
              </w:rPr>
              <w:t>100.38</w:t>
            </w:r>
          </w:p>
        </w:tc>
        <w:tc>
          <w:tcPr>
            <w:tcW w:type="dxa" w:w="1080"/>
          </w:tcPr>
          <w:p>
            <w:pPr>
              <w:jc w:val="right"/>
            </w:pPr>
            <w:r>
              <w:rPr>
                <w:sz w:val="14"/>
              </w:rPr>
              <w:t>115.76</w:t>
            </w:r>
          </w:p>
        </w:tc>
        <w:tc>
          <w:tcPr>
            <w:tcW w:type="dxa" w:w="1080"/>
          </w:tcPr>
          <w:p>
            <w:pPr>
              <w:jc w:val="right"/>
            </w:pPr>
            <w:r>
              <w:rPr>
                <w:sz w:val="14"/>
              </w:rPr>
              <w:t>1085.21</w:t>
            </w:r>
          </w:p>
        </w:tc>
        <w:tc>
          <w:tcPr>
            <w:tcW w:type="dxa" w:w="1080"/>
          </w:tcPr>
          <w:p>
            <w:pPr>
              <w:jc w:val="right"/>
            </w:pPr>
            <w:r>
              <w:rPr>
                <w:sz w:val="14"/>
              </w:rPr>
              <w:t>240.06</w:t>
            </w:r>
          </w:p>
        </w:tc>
        <w:tc>
          <w:tcPr>
            <w:tcW w:type="dxa" w:w="1080"/>
          </w:tcPr>
          <w:p>
            <w:pPr>
              <w:jc w:val="right"/>
            </w:pPr>
            <w:r>
              <w:rPr>
                <w:sz w:val="14"/>
              </w:rPr>
              <w:t>22.1</w:t>
            </w:r>
          </w:p>
        </w:tc>
      </w:tr>
      <w:tr>
        <w:tc>
          <w:tcPr>
            <w:tcW w:type="dxa" w:w="1080"/>
          </w:tcPr>
          <w:p>
            <w:pPr>
              <w:jc w:val="left"/>
            </w:pPr>
            <w:r>
              <w:rPr>
                <w:sz w:val="14"/>
              </w:rPr>
              <w:t>351005</w:t>
            </w:r>
          </w:p>
        </w:tc>
        <w:tc>
          <w:tcPr>
            <w:tcW w:type="dxa" w:w="1080"/>
          </w:tcPr>
          <w:p>
            <w:pPr>
              <w:jc w:val="left"/>
            </w:pPr>
            <w:r>
              <w:rPr>
                <w:sz w:val="14"/>
              </w:rPr>
              <w:t>Mueang Uttaradit (West)</w:t>
            </w:r>
          </w:p>
        </w:tc>
        <w:tc>
          <w:tcPr>
            <w:tcW w:type="dxa" w:w="1080"/>
          </w:tcPr>
          <w:p>
            <w:pPr>
              <w:jc w:val="right"/>
            </w:pPr>
            <w:r>
              <w:rPr>
                <w:sz w:val="14"/>
              </w:rPr>
              <w:t>17.60</w:t>
            </w:r>
          </w:p>
        </w:tc>
        <w:tc>
          <w:tcPr>
            <w:tcW w:type="dxa" w:w="1080"/>
          </w:tcPr>
          <w:p>
            <w:pPr>
              <w:jc w:val="right"/>
            </w:pPr>
            <w:r>
              <w:rPr>
                <w:sz w:val="14"/>
              </w:rPr>
              <w:t>100.05</w:t>
            </w:r>
          </w:p>
        </w:tc>
        <w:tc>
          <w:tcPr>
            <w:tcW w:type="dxa" w:w="1080"/>
          </w:tcPr>
          <w:p>
            <w:pPr>
              <w:jc w:val="right"/>
            </w:pPr>
            <w:r>
              <w:rPr>
                <w:sz w:val="14"/>
              </w:rPr>
              <w:t>81.47</w:t>
            </w:r>
          </w:p>
        </w:tc>
        <w:tc>
          <w:tcPr>
            <w:tcW w:type="dxa" w:w="1080"/>
          </w:tcPr>
          <w:p>
            <w:pPr>
              <w:jc w:val="right"/>
            </w:pPr>
            <w:r>
              <w:rPr>
                <w:sz w:val="14"/>
              </w:rPr>
              <w:t>1121.00</w:t>
            </w:r>
          </w:p>
        </w:tc>
        <w:tc>
          <w:tcPr>
            <w:tcW w:type="dxa" w:w="1080"/>
          </w:tcPr>
          <w:p>
            <w:pPr>
              <w:jc w:val="right"/>
            </w:pPr>
            <w:r>
              <w:rPr>
                <w:sz w:val="14"/>
              </w:rPr>
              <w:t>246.75</w:t>
            </w:r>
          </w:p>
        </w:tc>
        <w:tc>
          <w:tcPr>
            <w:tcW w:type="dxa" w:w="1080"/>
          </w:tcPr>
          <w:p>
            <w:pPr>
              <w:jc w:val="right"/>
            </w:pPr>
            <w:r>
              <w:rPr>
                <w:sz w:val="14"/>
              </w:rPr>
              <w:t>22.0</w:t>
            </w:r>
          </w:p>
        </w:tc>
      </w:tr>
      <w:tr>
        <w:tc>
          <w:tcPr>
            <w:tcW w:type="dxa" w:w="1080"/>
          </w:tcPr>
          <w:p>
            <w:pPr>
              <w:jc w:val="left"/>
            </w:pPr>
            <w:r>
              <w:rPr>
                <w:sz w:val="14"/>
              </w:rPr>
              <w:t>351006</w:t>
            </w:r>
          </w:p>
        </w:tc>
        <w:tc>
          <w:tcPr>
            <w:tcW w:type="dxa" w:w="1080"/>
          </w:tcPr>
          <w:p>
            <w:pPr>
              <w:jc w:val="left"/>
            </w:pPr>
            <w:r>
              <w:rPr>
                <w:sz w:val="14"/>
              </w:rPr>
              <w:t>Nam Pat</w:t>
            </w:r>
          </w:p>
        </w:tc>
        <w:tc>
          <w:tcPr>
            <w:tcW w:type="dxa" w:w="1080"/>
          </w:tcPr>
          <w:p>
            <w:pPr>
              <w:jc w:val="right"/>
            </w:pPr>
            <w:r>
              <w:rPr>
                <w:sz w:val="14"/>
              </w:rPr>
              <w:t>17.92</w:t>
            </w:r>
          </w:p>
        </w:tc>
        <w:tc>
          <w:tcPr>
            <w:tcW w:type="dxa" w:w="1080"/>
          </w:tcPr>
          <w:p>
            <w:pPr>
              <w:jc w:val="right"/>
            </w:pPr>
            <w:r>
              <w:rPr>
                <w:sz w:val="14"/>
              </w:rPr>
              <w:t>100.88</w:t>
            </w:r>
          </w:p>
        </w:tc>
        <w:tc>
          <w:tcPr>
            <w:tcW w:type="dxa" w:w="1080"/>
          </w:tcPr>
          <w:p>
            <w:pPr>
              <w:jc w:val="right"/>
            </w:pPr>
            <w:r>
              <w:rPr>
                <w:sz w:val="14"/>
              </w:rPr>
              <w:t>348.79</w:t>
            </w:r>
          </w:p>
        </w:tc>
        <w:tc>
          <w:tcPr>
            <w:tcW w:type="dxa" w:w="1080"/>
          </w:tcPr>
          <w:p>
            <w:pPr>
              <w:jc w:val="right"/>
            </w:pPr>
            <w:r>
              <w:rPr>
                <w:sz w:val="14"/>
              </w:rPr>
              <w:t>1129.59</w:t>
            </w:r>
          </w:p>
        </w:tc>
        <w:tc>
          <w:tcPr>
            <w:tcW w:type="dxa" w:w="1080"/>
          </w:tcPr>
          <w:p>
            <w:pPr>
              <w:jc w:val="right"/>
            </w:pPr>
            <w:r>
              <w:rPr>
                <w:sz w:val="14"/>
              </w:rPr>
              <w:t>293.55</w:t>
            </w:r>
          </w:p>
        </w:tc>
        <w:tc>
          <w:tcPr>
            <w:tcW w:type="dxa" w:w="1080"/>
          </w:tcPr>
          <w:p>
            <w:pPr>
              <w:jc w:val="right"/>
            </w:pPr>
            <w:r>
              <w:rPr>
                <w:sz w:val="14"/>
              </w:rPr>
              <w:t>26.0</w:t>
            </w:r>
          </w:p>
        </w:tc>
      </w:tr>
      <w:tr>
        <w:tc>
          <w:tcPr>
            <w:tcW w:type="dxa" w:w="1080"/>
          </w:tcPr>
          <w:p>
            <w:pPr>
              <w:jc w:val="left"/>
            </w:pPr>
            <w:r>
              <w:rPr>
                <w:sz w:val="14"/>
              </w:rPr>
              <w:t>351007</w:t>
            </w:r>
          </w:p>
        </w:tc>
        <w:tc>
          <w:tcPr>
            <w:tcW w:type="dxa" w:w="1080"/>
          </w:tcPr>
          <w:p>
            <w:pPr>
              <w:jc w:val="left"/>
            </w:pPr>
            <w:r>
              <w:rPr>
                <w:sz w:val="14"/>
              </w:rPr>
              <w:t>Fak Tha</w:t>
            </w:r>
          </w:p>
        </w:tc>
        <w:tc>
          <w:tcPr>
            <w:tcW w:type="dxa" w:w="1080"/>
          </w:tcPr>
          <w:p>
            <w:pPr>
              <w:jc w:val="right"/>
            </w:pPr>
            <w:r>
              <w:rPr>
                <w:sz w:val="14"/>
              </w:rPr>
              <w:t>18.02</w:t>
            </w:r>
          </w:p>
        </w:tc>
        <w:tc>
          <w:tcPr>
            <w:tcW w:type="dxa" w:w="1080"/>
          </w:tcPr>
          <w:p>
            <w:pPr>
              <w:jc w:val="right"/>
            </w:pPr>
            <w:r>
              <w:rPr>
                <w:sz w:val="14"/>
              </w:rPr>
              <w:t>101.07</w:t>
            </w:r>
          </w:p>
        </w:tc>
        <w:tc>
          <w:tcPr>
            <w:tcW w:type="dxa" w:w="1080"/>
          </w:tcPr>
          <w:p>
            <w:pPr>
              <w:jc w:val="right"/>
            </w:pPr>
            <w:r>
              <w:rPr>
                <w:sz w:val="14"/>
              </w:rPr>
              <w:t>427.85</w:t>
            </w:r>
          </w:p>
        </w:tc>
        <w:tc>
          <w:tcPr>
            <w:tcW w:type="dxa" w:w="1080"/>
          </w:tcPr>
          <w:p>
            <w:pPr>
              <w:jc w:val="right"/>
            </w:pPr>
            <w:r>
              <w:rPr>
                <w:sz w:val="14"/>
              </w:rPr>
              <w:t>1221.05</w:t>
            </w:r>
          </w:p>
        </w:tc>
        <w:tc>
          <w:tcPr>
            <w:tcW w:type="dxa" w:w="1080"/>
          </w:tcPr>
          <w:p>
            <w:pPr>
              <w:jc w:val="right"/>
            </w:pPr>
            <w:r>
              <w:rPr>
                <w:sz w:val="14"/>
              </w:rPr>
              <w:t>190.82</w:t>
            </w:r>
          </w:p>
        </w:tc>
        <w:tc>
          <w:tcPr>
            <w:tcW w:type="dxa" w:w="1080"/>
          </w:tcPr>
          <w:p>
            <w:pPr>
              <w:jc w:val="right"/>
            </w:pPr>
            <w:r>
              <w:rPr>
                <w:sz w:val="14"/>
              </w:rPr>
              <w:t>15.6</w:t>
            </w:r>
          </w:p>
        </w:tc>
      </w:tr>
      <w:tr>
        <w:tc>
          <w:tcPr>
            <w:tcW w:type="dxa" w:w="1080"/>
          </w:tcPr>
          <w:p>
            <w:pPr>
              <w:jc w:val="left"/>
            </w:pPr>
            <w:r>
              <w:rPr>
                <w:sz w:val="14"/>
              </w:rPr>
              <w:t>351008</w:t>
            </w:r>
          </w:p>
        </w:tc>
        <w:tc>
          <w:tcPr>
            <w:tcW w:type="dxa" w:w="1080"/>
          </w:tcPr>
          <w:p>
            <w:pPr>
              <w:jc w:val="left"/>
            </w:pPr>
            <w:r>
              <w:rPr>
                <w:sz w:val="14"/>
              </w:rPr>
              <w:t>Thong Saen Khan</w:t>
            </w:r>
          </w:p>
        </w:tc>
        <w:tc>
          <w:tcPr>
            <w:tcW w:type="dxa" w:w="1080"/>
          </w:tcPr>
          <w:p>
            <w:pPr>
              <w:jc w:val="right"/>
            </w:pPr>
            <w:r>
              <w:rPr>
                <w:sz w:val="14"/>
              </w:rPr>
              <w:t>17.47</w:t>
            </w:r>
          </w:p>
        </w:tc>
        <w:tc>
          <w:tcPr>
            <w:tcW w:type="dxa" w:w="1080"/>
          </w:tcPr>
          <w:p>
            <w:pPr>
              <w:jc w:val="right"/>
            </w:pPr>
            <w:r>
              <w:rPr>
                <w:sz w:val="14"/>
              </w:rPr>
              <w:t>100.37</w:t>
            </w:r>
          </w:p>
        </w:tc>
        <w:tc>
          <w:tcPr>
            <w:tcW w:type="dxa" w:w="1080"/>
          </w:tcPr>
          <w:p>
            <w:pPr>
              <w:jc w:val="right"/>
            </w:pPr>
            <w:r>
              <w:rPr>
                <w:sz w:val="14"/>
              </w:rPr>
              <w:t>82.43</w:t>
            </w:r>
          </w:p>
        </w:tc>
        <w:tc>
          <w:tcPr>
            <w:tcW w:type="dxa" w:w="1080"/>
          </w:tcPr>
          <w:p>
            <w:pPr>
              <w:jc w:val="right"/>
            </w:pPr>
            <w:r>
              <w:rPr>
                <w:sz w:val="14"/>
              </w:rPr>
              <w:t>1146.01</w:t>
            </w:r>
          </w:p>
        </w:tc>
        <w:tc>
          <w:tcPr>
            <w:tcW w:type="dxa" w:w="1080"/>
          </w:tcPr>
          <w:p>
            <w:pPr>
              <w:jc w:val="right"/>
            </w:pPr>
            <w:r>
              <w:rPr>
                <w:sz w:val="14"/>
              </w:rPr>
              <w:t>201.99</w:t>
            </w:r>
          </w:p>
        </w:tc>
        <w:tc>
          <w:tcPr>
            <w:tcW w:type="dxa" w:w="1080"/>
          </w:tcPr>
          <w:p>
            <w:pPr>
              <w:jc w:val="right"/>
            </w:pPr>
            <w:r>
              <w:rPr>
                <w:sz w:val="14"/>
              </w:rPr>
              <w:t>17.6</w:t>
            </w:r>
          </w:p>
        </w:tc>
      </w:tr>
      <w:tr>
        <w:tc>
          <w:tcPr>
            <w:tcW w:type="dxa" w:w="1080"/>
          </w:tcPr>
          <w:p>
            <w:pPr>
              <w:jc w:val="left"/>
            </w:pPr>
            <w:r>
              <w:rPr>
                <w:sz w:val="14"/>
              </w:rPr>
              <w:t>351009</w:t>
            </w:r>
          </w:p>
        </w:tc>
        <w:tc>
          <w:tcPr>
            <w:tcW w:type="dxa" w:w="1080"/>
          </w:tcPr>
          <w:p>
            <w:pPr>
              <w:jc w:val="left"/>
            </w:pPr>
            <w:r>
              <w:rPr>
                <w:sz w:val="14"/>
              </w:rPr>
              <w:t>Laplae (North)</w:t>
            </w:r>
          </w:p>
        </w:tc>
        <w:tc>
          <w:tcPr>
            <w:tcW w:type="dxa" w:w="1080"/>
          </w:tcPr>
          <w:p>
            <w:pPr>
              <w:jc w:val="right"/>
            </w:pPr>
            <w:r>
              <w:rPr>
                <w:sz w:val="14"/>
              </w:rPr>
              <w:t>17.75</w:t>
            </w:r>
          </w:p>
        </w:tc>
        <w:tc>
          <w:tcPr>
            <w:tcW w:type="dxa" w:w="1080"/>
          </w:tcPr>
          <w:p>
            <w:pPr>
              <w:jc w:val="right"/>
            </w:pPr>
            <w:r>
              <w:rPr>
                <w:sz w:val="14"/>
              </w:rPr>
              <w:t>100.28</w:t>
            </w:r>
          </w:p>
        </w:tc>
        <w:tc>
          <w:tcPr>
            <w:tcW w:type="dxa" w:w="1080"/>
          </w:tcPr>
          <w:p>
            <w:pPr>
              <w:jc w:val="right"/>
            </w:pPr>
            <w:r>
              <w:rPr>
                <w:sz w:val="14"/>
              </w:rPr>
              <w:t>95.27</w:t>
            </w:r>
          </w:p>
        </w:tc>
        <w:tc>
          <w:tcPr>
            <w:tcW w:type="dxa" w:w="1080"/>
          </w:tcPr>
          <w:p>
            <w:pPr>
              <w:jc w:val="right"/>
            </w:pPr>
            <w:r>
              <w:rPr>
                <w:sz w:val="14"/>
              </w:rPr>
              <w:t>1223.36</w:t>
            </w:r>
          </w:p>
        </w:tc>
        <w:tc>
          <w:tcPr>
            <w:tcW w:type="dxa" w:w="1080"/>
          </w:tcPr>
          <w:p>
            <w:pPr>
              <w:jc w:val="right"/>
            </w:pPr>
            <w:r>
              <w:rPr>
                <w:sz w:val="14"/>
              </w:rPr>
              <w:t>119.60</w:t>
            </w:r>
          </w:p>
        </w:tc>
        <w:tc>
          <w:tcPr>
            <w:tcW w:type="dxa" w:w="1080"/>
          </w:tcPr>
          <w:p>
            <w:pPr>
              <w:jc w:val="right"/>
            </w:pPr>
            <w:r>
              <w:rPr>
                <w:sz w:val="14"/>
              </w:rPr>
              <w:t>9.8</w:t>
            </w:r>
          </w:p>
        </w:tc>
      </w:tr>
      <w:tr>
        <w:tc>
          <w:tcPr>
            <w:tcW w:type="dxa" w:w="1080"/>
          </w:tcPr>
          <w:p>
            <w:pPr>
              <w:jc w:val="left"/>
            </w:pPr>
            <w:r>
              <w:rPr>
                <w:sz w:val="14"/>
              </w:rPr>
              <w:t>351010</w:t>
            </w:r>
          </w:p>
        </w:tc>
        <w:tc>
          <w:tcPr>
            <w:tcW w:type="dxa" w:w="1080"/>
          </w:tcPr>
          <w:p>
            <w:pPr>
              <w:jc w:val="left"/>
            </w:pPr>
            <w:r>
              <w:rPr>
                <w:sz w:val="14"/>
              </w:rPr>
              <w:t>Nam Pat (Valley)</w:t>
            </w:r>
          </w:p>
        </w:tc>
        <w:tc>
          <w:tcPr>
            <w:tcW w:type="dxa" w:w="1080"/>
          </w:tcPr>
          <w:p>
            <w:pPr>
              <w:jc w:val="right"/>
            </w:pPr>
            <w:r>
              <w:rPr>
                <w:sz w:val="14"/>
              </w:rPr>
              <w:t>17.90</w:t>
            </w:r>
          </w:p>
        </w:tc>
        <w:tc>
          <w:tcPr>
            <w:tcW w:type="dxa" w:w="1080"/>
          </w:tcPr>
          <w:p>
            <w:pPr>
              <w:jc w:val="right"/>
            </w:pPr>
            <w:r>
              <w:rPr>
                <w:sz w:val="14"/>
              </w:rPr>
              <w:t>100.82</w:t>
            </w:r>
          </w:p>
        </w:tc>
        <w:tc>
          <w:tcPr>
            <w:tcW w:type="dxa" w:w="1080"/>
          </w:tcPr>
          <w:p>
            <w:pPr>
              <w:jc w:val="right"/>
            </w:pPr>
            <w:r>
              <w:rPr>
                <w:sz w:val="14"/>
              </w:rPr>
              <w:t>214.69</w:t>
            </w:r>
          </w:p>
        </w:tc>
        <w:tc>
          <w:tcPr>
            <w:tcW w:type="dxa" w:w="1080"/>
          </w:tcPr>
          <w:p>
            <w:pPr>
              <w:jc w:val="right"/>
            </w:pPr>
            <w:r>
              <w:rPr>
                <w:sz w:val="14"/>
              </w:rPr>
              <w:t>1204.22</w:t>
            </w:r>
          </w:p>
        </w:tc>
        <w:tc>
          <w:tcPr>
            <w:tcW w:type="dxa" w:w="1080"/>
          </w:tcPr>
          <w:p>
            <w:pPr>
              <w:jc w:val="right"/>
            </w:pPr>
            <w:r>
              <w:rPr>
                <w:sz w:val="14"/>
              </w:rPr>
              <w:t>116.49</w:t>
            </w:r>
          </w:p>
        </w:tc>
        <w:tc>
          <w:tcPr>
            <w:tcW w:type="dxa" w:w="1080"/>
          </w:tcPr>
          <w:p>
            <w:pPr>
              <w:jc w:val="right"/>
            </w:pPr>
            <w:r>
              <w:rPr>
                <w:sz w:val="14"/>
              </w:rPr>
              <w:t>9.7</w:t>
            </w:r>
          </w:p>
        </w:tc>
      </w:tr>
      <w:tr>
        <w:tc>
          <w:tcPr>
            <w:tcW w:type="dxa" w:w="1080"/>
          </w:tcPr>
          <w:p>
            <w:pPr>
              <w:jc w:val="left"/>
            </w:pPr>
            <w:r>
              <w:rPr>
                <w:sz w:val="14"/>
              </w:rPr>
              <w:t>351011</w:t>
            </w:r>
          </w:p>
        </w:tc>
        <w:tc>
          <w:tcPr>
            <w:tcW w:type="dxa" w:w="1080"/>
          </w:tcPr>
          <w:p>
            <w:pPr>
              <w:jc w:val="left"/>
            </w:pPr>
            <w:r>
              <w:rPr>
                <w:sz w:val="14"/>
              </w:rPr>
              <w:t>Mueang Uttaradit (South)</w:t>
            </w:r>
          </w:p>
        </w:tc>
        <w:tc>
          <w:tcPr>
            <w:tcW w:type="dxa" w:w="1080"/>
          </w:tcPr>
          <w:p>
            <w:pPr>
              <w:jc w:val="right"/>
            </w:pPr>
            <w:r>
              <w:rPr>
                <w:sz w:val="14"/>
              </w:rPr>
              <w:t>17.56</w:t>
            </w:r>
          </w:p>
        </w:tc>
        <w:tc>
          <w:tcPr>
            <w:tcW w:type="dxa" w:w="1080"/>
          </w:tcPr>
          <w:p>
            <w:pPr>
              <w:jc w:val="right"/>
            </w:pPr>
            <w:r>
              <w:rPr>
                <w:sz w:val="14"/>
              </w:rPr>
              <w:t>100.11</w:t>
            </w:r>
          </w:p>
        </w:tc>
        <w:tc>
          <w:tcPr>
            <w:tcW w:type="dxa" w:w="1080"/>
          </w:tcPr>
          <w:p>
            <w:pPr>
              <w:jc w:val="right"/>
            </w:pPr>
            <w:r>
              <w:rPr>
                <w:sz w:val="14"/>
              </w:rPr>
              <w:t>65.37</w:t>
            </w:r>
          </w:p>
        </w:tc>
        <w:tc>
          <w:tcPr>
            <w:tcW w:type="dxa" w:w="1080"/>
          </w:tcPr>
          <w:p>
            <w:pPr>
              <w:jc w:val="right"/>
            </w:pPr>
            <w:r>
              <w:rPr>
                <w:sz w:val="14"/>
              </w:rPr>
              <w:t>1159.21</w:t>
            </w:r>
          </w:p>
        </w:tc>
        <w:tc>
          <w:tcPr>
            <w:tcW w:type="dxa" w:w="1080"/>
          </w:tcPr>
          <w:p>
            <w:pPr>
              <w:jc w:val="right"/>
            </w:pPr>
            <w:r>
              <w:rPr>
                <w:sz w:val="14"/>
              </w:rPr>
              <w:t>264.73</w:t>
            </w:r>
          </w:p>
        </w:tc>
        <w:tc>
          <w:tcPr>
            <w:tcW w:type="dxa" w:w="1080"/>
          </w:tcPr>
          <w:p>
            <w:pPr>
              <w:jc w:val="right"/>
            </w:pPr>
            <w:r>
              <w:rPr>
                <w:sz w:val="14"/>
              </w:rPr>
              <w:t>22.8</w:t>
            </w:r>
          </w:p>
        </w:tc>
      </w:tr>
      <w:tr>
        <w:tc>
          <w:tcPr>
            <w:tcW w:type="dxa" w:w="1080"/>
          </w:tcPr>
          <w:p>
            <w:pPr>
              <w:jc w:val="left"/>
            </w:pPr>
            <w:r>
              <w:rPr>
                <w:sz w:val="14"/>
              </w:rPr>
              <w:t>351012</w:t>
            </w:r>
          </w:p>
        </w:tc>
        <w:tc>
          <w:tcPr>
            <w:tcW w:type="dxa" w:w="1080"/>
          </w:tcPr>
          <w:p>
            <w:pPr>
              <w:jc w:val="left"/>
            </w:pPr>
            <w:r>
              <w:rPr>
                <w:sz w:val="14"/>
              </w:rPr>
              <w:t>Ban Khok</w:t>
            </w:r>
          </w:p>
        </w:tc>
        <w:tc>
          <w:tcPr>
            <w:tcW w:type="dxa" w:w="1080"/>
          </w:tcPr>
          <w:p>
            <w:pPr>
              <w:jc w:val="right"/>
            </w:pPr>
            <w:r>
              <w:rPr>
                <w:sz w:val="14"/>
              </w:rPr>
              <w:t>17.75</w:t>
            </w:r>
          </w:p>
        </w:tc>
        <w:tc>
          <w:tcPr>
            <w:tcW w:type="dxa" w:w="1080"/>
          </w:tcPr>
          <w:p>
            <w:pPr>
              <w:jc w:val="right"/>
            </w:pPr>
            <w:r>
              <w:rPr>
                <w:sz w:val="14"/>
              </w:rPr>
              <w:t>100.92</w:t>
            </w:r>
          </w:p>
        </w:tc>
        <w:tc>
          <w:tcPr>
            <w:tcW w:type="dxa" w:w="1080"/>
          </w:tcPr>
          <w:p>
            <w:pPr>
              <w:jc w:val="right"/>
            </w:pPr>
            <w:r>
              <w:rPr>
                <w:sz w:val="14"/>
              </w:rPr>
              <w:t>415.07</w:t>
            </w:r>
          </w:p>
        </w:tc>
        <w:tc>
          <w:tcPr>
            <w:tcW w:type="dxa" w:w="1080"/>
          </w:tcPr>
          <w:p>
            <w:pPr>
              <w:jc w:val="right"/>
            </w:pPr>
            <w:r>
              <w:rPr>
                <w:sz w:val="14"/>
              </w:rPr>
              <w:t>947.71</w:t>
            </w:r>
          </w:p>
        </w:tc>
        <w:tc>
          <w:tcPr>
            <w:tcW w:type="dxa" w:w="1080"/>
          </w:tcPr>
          <w:p>
            <w:pPr>
              <w:jc w:val="right"/>
            </w:pPr>
            <w:r>
              <w:rPr>
                <w:sz w:val="14"/>
              </w:rPr>
              <w:t>242.69</w:t>
            </w:r>
          </w:p>
        </w:tc>
        <w:tc>
          <w:tcPr>
            <w:tcW w:type="dxa" w:w="1080"/>
          </w:tcPr>
          <w:p>
            <w:pPr>
              <w:jc w:val="right"/>
            </w:pPr>
            <w:r>
              <w:rPr>
                <w:sz w:val="14"/>
              </w:rPr>
              <w:t>25.6</w:t>
            </w:r>
          </w:p>
        </w:tc>
      </w:tr>
      <w:tr>
        <w:tc>
          <w:tcPr>
            <w:tcW w:type="dxa" w:w="1080"/>
            <w:tcBorders>
              <w:top w:val="none" w:sz="4" w:space="0" w:color="auto"/>
              <w:left w:val="none"/>
              <w:bottom w:val="single" w:sz="4" w:space="0" w:color="auto"/>
              <w:right w:val="none"/>
            </w:tcBorders>
          </w:tcPr>
          <w:p>
            <w:pPr>
              <w:jc w:val="left"/>
            </w:pPr>
            <w:r>
              <w:rPr>
                <w:sz w:val="14"/>
              </w:rPr>
              <w:t>351201</w:t>
            </w:r>
          </w:p>
        </w:tc>
        <w:tc>
          <w:tcPr>
            <w:tcW w:type="dxa" w:w="1080"/>
            <w:tcBorders>
              <w:top w:val="none" w:sz="4" w:space="0" w:color="auto"/>
              <w:left w:val="none"/>
              <w:bottom w:val="single" w:sz="4" w:space="0" w:color="auto"/>
              <w:right w:val="none"/>
            </w:tcBorders>
          </w:tcPr>
          <w:p>
            <w:pPr>
              <w:jc w:val="left"/>
            </w:pPr>
            <w:r>
              <w:rPr>
                <w:sz w:val="14"/>
              </w:rPr>
              <w:t>Uttaradit (Agromet/Synoptic)</w:t>
            </w:r>
          </w:p>
        </w:tc>
        <w:tc>
          <w:tcPr>
            <w:tcW w:type="dxa" w:w="1080"/>
            <w:tcBorders>
              <w:top w:val="none" w:sz="4" w:space="0" w:color="auto"/>
              <w:left w:val="none"/>
              <w:bottom w:val="single" w:sz="4" w:space="0" w:color="auto"/>
              <w:right w:val="none"/>
            </w:tcBorders>
          </w:tcPr>
          <w:p>
            <w:pPr>
              <w:jc w:val="right"/>
            </w:pPr>
            <w:r>
              <w:rPr>
                <w:sz w:val="14"/>
              </w:rPr>
              <w:t>17.62</w:t>
            </w:r>
          </w:p>
        </w:tc>
        <w:tc>
          <w:tcPr>
            <w:tcW w:type="dxa" w:w="1080"/>
            <w:tcBorders>
              <w:top w:val="none" w:sz="4" w:space="0" w:color="auto"/>
              <w:left w:val="none"/>
              <w:bottom w:val="single" w:sz="4" w:space="0" w:color="auto"/>
              <w:right w:val="none"/>
            </w:tcBorders>
          </w:tcPr>
          <w:p>
            <w:pPr>
              <w:jc w:val="right"/>
            </w:pPr>
            <w:r>
              <w:rPr>
                <w:sz w:val="14"/>
              </w:rPr>
              <w:t>100.10</w:t>
            </w:r>
          </w:p>
        </w:tc>
        <w:tc>
          <w:tcPr>
            <w:tcW w:type="dxa" w:w="1080"/>
            <w:tcBorders>
              <w:top w:val="none" w:sz="4" w:space="0" w:color="auto"/>
              <w:left w:val="none"/>
              <w:bottom w:val="single" w:sz="4" w:space="0" w:color="auto"/>
              <w:right w:val="none"/>
            </w:tcBorders>
          </w:tcPr>
          <w:p>
            <w:pPr>
              <w:jc w:val="right"/>
            </w:pPr>
            <w:r>
              <w:rPr>
                <w:sz w:val="14"/>
              </w:rPr>
              <w:t>67.05</w:t>
            </w:r>
          </w:p>
        </w:tc>
        <w:tc>
          <w:tcPr>
            <w:tcW w:type="dxa" w:w="1080"/>
            <w:tcBorders>
              <w:top w:val="none" w:sz="4" w:space="0" w:color="auto"/>
              <w:left w:val="none"/>
              <w:bottom w:val="single" w:sz="4" w:space="0" w:color="auto"/>
              <w:right w:val="none"/>
            </w:tcBorders>
          </w:tcPr>
          <w:p>
            <w:pPr>
              <w:jc w:val="right"/>
            </w:pPr>
            <w:r>
              <w:rPr>
                <w:sz w:val="14"/>
              </w:rPr>
              <w:t>1105.59</w:t>
            </w:r>
          </w:p>
        </w:tc>
        <w:tc>
          <w:tcPr>
            <w:tcW w:type="dxa" w:w="1080"/>
            <w:tcBorders>
              <w:top w:val="none" w:sz="4" w:space="0" w:color="auto"/>
              <w:left w:val="none"/>
              <w:bottom w:val="single" w:sz="4" w:space="0" w:color="auto"/>
              <w:right w:val="none"/>
            </w:tcBorders>
          </w:tcPr>
          <w:p>
            <w:pPr>
              <w:jc w:val="right"/>
            </w:pPr>
            <w:r>
              <w:rPr>
                <w:sz w:val="14"/>
              </w:rPr>
              <w:t>259.72</w:t>
            </w:r>
          </w:p>
        </w:tc>
        <w:tc>
          <w:tcPr>
            <w:tcW w:type="dxa" w:w="1080"/>
            <w:tcBorders>
              <w:top w:val="none" w:sz="4" w:space="0" w:color="auto"/>
              <w:left w:val="none"/>
              <w:bottom w:val="single" w:sz="4" w:space="0" w:color="auto"/>
              <w:right w:val="none"/>
            </w:tcBorders>
          </w:tcPr>
          <w:p>
            <w:pPr>
              <w:jc w:val="right"/>
            </w:pPr>
            <w:r>
              <w:rPr>
                <w:sz w:val="14"/>
              </w:rPr>
              <w:t>23.5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