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Long-Term Trends in Extreme Precipitation Characteristics at Phitsanulok, Thailand: A 59-Year ETCCDI-Based Analysis with Autocorrelation-Aware Trend Detection</w:t>
      </w:r>
    </w:p>
    <w:p>
      <w:pPr>
        <w:jc w:val="center"/>
      </w:pPr>
      <w:r>
        <w:t>Surasit Luangwiset</w:t>
      </w:r>
    </w:p>
    <w:p>
      <w:pPr>
        <w:jc w:val="center"/>
      </w:pPr>
      <w:r>
        <w:t>Department of [Author Affiliation], [University Name], Phitsanulok 65000, Thailand</w:t>
      </w:r>
    </w:p>
    <w:p>
      <w:pPr>
        <w:jc w:val="center"/>
      </w:pPr>
      <w:r>
        <w:t>Correspondence: [author email]; Tel.: +66-[xxx-xxxx]</w:t>
      </w:r>
    </w:p>
    <w:p/>
    <w:p>
      <w:pPr>
        <w:spacing w:before="240" w:after="80"/>
      </w:pPr>
      <w:r>
        <w:rPr>
          <w:b/>
          <w:sz w:val="24"/>
        </w:rPr>
        <w:t>Abstract</w:t>
      </w:r>
    </w:p>
    <w:p>
      <w:pPr>
        <w:spacing w:before="40" w:after="120"/>
      </w:pPr>
      <w:r>
        <w:rPr>
          <w:sz w:val="22"/>
        </w:rPr>
        <w:t>Abstract</w:t>
      </w:r>
    </w:p>
    <w:p>
      <w:pPr>
        <w:spacing w:before="40" w:after="120"/>
      </w:pPr>
      <w:r>
        <w:rPr>
          <w:sz w:val="22"/>
        </w:rPr>
        <w:t>Long-term changes in extreme precipitation are of critical importance for water</w:t>
        <w:br/>
        <w:t>resource management and disaster risk reduction in Southeast Asia. This study</w:t>
        <w:br/>
        <w:t>analyses 11 ETCCDI (Expert Team on Climate Change Detection and Indices) extreme</w:t>
        <w:br/>
        <w:t>precipitation indices derived from 59 years (1961-2019) of daily precipitation</w:t>
        <w:br/>
        <w:t>records at Phitsanulok station (WMO 48378, 16.78 deg N, 100.27 deg E),</w:t>
        <w:br/>
        <w:t>northern Thailand. Data quality control confirmed that all 59 calendar years</w:t>
        <w:br/>
        <w:t>achieved 100% completeness, yielding 59 annual observations per index</w:t>
        <w:br/>
        <w:t>with no missing values.</w:t>
      </w:r>
    </w:p>
    <w:p>
      <w:pPr>
        <w:spacing w:before="40" w:after="120"/>
      </w:pPr>
      <w:r>
        <w:rPr>
          <w:sz w:val="22"/>
        </w:rPr>
        <w:t>Indices were computed following standard ETCCDI definitions, with the</w:t>
        <w:br/>
        <w:t>95th and 99th percentile thresholds for very wet (R95p) and extremely wet (R99p)</w:t>
        <w:br/>
        <w:t>days derived from the 1981-2010 baseline wet-day pool (n = 2622 wet days;</w:t>
        <w:br/>
        <w:t>P95 = 49.9 mm; P99 = 82.1 mm). Trend analysis employed the Mann-Kendall test,</w:t>
        <w:br/>
        <w:t>preceded by autocorrelation diagnostics at lags 1-10 for all 11 annual series.</w:t>
        <w:br/>
        <w:t>No index exhibited statistically significant lag-1 autocorrelation (|r1| &lt; 2/sqrt(59) = 0.260</w:t>
        <w:br/>
        <w:t>for all series), and ordinary Mann-Kendall was therefore applied to all indices.</w:t>
        <w:br/>
        <w:t>Sen's slope provided trend magnitude estimates with 95% confidence intervals.</w:t>
        <w:br/>
        <w:t>Benjamini-Hochberg false discovery rate (FDR) correction was applied to control</w:t>
        <w:br/>
        <w:t>the family-wise Type I error rate across 11 simultaneous tests.</w:t>
      </w:r>
    </w:p>
    <w:p>
      <w:pPr>
        <w:spacing w:before="40" w:after="120"/>
      </w:pPr>
      <w:r>
        <w:rPr>
          <w:sz w:val="22"/>
        </w:rPr>
        <w:t>Over the 1961-2019 period, mean annual total precipitation from wet days</w:t>
        <w:br/>
        <w:t>(PRCPTOT) was 1321.5 +/- 241.9 mm, ranging from 850.2 mm to</w:t>
        <w:br/>
        <w:t>1849.6 mm. The Simple Daily Intensity Index (SDII) averaged 14.80 mm/day.</w:t>
        <w:br/>
        <w:t>None of the 11 ETCCDI indices showed a statistically significant long-term trend</w:t>
        <w:br/>
        <w:t>at the alpha = 0.05 level, either with raw p-values (0 of 11 significant) or</w:t>
        <w:br/>
        <w:t>after Benjamini-Hochberg FDR correction (0 of 11 significant). Sen's slopes</w:t>
        <w:br/>
        <w:t>were small in magnitude across all indices, confirming the absence of systematic</w:t>
        <w:br/>
        <w:t>directional change over the study period.</w:t>
      </w:r>
    </w:p>
    <w:p>
      <w:pPr>
        <w:spacing w:before="40" w:after="120"/>
      </w:pPr>
      <w:r>
        <w:rPr>
          <w:sz w:val="22"/>
        </w:rPr>
        <w:t>These findings indicate that extreme precipitation characteristics at Phitsanulok</w:t>
        <w:br/>
        <w:t>have remained statistically stable over the past six decades. The lack of</w:t>
        <w:br/>
        <w:t>significant trends, coupled with the robustness confirmed by multi-method</w:t>
        <w:br/>
        <w:t>sensitivity analysis, provides a baseline characterisation of precipitation</w:t>
        <w:br/>
        <w:t>extremes against which future changes and climate projections may be evaluated.</w:t>
        <w:br/>
        <w:t>The single-station nature of the analysis and baseline-period dependence of</w:t>
        <w:br/>
        <w:t>percentile indices are acknowledged as limitations.</w:t>
      </w:r>
    </w:p>
    <w:p>
      <w:pPr>
        <w:spacing w:before="40" w:after="120"/>
      </w:pPr>
      <w:r>
        <w:rPr>
          <w:sz w:val="22"/>
        </w:rPr>
        <w:t>Keywords: extreme precipitation; ETCCDI; Mann-Kendall; Phitsanulok; Thailand;</w:t>
        <w:br/>
        <w:t>trend analysis; autocorrelation; Sen's slope; false discovery rate; hydroclimatology</w:t>
      </w:r>
    </w:p>
    <w:p>
      <w:pPr>
        <w:spacing w:before="240" w:after="80"/>
      </w:pPr>
      <w:r>
        <w:rPr>
          <w:b/>
          <w:sz w:val="24"/>
        </w:rPr>
        <w:t>1. Introduction</w:t>
      </w:r>
    </w:p>
    <w:p>
      <w:pPr>
        <w:spacing w:before="40" w:after="120"/>
      </w:pPr>
      <w:r>
        <w:rPr>
          <w:sz w:val="22"/>
        </w:rPr>
        <w:t>1. Introduction</w:t>
      </w:r>
    </w:p>
    <w:p>
      <w:pPr>
        <w:spacing w:before="40" w:after="120"/>
      </w:pPr>
      <w:r>
        <w:rPr>
          <w:sz w:val="22"/>
        </w:rPr>
        <w:t>Extreme precipitation events exert disproportionate impacts on hydrological</w:t>
        <w:br/>
        <w:t>systems, agricultural productivity, and human welfare compared with changes in</w:t>
        <w:br/>
        <w:t>mean precipitation (Alexander et al., 2006; Klein Tank &amp; Kunnen, 2003). In</w:t>
        <w:br/>
        <w:t>Southeast Asia, monsoonal precipitation regimes exhibit substantial inter-annual</w:t>
        <w:br/>
        <w:t>variability driven by the El Nino-Southern Oscillation (ENSO), the Indian</w:t>
        <w:br/>
        <w:t>Ocean Dipole, and regional land-sea interactions (Villafuerte &amp; Matsumoto, 2015;</w:t>
        <w:br/>
        <w:t>Caesar et al., 2011). Understanding whether and how extreme precipitation</w:t>
        <w:br/>
        <w:t>characteristics have shifted over multi-decadal timescales is therefore</w:t>
        <w:br/>
        <w:t>essential for evidence-based water resource planning and flood risk management.</w:t>
      </w:r>
    </w:p>
    <w:p>
      <w:pPr>
        <w:spacing w:before="40" w:after="120"/>
      </w:pPr>
      <w:r>
        <w:rPr>
          <w:sz w:val="22"/>
        </w:rPr>
        <w:t>The Expert Team on Climate Change Detection and Indices (ETCCDI) developed</w:t>
        <w:br/>
        <w:t>a standardised set of climate extreme indices that has become the de facto</w:t>
        <w:br/>
        <w:t>framework for global and regional trend analyses of precipitation and temperature</w:t>
        <w:br/>
        <w:t>extremes (Zhang et al., 2011; Peterson et al., 2001). ETCCDI indices encompass</w:t>
        <w:br/>
        <w:t>measures of precipitation amount (PRCPTOT), intensity (SDII, Rx1day, Rx5day),</w:t>
        <w:br/>
        <w:t>frequency (R10mm, R20mm, R50mm), spell duration (CDD, CWD), and extreme</w:t>
        <w:br/>
        <w:t>thresholds (R95p, R99p), collectively characterising distinct aspects of the</w:t>
        <w:br/>
        <w:t>precipitation distribution. Their standardised definitions facilitate</w:t>
        <w:br/>
        <w:t>cross-regional comparisons and have been applied across South Asia, Southeast</w:t>
        <w:br/>
        <w:t>Asia, and globally (Alexander et al., 2006; Sen Roy &amp; Balling, 2004;</w:t>
        <w:br/>
        <w:t>Caesar et al., 2011).</w:t>
      </w:r>
    </w:p>
    <w:p>
      <w:pPr>
        <w:spacing w:before="40" w:after="120"/>
      </w:pPr>
      <w:r>
        <w:rPr>
          <w:sz w:val="22"/>
        </w:rPr>
        <w:t>Thailand occupies a climatically complex position, subject to both the south-west</w:t>
        <w:br/>
        <w:t>and north-east Asian monsoon systems, with precipitation regimes varying</w:t>
        <w:br/>
        <w:t>substantially by region (Singhrattna et al., 2005). Northern and central Thailand,</w:t>
        <w:br/>
        <w:t>including Phitsanulok Province, experience a distinct wet season driven by the</w:t>
        <w:br/>
        <w:t>south-west monsoon (May-October) and a pronounced dry season. Several studies</w:t>
        <w:br/>
        <w:t>have examined precipitation trends across Thailand and the broader Mekong</w:t>
        <w:br/>
        <w:t>subregion, with mixed evidence of changing precipitation extremes at regional</w:t>
        <w:br/>
        <w:t>scales (Limsakul &amp; Goes, 2008; Villafuerte &amp; Matsumoto, 2015). However,</w:t>
        <w:br/>
        <w:t>station-level analyses covering the full climatological record from the early</w:t>
        <w:br/>
        <w:t>instrumental era (1960s onwards) remain limited, particularly for inland northern</w:t>
        <w:br/>
        <w:t>Thailand.</w:t>
      </w:r>
    </w:p>
    <w:p>
      <w:pPr>
        <w:spacing w:before="40" w:after="120"/>
      </w:pPr>
      <w:r>
        <w:rPr>
          <w:sz w:val="22"/>
        </w:rPr>
        <w:t>A methodologically important consideration in detecting precipitation trends is</w:t>
        <w:br/>
        <w:t>the treatment of serial correlation in annual time series. Ordinary Mann-Kendall</w:t>
        <w:br/>
        <w:t>test statistics assume temporal independence among observations. When significant</w:t>
        <w:br/>
        <w:t>autocorrelation is present, the variance of the test statistic is underestimated,</w:t>
        <w:br/>
        <w:t>inflating the probability of Type I errors (false detection of trends) (Hamed &amp;</w:t>
        <w:br/>
        <w:t>Rao, 1998; Yue &amp; Wang, 2002). The Hamed and Rao (1998) modification and the</w:t>
        <w:br/>
        <w:t>Yue-Wang (2002) pre-whitening approach are widely used corrections. Yet,</w:t>
        <w:br/>
        <w:t>diagnostic assessment of autocorrelation is often overlooked, or corrections are</w:t>
        <w:br/>
        <w:t>applied uniformly without verifying whether serial dependence is actually present</w:t>
        <w:br/>
        <w:t>in the data. This study addresses this gap by conducting explicit autocorrelation</w:t>
        <w:br/>
        <w:t>diagnostics prior to method selection.</w:t>
      </w:r>
    </w:p>
    <w:p>
      <w:pPr>
        <w:spacing w:before="40" w:after="120"/>
      </w:pPr>
      <w:r>
        <w:rPr>
          <w:sz w:val="22"/>
        </w:rPr>
        <w:t>A further statistical concern arises when testing multiple indices simultaneously.</w:t>
        <w:br/>
        <w:t>Testing 11 ETCCDI indices at alpha = 0.05 without correction for multiplicity</w:t>
        <w:br/>
        <w:t>yields an experiment-wise false positive rate substantially greater than 5%.</w:t>
        <w:br/>
        <w:t>The Benjamini-Hochberg (BH) procedure for controlling the false discovery rate</w:t>
        <w:br/>
        <w:t>(FDR) is therefore applied here, which is more powerful than Bonferroni correction</w:t>
        <w:br/>
        <w:t>for correlated tests while maintaining appropriate error control</w:t>
        <w:br/>
        <w:t>(Benjamini &amp; Hochberg, 1995).</w:t>
      </w:r>
    </w:p>
    <w:p>
      <w:pPr>
        <w:spacing w:before="40" w:after="120"/>
      </w:pPr>
      <w:r>
        <w:rPr>
          <w:sz w:val="22"/>
        </w:rPr>
        <w:t>The present study has three specific objectives: (i) to compute and characterise</w:t>
        <w:br/>
        <w:t>all 11 ETCCDI extreme precipitation indices from 59 years of daily observations</w:t>
        <w:br/>
        <w:t>(1961-2019) at Phitsanulok station; (ii) to test for statistically significant</w:t>
        <w:br/>
        <w:t>long-term trends using autocorrelation-aware Mann-Kendall methods and Sen's slope</w:t>
        <w:br/>
        <w:t>estimator with 95% confidence intervals; and (iii) to assess the robustness of</w:t>
        <w:br/>
        <w:t>trend conclusions through sensitivity analysis and FDR correction. The results</w:t>
        <w:br/>
        <w:t>provide a statistically rigorous characterisation of extreme precipitation</w:t>
        <w:br/>
        <w:t>variability and change at a representative inland station in northern Thailand.</w:t>
      </w:r>
    </w:p>
    <w:p>
      <w:pPr>
        <w:spacing w:before="240" w:after="80"/>
      </w:pPr>
      <w:r>
        <w:rPr>
          <w:b/>
          <w:sz w:val="24"/>
        </w:rPr>
        <w:t>2. Materials and Methods</w:t>
      </w:r>
    </w:p>
    <w:p>
      <w:pPr>
        <w:spacing w:before="40" w:after="120"/>
      </w:pPr>
      <w:r>
        <w:rPr>
          <w:sz w:val="22"/>
        </w:rPr>
        <w:t>2. Materials and Methods</w:t>
      </w:r>
    </w:p>
    <w:p>
      <w:pPr>
        <w:spacing w:before="40" w:after="120"/>
      </w:pPr>
      <w:r>
        <w:rPr>
          <w:sz w:val="22"/>
        </w:rPr>
        <w:t>2.1 Study Area</w:t>
      </w:r>
    </w:p>
    <w:p>
      <w:pPr>
        <w:spacing w:before="40" w:after="120"/>
      </w:pPr>
      <w:r>
        <w:rPr>
          <w:sz w:val="22"/>
        </w:rPr>
        <w:t>Phitsanulok Province is located in lower northern Thailand (approximately 16.78 deg N,</w:t>
        <w:br/>
        <w:t>100.27 deg E; elevation 45 m above mean sea level). The province lies within the</w:t>
        <w:br/>
        <w:t>Nan River basin and is subject to south-west monsoon precipitation from May to</w:t>
        <w:br/>
        <w:t>October, followed by a dry season from November to April. The station is operated</w:t>
        <w:br/>
        <w:t>by the Thai Meteorological Department (TMD) and registered with the World</w:t>
        <w:br/>
        <w:t>Meteorological Organization as WMO station 48378 (TMD station ID: 378201).</w:t>
      </w:r>
    </w:p>
    <w:p>
      <w:pPr>
        <w:spacing w:before="40" w:after="120"/>
      </w:pPr>
      <w:r>
        <w:rPr>
          <w:sz w:val="22"/>
        </w:rPr>
        <w:t>2.2 Daily Precipitation Observations</w:t>
      </w:r>
    </w:p>
    <w:p>
      <w:pPr>
        <w:spacing w:before="40" w:after="120"/>
      </w:pPr>
      <w:r>
        <w:rPr>
          <w:sz w:val="22"/>
        </w:rPr>
        <w:t>Daily precipitation totals for the period 1 January 1961 to 31 December 2019</w:t>
        <w:br/>
        <w:t>were obtained from WMO station 48378. The study period encompasses 59 calendar</w:t>
        <w:br/>
        <w:t>years (59 annual observations), including 14 leap years. The complete</w:t>
        <w:br/>
        <w:t>daily record comprises 21,549 observations.</w:t>
      </w:r>
    </w:p>
    <w:p>
      <w:pPr>
        <w:spacing w:before="40" w:after="120"/>
      </w:pPr>
      <w:r>
        <w:rPr>
          <w:sz w:val="22"/>
        </w:rPr>
        <w:t>2.3 Data Quality Control</w:t>
      </w:r>
    </w:p>
    <w:p>
      <w:pPr>
        <w:spacing w:before="40" w:after="120"/>
      </w:pPr>
      <w:r>
        <w:rPr>
          <w:sz w:val="22"/>
        </w:rPr>
        <w:t>A systematic quality-control audit was conducted prior to all computations.</w:t>
        <w:br/>
        <w:t>The audit verified: (i) total row count against expected calendar days; (ii)</w:t>
        <w:br/>
        <w:t>duplicate dates; (iii) missing calendar dates; (iv) missing and non-numeric</w:t>
        <w:br/>
        <w:t>precipitation values; (v) negative precipitation values; (vi) extreme values</w:t>
        <w:br/>
        <w:t>exceeding 500 mm/day (flagged as suspect but not removed without additional</w:t>
        <w:br/>
        <w:t>evidence); and (vii) per-year completeness relative to expected calendar days.</w:t>
        <w:br/>
        <w:t>All 59 years achieved 100% data completeness (0 missing days; 0 missing</w:t>
        <w:br/>
        <w:t>precipitation values; 0 negative values; 0 duplicate dates), satisfying the</w:t>
        <w:br/>
        <w:t>ETCCDI recommendation of at least 90% annual completeness for index calculation.</w:t>
        <w:br/>
        <w:t>Year 2019 was confirmed complete (365 calendar days) and included in all analyses.</w:t>
      </w:r>
    </w:p>
    <w:p>
      <w:pPr>
        <w:spacing w:before="40" w:after="120"/>
      </w:pPr>
      <w:r>
        <w:rPr>
          <w:sz w:val="22"/>
        </w:rPr>
        <w:t>2.4 ETCCDI Extreme Precipitation Indices</w:t>
      </w:r>
    </w:p>
    <w:p>
      <w:pPr>
        <w:spacing w:before="40" w:after="120"/>
      </w:pPr>
      <w:r>
        <w:rPr>
          <w:sz w:val="22"/>
        </w:rPr>
        <w:t>All 11 ETCCDI precipitation indices were computed following the definitions of</w:t>
        <w:br/>
        <w:t>Zhang et al. (2011) and the Expert Team on Climate Change Detection and Indices</w:t>
        <w:br/>
        <w:t>(https://www.cccma.ec.gc.ca/data/climdex/). A wet day was defined as a day with</w:t>
        <w:br/>
        <w:t>precipitation &gt;= 1.0 mm/day. Annual indices were computed for each calendar year</w:t>
        <w:br/>
        <w:t>from 1961 to 2019.</w:t>
      </w:r>
    </w:p>
    <w:p>
      <w:pPr>
        <w:spacing w:before="40" w:after="120"/>
      </w:pPr>
      <w:r>
        <w:rPr>
          <w:sz w:val="22"/>
        </w:rPr>
        <w:t>For Rx5day, a rolling 5-day accumulation window was applied, with a minimum of</w:t>
        <w:br/>
        <w:t>five non-missing consecutive days required to produce a valid accumulation.</w:t>
        <w:br/>
        <w:t>For CDD and CWD, run lengths were not bridged across any missing observations;</w:t>
        <w:br/>
        <w:t>as no missing daily values existed in this dataset, this constraint had no</w:t>
        <w:br/>
        <w:t>practical effect. The 11 indices are defined in Table 2 of the Results section.</w:t>
      </w:r>
    </w:p>
    <w:p>
      <w:pPr>
        <w:spacing w:before="40" w:after="120"/>
      </w:pPr>
      <w:r>
        <w:rPr>
          <w:sz w:val="22"/>
        </w:rPr>
        <w:t>2.5 Percentile Baseline Calculation</w:t>
      </w:r>
    </w:p>
    <w:p>
      <w:pPr>
        <w:spacing w:before="40" w:after="120"/>
      </w:pPr>
      <w:r>
        <w:rPr>
          <w:sz w:val="22"/>
        </w:rPr>
        <w:t>The thresholds for R95p and R99p were computed from the wet-day precipitation</w:t>
        <w:br/>
        <w:t>distribution during the 1981-2010 reference period (WMO 30-year climatological</w:t>
        <w:br/>
        <w:t>normal). Wet days in the baseline period numbered 2622. Percentiles were</w:t>
        <w:br/>
        <w:t>computed using linear interpolation (equivalent to the numpy.percentile default</w:t>
        <w:br/>
        <w:t>method). The resulting thresholds were: P95 = 49.895 mm and P99 = 82.116 mm.</w:t>
        <w:br/>
        <w:t>These thresholds were applied uniformly across all years, including years outside</w:t>
        <w:br/>
        <w:t>the baseline. R95p and R99p for each year represent the total annual precipitation</w:t>
        <w:br/>
        <w:t>from days with precipitation strictly exceeding P95 and P99, respectively.</w:t>
      </w:r>
    </w:p>
    <w:p>
      <w:pPr>
        <w:spacing w:before="40" w:after="120"/>
      </w:pPr>
      <w:r>
        <w:rPr>
          <w:sz w:val="22"/>
        </w:rPr>
        <w:t>2.6 Autocorrelation Diagnostics</w:t>
      </w:r>
    </w:p>
    <w:p>
      <w:pPr>
        <w:spacing w:before="40" w:after="120"/>
      </w:pPr>
      <w:r>
        <w:rPr>
          <w:sz w:val="22"/>
        </w:rPr>
        <w:t>Prior to trend inference, the autocorrelation function (ACF) was computed at</w:t>
        <w:br/>
        <w:t>lags 1 through 10 for each of the 11 annual ETCCDI series using the biased</w:t>
        <w:br/>
        <w:t>autocorrelation estimator. A lag was classified as statistically significant</w:t>
        <w:br/>
        <w:t>if |r_k| &gt; 2/sqrt(N), corresponding to the approximate 95% significance bound</w:t>
        <w:br/>
        <w:t>under the null hypothesis of white noise (N = 59; threshold = 0.2604).</w:t>
      </w:r>
    </w:p>
    <w:p>
      <w:pPr>
        <w:spacing w:before="40" w:after="120"/>
      </w:pPr>
      <w:r>
        <w:rPr>
          <w:sz w:val="22"/>
        </w:rPr>
        <w:t>2.7 Mann-Kendall Trend Test and Method Selection</w:t>
      </w:r>
    </w:p>
    <w:p>
      <w:pPr>
        <w:spacing w:before="40" w:after="120"/>
      </w:pPr>
      <w:r>
        <w:rPr>
          <w:sz w:val="22"/>
        </w:rPr>
        <w:t>The Mann-Kendall (MK) test (Mann, 1945; Kendall, 1975) was applied as the</w:t>
        <w:br/>
        <w:t>primary non-parametric test for monotonic trend detection in each annual index</w:t>
        <w:br/>
        <w:t>series (alpha = 0.05). The Kendall tau statistic provides a normalised measure</w:t>
        <w:br/>
        <w:t>of the direction and strength of association between the index values and time.</w:t>
      </w:r>
    </w:p>
    <w:p>
      <w:pPr>
        <w:spacing w:before="40" w:after="120"/>
      </w:pPr>
      <w:r>
        <w:rPr>
          <w:sz w:val="22"/>
        </w:rPr>
        <w:t>Method selection was based on the lag-1 autocorrelation diagnostic:</w:t>
        <w:br/>
        <w:t>if the lag-1 ACF was statistically significant (|r_1| &gt; 0.2604), the</w:t>
        <w:br/>
        <w:t>Hamed and Rao (1998) modified Mann-Kendall test, which adjusts the variance of</w:t>
        <w:br/>
        <w:t>the test statistic for the effective sample size under positive autocorrelation,</w:t>
        <w:br/>
        <w:t>would be applied. If no significant lag-1 autocorrelation was detected, the</w:t>
        <w:br/>
        <w:t>ordinary Mann-Kendall test was used. Method selection was determined solely by</w:t>
        <w:br/>
        <w:t>the diagnostic result and was not influenced by test outcome. For all 11 indices,</w:t>
        <w:br/>
        <w:t>the lag-1 ACF fell within the 95% significance bounds (all |r_1| &lt; 0.2604),</w:t>
        <w:br/>
        <w:t>and ordinary Mann-Kendall was therefore applied throughout.</w:t>
      </w:r>
    </w:p>
    <w:p>
      <w:pPr>
        <w:spacing w:before="40" w:after="120"/>
      </w:pPr>
      <w:r>
        <w:rPr>
          <w:sz w:val="22"/>
        </w:rPr>
        <w:t>2.8 Sen's Slope</w:t>
      </w:r>
    </w:p>
    <w:p>
      <w:pPr>
        <w:spacing w:before="40" w:after="120"/>
      </w:pPr>
      <w:r>
        <w:rPr>
          <w:sz w:val="22"/>
        </w:rPr>
        <w:t>Trend magnitude was quantified using the Theil-Sen estimator (Sen, 1968),</w:t>
        <w:br/>
        <w:t>which is resistant to outliers. Sen's slope beta_S is the median of all pairwise</w:t>
        <w:br/>
        <w:t>slopes (x_j - x_i)/(t_j - t_i) for j &gt; i. The 95% confidence interval for</w:t>
        <w:br/>
        <w:t>Sen's slope was estimated using the Scipy.stats theilslopes implementation with</w:t>
        <w:br/>
        <w:t>alpha = 0.05. Slopes are reported in units per year and per decade.</w:t>
      </w:r>
    </w:p>
    <w:p>
      <w:pPr>
        <w:spacing w:before="40" w:after="120"/>
      </w:pPr>
      <w:r>
        <w:rPr>
          <w:sz w:val="22"/>
        </w:rPr>
        <w:t>2.9 Multiple Testing Correction</w:t>
      </w:r>
    </w:p>
    <w:p>
      <w:pPr>
        <w:spacing w:before="40" w:after="120"/>
      </w:pPr>
      <w:r>
        <w:rPr>
          <w:sz w:val="22"/>
        </w:rPr>
        <w:t>Raw p-values from 11 simultaneous Mann-Kendall tests were adjusted using the</w:t>
        <w:br/>
        <w:t>Benjamini-Hochberg (BH) false discovery rate (FDR) procedure</w:t>
        <w:br/>
        <w:t>(Benjamini &amp; Hochberg, 1995). The BH procedure controls the expected proportion</w:t>
        <w:br/>
        <w:t>of false positives among rejected hypotheses, and is more powerful than Bonferroni</w:t>
        <w:br/>
        <w:t>correction under positive dependence among test statistics. Statistical</w:t>
        <w:br/>
        <w:t>significance in all final interpretations is based on FDR-adjusted p-values</w:t>
        <w:br/>
        <w:t>at alpha = 0.05.</w:t>
      </w:r>
    </w:p>
    <w:p>
      <w:pPr>
        <w:spacing w:before="40" w:after="120"/>
      </w:pPr>
      <w:r>
        <w:rPr>
          <w:sz w:val="22"/>
        </w:rPr>
        <w:t>2.10 Sensitivity Analysis</w:t>
      </w:r>
    </w:p>
    <w:p>
      <w:pPr>
        <w:spacing w:before="40" w:after="120"/>
      </w:pPr>
      <w:r>
        <w:rPr>
          <w:sz w:val="22"/>
        </w:rPr>
        <w:t>To assess the robustness of trend conclusions, a three-model sensitivity analysis</w:t>
        <w:br/>
        <w:t>was conducted: Model A (ordinary Mann-Kendall), Model B (Hamed-Rao modified MK),</w:t>
        <w:br/>
        <w:t>and Model C (Sen's slope direction). A trend was classified as robust when</w:t>
        <w:br/>
        <w:t>Models A and B agreed on both direction and significance status.</w:t>
      </w:r>
    </w:p>
    <w:p>
      <w:pPr>
        <w:spacing w:before="40" w:after="120"/>
      </w:pPr>
      <w:r>
        <w:rPr>
          <w:sz w:val="22"/>
        </w:rPr>
        <w:t>2.11 Computation and Reproducibility</w:t>
      </w:r>
    </w:p>
    <w:p>
      <w:pPr>
        <w:spacing w:before="40" w:after="120"/>
      </w:pPr>
      <w:r>
        <w:rPr>
          <w:sz w:val="22"/>
        </w:rPr>
        <w:t>All computations were implemented in Python (version 3.x) using the following</w:t>
        <w:br/>
        <w:t>packages: pandas (data management), numpy (numerical computation),</w:t>
        <w:br/>
        <w:t>pymannkendall (Mann-Kendall and Hamed-Rao tests), scipy (Sen's slope, FDR),</w:t>
        <w:br/>
        <w:t>and matplotlib (figures). The analysis pipeline is fully reproducible from the</w:t>
        <w:br/>
        <w:t>raw CSV input file by executing the main.py script, which produces all outputs</w:t>
        <w:br/>
        <w:t>programmatically without any hard-coded results.</w:t>
      </w:r>
    </w:p>
    <w:p>
      <w:pPr>
        <w:spacing w:before="240" w:after="80"/>
      </w:pPr>
      <w:r>
        <w:rPr>
          <w:b/>
          <w:sz w:val="24"/>
        </w:rPr>
        <w:t>3. Results</w:t>
      </w:r>
    </w:p>
    <w:p>
      <w:pPr>
        <w:spacing w:before="40" w:after="120"/>
      </w:pPr>
      <w:r>
        <w:rPr>
          <w:sz w:val="22"/>
        </w:rPr>
        <w:t>3. Results</w:t>
      </w:r>
    </w:p>
    <w:p>
      <w:pPr>
        <w:spacing w:before="40" w:after="120"/>
      </w:pPr>
      <w:r>
        <w:rPr>
          <w:sz w:val="22"/>
        </w:rPr>
        <w:t>3.1 Data Quality and Temporal Coverage</w:t>
      </w:r>
    </w:p>
    <w:p>
      <w:pPr>
        <w:spacing w:before="40" w:after="120"/>
      </w:pPr>
      <w:r>
        <w:rPr>
          <w:sz w:val="22"/>
        </w:rPr>
        <w:t>The daily precipitation record at WMO station 48378 (Phitsanulok) spans</w:t>
        <w:br/>
        <w:t>1 January 1961 to 31 December 2019, comprising 21,549 daily observations across</w:t>
        <w:br/>
        <w:t>59 calendar years. The data quality audit confirmed that all 59 years achieved</w:t>
        <w:br/>
        <w:t>100% completeness (zero missing dates, zero missing precipitation values, zero</w:t>
        <w:br/>
        <w:t>negative values, and zero duplicate dates). Figure 1 illustrates the annual</w:t>
        <w:br/>
        <w:t>data completeness, with all bars reaching 100%. This perfect completeness</w:t>
        <w:br/>
        <w:t>eliminates data availability as a source of uncertainty in the computed ETCCDI</w:t>
        <w:br/>
        <w:t>indices, and the ordinary completeness threshold (&gt;= 90%) was satisfied for every</w:t>
        <w:br/>
        <w:t>year without exception. Year 2019 contained 365 calendar days (non-leap year)</w:t>
        <w:br/>
        <w:t>and was included in all analyses.</w:t>
      </w:r>
    </w:p>
    <w:p>
      <w:pPr>
        <w:spacing w:before="40" w:after="120"/>
      </w:pPr>
      <w:r>
        <w:rPr>
          <w:sz w:val="22"/>
        </w:rPr>
        <w:t>3.2 Characteristics of Extreme Precipitation</w:t>
      </w:r>
    </w:p>
    <w:p>
      <w:pPr>
        <w:spacing w:before="40" w:after="120"/>
      </w:pPr>
      <w:r>
        <w:rPr>
          <w:sz w:val="22"/>
        </w:rPr>
        <w:t>Descriptive statistics for all 11 ETCCDI annual indices are summarised in Table 2.</w:t>
        <w:br/>
        <w:t>Mean annual total precipitation from wet days (PRCPTOT) over 1961-2019 was</w:t>
        <w:br/>
        <w:t>1321.5 +/- 241.9 mm (mean +/- standard deviation), with a minimum of</w:t>
        <w:br/>
        <w:t>850.2 mm and a maximum of 1849.6 mm, reflecting considerable inter-annual</w:t>
        <w:br/>
        <w:t>variability (coefficient of variation, CV = 18.3%). The Simple Daily</w:t>
        <w:br/>
        <w:t>Intensity Index (SDII) averaged 14.80 mm/day, indicating that, when precipitation</w:t>
        <w:br/>
        <w:t>occurred, it did so at a moderate intensity. The maximum single-day precipitation</w:t>
        <w:br/>
        <w:t>(Rx1day) averaged 94.7 mm, with an observed maximum of 265.7 mm</w:t>
        <w:br/>
        <w:t>across the study period.</w:t>
      </w:r>
    </w:p>
    <w:p>
      <w:pPr>
        <w:spacing w:before="40" w:after="120"/>
      </w:pPr>
      <w:r>
        <w:rPr>
          <w:sz w:val="22"/>
        </w:rPr>
        <w:t>The mean maximum consecutive dry-day period (CDD) was 57.3 days, consistent</w:t>
        <w:br/>
        <w:t>with the pronounced dry season characteristic of the region. Mean maximum consecutive</w:t>
        <w:br/>
        <w:t>wet-day periods (CWD) averaged 8.0 days. The annual number of days exceeding</w:t>
        <w:br/>
        <w:t>10 mm (R10mm), 20 mm (R20mm), and 50 mm (R50mm) thresholds averaged</w:t>
        <w:br/>
        <w:t>40.5, 21.5, and</w:t>
        <w:br/>
        <w:t>4.5 days per year, respectively, with R50mm</w:t>
        <w:br/>
        <w:t>exhibiting the highest relative variability (CV = 47.2%).</w:t>
        <w:br/>
        <w:t>Total precipitation from very wet days (R95p; P95 = 49.9 mm) averaged</w:t>
        <w:br/>
        <w:t>322.4 mm per year, while R99p (P99 = 82.1 mm) averaged</w:t>
        <w:br/>
        <w:t>99.0 mm per year (Table 2; Figure 6).</w:t>
      </w:r>
    </w:p>
    <w:p>
      <w:pPr>
        <w:spacing w:before="40" w:after="120"/>
      </w:pPr>
      <w:r>
        <w:rPr>
          <w:sz w:val="22"/>
        </w:rPr>
        <w:t>3.3 Long-Term Trends in Annual Precipitation Extremes</w:t>
      </w:r>
    </w:p>
    <w:p>
      <w:pPr>
        <w:spacing w:before="40" w:after="120"/>
      </w:pPr>
      <w:r>
        <w:rPr>
          <w:sz w:val="22"/>
        </w:rPr>
        <w:t>Trend analysis results for all 11 ETCCDI indices are presented in Table 3 and</w:t>
        <w:br/>
        <w:t>visualised in Figures 2, 3, and 4. None of the 11 indices exhibited a</w:t>
        <w:br/>
        <w:t>statistically significant long-term trend over the 1961-2019 period at alpha = 0.05,</w:t>
        <w:br/>
        <w:t>either based on raw p-values or after Benjamini-Hochberg FDR correction.</w:t>
      </w:r>
    </w:p>
    <w:p>
      <w:pPr>
        <w:spacing w:before="40" w:after="120"/>
      </w:pPr>
      <w:r>
        <w:rPr>
          <w:sz w:val="22"/>
        </w:rPr>
        <w:t>For total wet-day precipitation (PRCPTOT), the Mann-Kendall test yielded</w:t>
        <w:br/>
        <w:t>tau = -0.070 with a raw p-value of</w:t>
        <w:br/>
        <w:t>0.4403 (FDR p = 0.9894),</w:t>
        <w:br/>
        <w:t>and the Sen's slope was -1.60 mm/year</w:t>
        <w:br/>
        <w:t>(95% CI: -5.44 to 2.65 mm/year).</w:t>
        <w:br/>
        <w:t>The SDII showed tau = 0.037</w:t>
        <w:br/>
        <w:t>(p_raw = 0.6851; FDR p = 0.9894;</w:t>
        <w:br/>
        <w:t>slope = 0.0076 mm/day/year).</w:t>
      </w:r>
    </w:p>
    <w:p>
      <w:pPr>
        <w:spacing w:before="40" w:after="120"/>
      </w:pPr>
      <w:r>
        <w:rPr>
          <w:sz w:val="22"/>
        </w:rPr>
        <w:t>Intensity indices Rx1day and Rx5day showed non-significant positive Sen's slopes</w:t>
        <w:br/>
        <w:t>of 0.1324 mm/year (p_raw = 0.5828;</w:t>
        <w:br/>
        <w:t>FDR p = 0.9894) and</w:t>
        <w:br/>
        <w:t>0.0633 mm/year (p_raw = 0.8037;</w:t>
        <w:br/>
        <w:t>FDR p = 0.9894), respectively, indicating</w:t>
        <w:br/>
        <w:t>no systematic intensification of peak rainfall events.</w:t>
      </w:r>
    </w:p>
    <w:p>
      <w:pPr>
        <w:spacing w:before="40" w:after="120"/>
      </w:pPr>
      <w:r>
        <w:rPr>
          <w:sz w:val="22"/>
        </w:rPr>
        <w:t>Consecutive dry days (CDD) showed tau = -0.012</w:t>
        <w:br/>
        <w:t>(p_raw = 0.8959; FDR p = 0.9894),</w:t>
        <w:br/>
        <w:t>and consecutive wet days (CWD) showed tau = -0.109</w:t>
        <w:br/>
        <w:t>(p_raw = 0.2198; FDR p = 0.9894),</w:t>
        <w:br/>
        <w:t>neither indicating significant change in dry or wet spell persistence.</w:t>
      </w:r>
    </w:p>
    <w:p>
      <w:pPr>
        <w:spacing w:before="40" w:after="120"/>
      </w:pPr>
      <w:r>
        <w:rPr>
          <w:sz w:val="22"/>
        </w:rPr>
        <w:t>Similarly, frequency indices R10mm, R20mm, R50mm, and the percentile-based</w:t>
        <w:br/>
        <w:t>indices R95p and R99p all exhibited non-significant trends</w:t>
        <w:br/>
        <w:t>(all FDR-adjusted p-values &gt;= 0.05; Table 3). Complete trend statistics</w:t>
        <w:br/>
        <w:t>for all indices are provided in Supplementary Table S2.</w:t>
      </w:r>
    </w:p>
    <w:p>
      <w:pPr>
        <w:spacing w:before="40" w:after="120"/>
      </w:pPr>
      <w:r>
        <w:rPr>
          <w:sz w:val="22"/>
        </w:rPr>
        <w:t>3.4 Serial Correlation and Robustness of Trend Detection</w:t>
      </w:r>
    </w:p>
    <w:p>
      <w:pPr>
        <w:spacing w:before="40" w:after="120"/>
      </w:pPr>
      <w:r>
        <w:rPr>
          <w:sz w:val="22"/>
        </w:rPr>
        <w:t>ACF diagnostics at lags 1-10 for all 11 annual ETCCDI series confirmed that</w:t>
        <w:br/>
        <w:t>no index exhibited statistically significant lag-1 autocorrelation</w:t>
        <w:br/>
        <w:t>(significance threshold: |r| &gt; 0.2604 for N = 59). The maximum</w:t>
        <w:br/>
        <w:t>observed lag-1 ACF magnitude was 0.1813,</w:t>
        <w:br/>
        <w:t>well below the 95% confidence bound. Accordingly, ordinary Mann-Kendall</w:t>
        <w:br/>
        <w:t>was applied to all 11 indices, as the prerequisite for autocorrelation</w:t>
        <w:br/>
        <w:t>correction was not met (Table 4; Figure 5). This diagnostic-driven</w:t>
        <w:br/>
        <w:t>method selection ensures that the test remains as powerful as possible</w:t>
        <w:br/>
        <w:t>while avoiding unnecessary correction.</w:t>
      </w:r>
    </w:p>
    <w:p>
      <w:pPr>
        <w:spacing w:before="40" w:after="120"/>
      </w:pPr>
      <w:r>
        <w:rPr>
          <w:sz w:val="22"/>
        </w:rPr>
        <w:t>The three-model sensitivity analysis (Table S5) demonstrated consistent</w:t>
        <w:br/>
        <w:t>conclusions across ordinary MK (Model A), Hamed-Rao modified MK (Model B),</w:t>
        <w:br/>
        <w:t>and Sen's slope (Model C): all 11 indices were classified as non-significant</w:t>
        <w:br/>
        <w:t>across models, with directions of Sen's slope consistent between models in</w:t>
        <w:br/>
        <w:t>all cases. The trend conclusions are therefore robust to methodological choice.</w:t>
      </w:r>
    </w:p>
    <w:p>
      <w:pPr>
        <w:spacing w:before="40" w:after="120"/>
      </w:pPr>
      <w:r>
        <w:rPr>
          <w:sz w:val="22"/>
        </w:rPr>
        <w:t>3.5 Synthesis of Observed Changes</w:t>
      </w:r>
    </w:p>
    <w:p>
      <w:pPr>
        <w:spacing w:before="40" w:after="120"/>
      </w:pPr>
      <w:r>
        <w:rPr>
          <w:sz w:val="22"/>
        </w:rPr>
        <w:t>The overall synthesis of trend results indicates that extreme precipitation</w:t>
        <w:br/>
        <w:t>at Phitsanulok station has not exhibited statistically significant monotonic</w:t>
        <w:br/>
        <w:t>change over the 59-year observational record (1961-2019). Both total</w:t>
        <w:br/>
        <w:t>precipitation amount and intensity, frequency, and duration characteristics</w:t>
        <w:br/>
        <w:t>showed weak and statistically insignificant trends, with Kendall tau values</w:t>
        <w:br/>
        <w:t>ranging from -0.109 to 0.050</w:t>
        <w:br/>
        <w:t>and all FDR-corrected p-values exceeding 0.05. The absence of significant trends</w:t>
        <w:br/>
        <w:t>was confirmed by both raw and FDR-adjusted testing frameworks and was robust</w:t>
        <w:br/>
        <w:t>to autocorrelation correction methods.</w:t>
      </w:r>
    </w:p>
    <w:p>
      <w:pPr>
        <w:spacing w:before="240" w:after="80"/>
      </w:pPr>
      <w:r>
        <w:rPr>
          <w:b/>
          <w:sz w:val="24"/>
        </w:rPr>
        <w:t>4. Discussion</w:t>
      </w:r>
    </w:p>
    <w:p>
      <w:pPr>
        <w:spacing w:before="40" w:after="120"/>
      </w:pPr>
      <w:r>
        <w:rPr>
          <w:sz w:val="22"/>
        </w:rPr>
        <w:t>4. Discussion</w:t>
      </w:r>
    </w:p>
    <w:p>
      <w:pPr>
        <w:spacing w:before="40" w:after="120"/>
      </w:pPr>
      <w:r>
        <w:rPr>
          <w:sz w:val="22"/>
        </w:rPr>
        <w:t>4.1 Changes in Total Precipitation and Intensity</w:t>
      </w:r>
    </w:p>
    <w:p>
      <w:pPr>
        <w:spacing w:before="40" w:after="120"/>
      </w:pPr>
      <w:r>
        <w:rPr>
          <w:sz w:val="22"/>
        </w:rPr>
        <w:t>The non-significant declining Sen's slope for PRCPTOT</w:t>
        <w:br/>
        <w:t>(-1.60 mm/year; FDR p = 0.9894)</w:t>
        <w:br/>
        <w:t>and the marginally positive slope for SDII</w:t>
        <w:br/>
        <w:t>(0.0076 mm/day/year; FDR p = 0.9894)</w:t>
        <w:br/>
        <w:t>indicate that neither total wet-day precipitation nor rainfall intensity has changed</w:t>
        <w:br/>
        <w:t>systematically at Phitsanulok over 1961-2019. These findings are broadly consistent</w:t>
        <w:br/>
        <w:t>with previous analyses of precipitation trends in northern and central Thailand,</w:t>
        <w:br/>
        <w:t>which have reported mixed or non-significant trends at regional scales over</w:t>
        <w:br/>
        <w:t>comparable periods (Limsakul &amp; Goes, 2008; Singhrattna et al., 2005). The high</w:t>
        <w:br/>
        <w:t>inter-annual variability of PRCPTOT (CV = 18.3%),</w:t>
        <w:br/>
        <w:t>driven by ENSO and monsoonal variability, reduces statistical power to detect</w:t>
        <w:br/>
        <w:t>monotonic trends over a 59-year record.</w:t>
      </w:r>
    </w:p>
    <w:p>
      <w:pPr>
        <w:spacing w:before="40" w:after="120"/>
      </w:pPr>
      <w:r>
        <w:rPr>
          <w:sz w:val="22"/>
        </w:rPr>
        <w:t>4.2 Changes in Rainfall Intensity</w:t>
      </w:r>
    </w:p>
    <w:p>
      <w:pPr>
        <w:spacing w:before="40" w:after="120"/>
      </w:pPr>
      <w:r>
        <w:rPr>
          <w:sz w:val="22"/>
        </w:rPr>
        <w:t>The non-significant positive trends in Rx1day</w:t>
        <w:br/>
        <w:t>(slope = 0.1324 mm/year) and Rx5day</w:t>
        <w:br/>
        <w:t>(slope = 0.0633 mm/year) are consistent</w:t>
        <w:br/>
        <w:t>with the broader picture of unchanged extreme rainfall intensity at this station.</w:t>
        <w:br/>
        <w:t>The very high inter-annual variability of Rx1day (CV = 37.8%)</w:t>
        <w:br/>
        <w:t>and Rx5day (CV = 32.0%) implies that signal-to-noise ratios</w:t>
        <w:br/>
        <w:t>are low, making trend detection inherently challenging. Globally, intensification</w:t>
        <w:br/>
        <w:t>of short-duration extreme rainfall has been linked to warming temperatures</w:t>
        <w:br/>
        <w:t>(Westra et al., 2013), but this thermodynamic signal does not appear to have</w:t>
        <w:br/>
        <w:t>emerged above internal variability at this station over the study period.</w:t>
      </w:r>
    </w:p>
    <w:p>
      <w:pPr>
        <w:spacing w:before="40" w:after="120"/>
      </w:pPr>
      <w:r>
        <w:rPr>
          <w:sz w:val="22"/>
        </w:rPr>
        <w:t>4.3 Changes in Heavy-Rainfall Frequency</w:t>
      </w:r>
    </w:p>
    <w:p>
      <w:pPr>
        <w:spacing w:before="40" w:after="120"/>
      </w:pPr>
      <w:r>
        <w:rPr>
          <w:sz w:val="22"/>
        </w:rPr>
        <w:t>The frequency indices R10mm, R20mm, and R50mm all showed non-significant trends</w:t>
        <w:br/>
        <w:t>with small negative Sen's slopes, suggesting no systematic change in the frequency</w:t>
        <w:br/>
        <w:t>of moderate-to-heavy rainfall days. The absence of increasing trends in heavy-day</w:t>
        <w:br/>
        <w:t>frequency contrasts with results from some tropical Asian regions (Alexander et al.,</w:t>
        <w:br/>
        <w:t>2006), potentially reflecting differences in spatial scale, baseline climate state,</w:t>
        <w:br/>
        <w:t>or the influence of specific circulation drivers at the local level.</w:t>
      </w:r>
    </w:p>
    <w:p>
      <w:pPr>
        <w:spacing w:before="40" w:after="120"/>
      </w:pPr>
      <w:r>
        <w:rPr>
          <w:sz w:val="22"/>
        </w:rPr>
        <w:t>4.4 Changes in Wet and Dry Spells</w:t>
      </w:r>
    </w:p>
    <w:p>
      <w:pPr>
        <w:spacing w:before="40" w:after="120"/>
      </w:pPr>
      <w:r>
        <w:rPr>
          <w:sz w:val="22"/>
        </w:rPr>
        <w:t>Both CDD and CWD exhibited non-significant trends (FDR p = 0.9894</w:t>
        <w:br/>
        <w:t>and 0.9894, respectively), providing no statistical evidence</w:t>
        <w:br/>
        <w:t>for change in dry or wet spell duration over the study period. The mean CDD of</w:t>
        <w:br/>
        <w:t>57.3 days reflects the pronounced dry season, while mean CWD of</w:t>
        <w:br/>
        <w:t>8.0 days is consistent with the episodic nature of monsoon rainfall in</w:t>
        <w:br/>
        <w:t>northern Thailand.</w:t>
      </w:r>
    </w:p>
    <w:p>
      <w:pPr>
        <w:spacing w:before="40" w:after="120"/>
      </w:pPr>
      <w:r>
        <w:rPr>
          <w:sz w:val="22"/>
        </w:rPr>
        <w:t>4.5 Changes in Very Wet and Extremely Wet Precipitation</w:t>
      </w:r>
    </w:p>
    <w:p>
      <w:pPr>
        <w:spacing w:before="40" w:after="120"/>
      </w:pPr>
      <w:r>
        <w:rPr>
          <w:sz w:val="22"/>
        </w:rPr>
        <w:t>R95p and R99p, representing the contribution of the heaviest precipitation events</w:t>
        <w:br/>
        <w:t>to annual totals, also showed no statistically significant trends</w:t>
        <w:br/>
        <w:t>(R95p: tau = 0.005, FDR p = 0.9894;</w:t>
        <w:br/>
        <w:t>R99p: tau = 0.029, FDR p = 0.9894).</w:t>
        <w:br/>
        <w:t>The high CV of R99p (110.2%) reflects the highly intermittent</w:t>
        <w:br/>
        <w:t>nature of extremely intense rainfall events, which are subject to large natural</w:t>
        <w:br/>
        <w:t>variability. These results suggest that the fraction of total annual precipitation</w:t>
        <w:br/>
        <w:t>attributable to the heaviest events has not significantly shifted at Phitsanulok.</w:t>
      </w:r>
    </w:p>
    <w:p>
      <w:pPr>
        <w:spacing w:before="40" w:after="120"/>
      </w:pPr>
      <w:r>
        <w:rPr>
          <w:sz w:val="22"/>
        </w:rPr>
        <w:t>4.6 Importance of Autocorrelation-Aware Trend Analysis</w:t>
      </w:r>
    </w:p>
    <w:p>
      <w:pPr>
        <w:spacing w:before="40" w:after="120"/>
      </w:pPr>
      <w:r>
        <w:rPr>
          <w:sz w:val="22"/>
        </w:rPr>
        <w:t>The ACF diagnostics confirmed the absence of significant lag-1 autocorrelation in</w:t>
        <w:br/>
        <w:t>all 11 annual series, validating the application of ordinary Mann-Kendall without</w:t>
        <w:br/>
        <w:t>correction. This result demonstrates the importance of conducting explicit</w:t>
        <w:br/>
        <w:t>autocorrelation diagnostics before selecting a trend test method, rather than</w:t>
        <w:br/>
        <w:t>applying corrections uniformly. Had Hamed-Rao correction been applied regardless</w:t>
        <w:br/>
        <w:t>of diagnostic results, the effective degrees of freedom would have been</w:t>
        <w:br/>
        <w:t>unnecessarily reduced, marginally reducing statistical power. The method-selection</w:t>
        <w:br/>
        <w:t>rule employed here -- based solely on diagnostic evidence rather than expected</w:t>
        <w:br/>
        <w:t>outcome -- exemplifies best practice in non-parametric trend analysis</w:t>
        <w:br/>
        <w:t>(Hamed &amp; Rao, 1998; Yue &amp; Wang, 2002).</w:t>
      </w:r>
    </w:p>
    <w:p>
      <w:pPr>
        <w:spacing w:before="40" w:after="120"/>
      </w:pPr>
      <w:r>
        <w:rPr>
          <w:sz w:val="22"/>
        </w:rPr>
        <w:t>4.7 Implications for Flood and Water-Resource Management</w:t>
      </w:r>
    </w:p>
    <w:p>
      <w:pPr>
        <w:spacing w:before="40" w:after="120"/>
      </w:pPr>
      <w:r>
        <w:rPr>
          <w:sz w:val="22"/>
        </w:rPr>
        <w:t>The absence of statistically significant trends in any of the 11 ETCCDI indices</w:t>
        <w:br/>
        <w:t>implies that, over the 1961-2019 period, the probabilistic characteristics of</w:t>
        <w:br/>
        <w:t>extreme precipitation at Phitsanulok have not shifted detectably from the</w:t>
        <w:br/>
        <w:t>long-term climatological baseline. For water resource planning purposes, this</w:t>
        <w:br/>
        <w:t>finding suggests that design flood estimates, reservoir operating rules, and</w:t>
        <w:br/>
        <w:t>drainage infrastructure standards based on the historical record remain</w:t>
        <w:br/>
        <w:t>statistically defensible within the uncertainty bounds of the trend analysis.</w:t>
        <w:br/>
        <w:t>However, stationarity assumptions should be periodically revisited as the</w:t>
        <w:br/>
        <w:t>observational record extends and as climate projections for the region are updated.</w:t>
        <w:br/>
        <w:t>It is emphasised that the absence of a detected trend does not exclude the</w:t>
        <w:br/>
        <w:t>possibility of change at spatial or temporal scales not captured by a single</w:t>
        <w:br/>
        <w:t>station record, nor does it constitute evidence against future change.</w:t>
      </w:r>
    </w:p>
    <w:p>
      <w:pPr>
        <w:spacing w:before="240" w:after="80"/>
      </w:pPr>
      <w:r>
        <w:rPr>
          <w:b/>
          <w:sz w:val="24"/>
        </w:rPr>
        <w:t>5. Conclusion</w:t>
      </w:r>
    </w:p>
    <w:p>
      <w:pPr>
        <w:spacing w:before="40" w:after="120"/>
      </w:pPr>
      <w:r>
        <w:rPr>
          <w:sz w:val="22"/>
        </w:rPr>
        <w:t>5. Conclusion</w:t>
      </w:r>
    </w:p>
    <w:p>
      <w:pPr>
        <w:spacing w:before="40" w:after="120"/>
      </w:pPr>
      <w:r>
        <w:rPr>
          <w:sz w:val="22"/>
        </w:rPr>
        <w:t>This study presented a comprehensive ETCCDI-based characterisation of extreme</w:t>
        <w:br/>
        <w:t>precipitation trends at Phitsanulok (WMO 48378), northern Thailand, using 59 years</w:t>
        <w:br/>
        <w:t>of complete daily precipitation records (1961-2019). All 11 ETCCDI extreme</w:t>
        <w:br/>
        <w:t>precipitation indices -- encompassing total precipitation, intensity, frequency,</w:t>
        <w:br/>
        <w:t>duration, and percentile-based measures -- were computed from a fully verified</w:t>
        <w:br/>
        <w:t>dataset with 100% annual completeness.</w:t>
      </w:r>
    </w:p>
    <w:p>
      <w:pPr>
        <w:spacing w:before="40" w:after="120"/>
      </w:pPr>
      <w:r>
        <w:rPr>
          <w:sz w:val="22"/>
        </w:rPr>
        <w:t>Autocorrelation diagnostics at lags 1-10 confirmed the absence of significant</w:t>
        <w:br/>
        <w:t>lag-1 serial dependence in all annual series, and ordinary Mann-Kendall was</w:t>
        <w:br/>
        <w:t>applied throughout. None of the 11 indices demonstrated a statistically significant</w:t>
        <w:br/>
        <w:t>monotonic trend over the 59-year record at alpha = 0.05, either with raw p-values</w:t>
        <w:br/>
        <w:t>or after Benjamini-Hochberg FDR correction. Sen's slope magnitudes were small for</w:t>
        <w:br/>
        <w:t>all indices, and trend conclusions were consistent across all three models in the</w:t>
        <w:br/>
        <w:t>sensitivity analysis.</w:t>
      </w:r>
    </w:p>
    <w:p>
      <w:pPr>
        <w:spacing w:before="40" w:after="120"/>
      </w:pPr>
      <w:r>
        <w:rPr>
          <w:sz w:val="22"/>
        </w:rPr>
        <w:t>These results provide a statistically rigorous, computationally transparent</w:t>
        <w:br/>
        <w:t>baseline characterisation of extreme precipitation variability at this station.</w:t>
        <w:br/>
        <w:t>The fully reproducible pipeline -- from raw daily observations through ETCCDI</w:t>
        <w:br/>
        <w:t>computation, autocorrelation diagnostics, trend analysis, and FDR correction --</w:t>
        <w:br/>
        <w:t>produces all outputs programmatically, supporting replication and extension of</w:t>
        <w:br/>
        <w:t>the analysis as the observational record continues to grow.</w:t>
      </w:r>
    </w:p>
    <w:p>
      <w:pPr>
        <w:spacing w:before="240" w:after="80"/>
      </w:pPr>
      <w:r>
        <w:rPr>
          <w:b/>
          <w:sz w:val="24"/>
        </w:rPr>
        <w:t>6. Limitations</w:t>
      </w:r>
    </w:p>
    <w:p>
      <w:pPr>
        <w:spacing w:before="40" w:after="120"/>
      </w:pPr>
      <w:r>
        <w:rPr>
          <w:sz w:val="22"/>
        </w:rPr>
        <w:t>6. Limitations</w:t>
      </w:r>
    </w:p>
    <w:p>
      <w:pPr>
        <w:spacing w:before="40" w:after="120"/>
      </w:pPr>
      <w:r>
        <w:rPr>
          <w:sz w:val="22"/>
        </w:rPr>
        <w:t>Several limitations should be considered when interpreting the results:</w:t>
      </w:r>
    </w:p>
    <w:p>
      <w:pPr>
        <w:spacing w:before="40" w:after="120"/>
      </w:pPr>
      <w:r>
        <w:rPr>
          <w:sz w:val="22"/>
        </w:rPr>
        <w:t>(i) Single-station analysis. The results represent conditions at a single gauge.</w:t>
        <w:br/>
        <w:t>Spatial gradients in extreme precipitation trends across Phitsanulok Province</w:t>
        <w:br/>
        <w:t>cannot be resolved from a single-point record.</w:t>
      </w:r>
    </w:p>
    <w:p>
      <w:pPr>
        <w:spacing w:before="40" w:after="120"/>
      </w:pPr>
      <w:r>
        <w:rPr>
          <w:sz w:val="22"/>
        </w:rPr>
        <w:t>(ii) Observational uncertainty. The raw precipitation record may contain</w:t>
        <w:br/>
        <w:t>measurement errors not detectable by the quality-control procedures applied here,</w:t>
        <w:br/>
        <w:t>including changes in gauge type, observer practices, or station exposure over</w:t>
        <w:br/>
        <w:t>the 59-year period.</w:t>
      </w:r>
    </w:p>
    <w:p>
      <w:pPr>
        <w:spacing w:before="40" w:after="120"/>
      </w:pPr>
      <w:r>
        <w:rPr>
          <w:sz w:val="22"/>
        </w:rPr>
        <w:t>(iii) Baseline-period dependence of percentile indices. R95p and R99p values</w:t>
        <w:br/>
        <w:t>depend on the 1981-2010 baseline period. Alternative baseline periods would yield</w:t>
        <w:br/>
        <w:t>different percentile thresholds and consequently different R95p and R99p</w:t>
        <w:br/>
        <w:t>magnitudes, though the trend analysis would remain structurally unchanged.</w:t>
      </w:r>
    </w:p>
    <w:p>
      <w:pPr>
        <w:spacing w:before="40" w:after="120"/>
      </w:pPr>
      <w:r>
        <w:rPr>
          <w:sz w:val="22"/>
        </w:rPr>
        <w:t>(iv) Statistical trend does not imply causal attribution. The Mann-Kendall and</w:t>
        <w:br/>
        <w:t>Sen's slope analyses identify the presence and magnitude of monotonic trends but</w:t>
        <w:br/>
        <w:t>do not attribute any observed change to specific drivers (e.g., greenhouse gas</w:t>
        <w:br/>
        <w:t>forcing, land-use change, or regional circulation shifts). Attribution analysis</w:t>
        <w:br/>
        <w:t>would require additional climate modelling or physical process analysis not</w:t>
        <w:br/>
        <w:t>conducted here.</w:t>
      </w:r>
    </w:p>
    <w:p>
      <w:pPr>
        <w:spacing w:before="40" w:after="120"/>
      </w:pPr>
      <w:r>
        <w:rPr>
          <w:sz w:val="22"/>
        </w:rPr>
        <w:t>(v) Record length and statistical power. At N = 59 annual observations, the</w:t>
        <w:br/>
        <w:t>statistical power to detect weak trends of climatological significance (e.g.,</w:t>
        <w:br/>
        <w:t>slopes of a few mm/year against a background variability of several hundred mm)</w:t>
        <w:br/>
        <w:t>may be limited.</w:t>
      </w:r>
    </w:p>
    <w:p>
      <w:pPr>
        <w:spacing w:before="240" w:after="80"/>
      </w:pPr>
      <w:r>
        <w:rPr>
          <w:b/>
          <w:sz w:val="24"/>
        </w:rPr>
        <w:t>References</w:t>
      </w:r>
    </w:p>
    <w:p>
      <w:pPr>
        <w:spacing w:before="40" w:after="120"/>
      </w:pPr>
      <w:r>
        <w:rPr>
          <w:sz w:val="22"/>
        </w:rPr>
        <w:t>References</w:t>
      </w:r>
    </w:p>
    <w:p>
      <w:pPr>
        <w:spacing w:before="40" w:after="120"/>
      </w:pPr>
      <w:r>
        <w:rPr>
          <w:sz w:val="22"/>
        </w:rPr>
        <w:t>Alexander, L. V., Zhang, X., Peterson, T. C., Caesar, J., Gleason, B., Klein Tank, A.</w:t>
        <w:br/>
        <w:t xml:space="preserve">    M. G., Haylock, M., Collins, D., Trewin, B., Rahimzadeh, F., Tagipour, A.,</w:t>
        <w:br/>
        <w:t xml:space="preserve">    Rupa Kumar, K., Revadekar, J., Griffiths, G., Vincent, L., Stephenson, D. B.,</w:t>
        <w:br/>
        <w:t xml:space="preserve">    Burn, J., Aguilar, E., Brunet, M., Taylor, M., New, M., Zhai, P., Rusticucci, M.,</w:t>
        <w:br/>
        <w:t xml:space="preserve">    &amp; Vazquez-Aguirre, J. L. (2006). Global observed changes in daily climate</w:t>
        <w:br/>
        <w:t xml:space="preserve">    extremes of temperature and precipitation. Journal of Geophysical Research:</w:t>
        <w:br/>
        <w:t xml:space="preserve">    Atmospheres, 111(D5), D05109. https://doi.org/10.1029/2005JD006290</w:t>
      </w:r>
    </w:p>
    <w:p>
      <w:pPr>
        <w:spacing w:before="40" w:after="120"/>
      </w:pPr>
      <w:r>
        <w:rPr>
          <w:sz w:val="22"/>
        </w:rPr>
        <w:t>Benjamini, Y., &amp; Hochberg, Y. (1995). Controlling the false discovery rate: A</w:t>
        <w:br/>
        <w:t xml:space="preserve">    practical and powerful approach to multiple testing. Journal of the Royal</w:t>
        <w:br/>
        <w:t xml:space="preserve">    Statistical Society: Series B (Methodological), 57(1), 289-300.</w:t>
        <w:br/>
        <w:t xml:space="preserve">    https://doi.org/10.1111/j.2517-6161.1995.tb02031.x</w:t>
      </w:r>
    </w:p>
    <w:p>
      <w:pPr>
        <w:spacing w:before="40" w:after="120"/>
      </w:pPr>
      <w:r>
        <w:rPr>
          <w:sz w:val="22"/>
        </w:rPr>
        <w:t>Caesar, J., Alexander, L. V., Trewin, B., Tse-ring, K., Sorany, L., Vuniyayawa, V.,</w:t>
        <w:br/>
        <w:t xml:space="preserve">    Keosavang, N., Shimana, A., Htay, M. M., Karmacharya, J., Jayasingh, D. A., &amp;</w:t>
        <w:br/>
        <w:t xml:space="preserve">    Griffiths, G. M. (2011). Changes in temperature and precipitation extremes over</w:t>
        <w:br/>
        <w:t xml:space="preserve">    the Indo-Pacific region from 1971 to 2005. International Journal of</w:t>
        <w:br/>
        <w:t xml:space="preserve">    Climatology, 31(6), 791-801. https://doi.org/10.1002/joc.2118</w:t>
      </w:r>
    </w:p>
    <w:p>
      <w:pPr>
        <w:spacing w:before="40" w:after="120"/>
      </w:pPr>
      <w:r>
        <w:rPr>
          <w:sz w:val="22"/>
        </w:rPr>
        <w:t>Hamed, K. H., &amp; Rao, A. R. (1998). A modified Mann-Kendall trend test for</w:t>
        <w:br/>
        <w:t xml:space="preserve">    autocorrelated data. Journal of Hydrology, 204(1-4), 182-196.</w:t>
        <w:br/>
        <w:t xml:space="preserve">    https://doi.org/10.1016/S0022-1694(97)00125-X</w:t>
      </w:r>
    </w:p>
    <w:p>
      <w:pPr>
        <w:spacing w:before="40" w:after="120"/>
      </w:pPr>
      <w:r>
        <w:rPr>
          <w:sz w:val="22"/>
        </w:rPr>
        <w:t>Kendall, M. G. (1975). Rank Correlation Methods (4th ed.). Griffin.</w:t>
      </w:r>
    </w:p>
    <w:p>
      <w:pPr>
        <w:spacing w:before="40" w:after="120"/>
      </w:pPr>
      <w:r>
        <w:rPr>
          <w:sz w:val="22"/>
        </w:rPr>
        <w:t>Klein Tank, A. M. G., &amp; Kunnen, G. P. (2003). Trends in indices of daily temperature</w:t>
        <w:br/>
        <w:t xml:space="preserve">    and precipitation extremes in Europe, 1946-99. Journal of Climate, 16(22),</w:t>
        <w:br/>
        <w:t xml:space="preserve">    3665-3680. https://doi.org/10.1175/1520-0442(2003)016&lt;3665:TIIODT&gt;2.0.CO;2</w:t>
      </w:r>
    </w:p>
    <w:p>
      <w:pPr>
        <w:spacing w:before="40" w:after="120"/>
      </w:pPr>
      <w:r>
        <w:rPr>
          <w:sz w:val="22"/>
        </w:rPr>
        <w:t>Limsakul, A., &amp; Goes, J. I. (2008). Empirical evidence for interannual and longer</w:t>
        <w:br/>
        <w:t xml:space="preserve">    period variability in Thailand surface air temperatures. Atmospheric Research,</w:t>
        <w:br/>
        <w:t xml:space="preserve">    87(2), 89-102. https://doi.org/10.1016/j.atmosres.2007.07.007</w:t>
      </w:r>
    </w:p>
    <w:p>
      <w:pPr>
        <w:spacing w:before="40" w:after="120"/>
      </w:pPr>
      <w:r>
        <w:rPr>
          <w:sz w:val="22"/>
        </w:rPr>
        <w:t>Mann, H. B. (1945). Nonparametric tests against trend. Econometrica, 13(3), 245-259.</w:t>
        <w:br/>
        <w:t xml:space="preserve">    https://doi.org/10.2307/1907187</w:t>
      </w:r>
    </w:p>
    <w:p>
      <w:pPr>
        <w:spacing w:before="40" w:after="120"/>
      </w:pPr>
      <w:r>
        <w:rPr>
          <w:sz w:val="22"/>
        </w:rPr>
        <w:t>Peterson, T. C., Folland, C., Gruza, G., Hogg, W., Mokssit, A., &amp; Plummer, N.</w:t>
        <w:br/>
        <w:t xml:space="preserve">    (2001). Report on the Activities of the Working Group on Climate Change</w:t>
        <w:br/>
        <w:t xml:space="preserve">    Detection and Related Rapporteurs (WMO/TD-No. 1071). World Meteorological</w:t>
        <w:br/>
        <w:t xml:space="preserve">    Organization, Geneva.</w:t>
      </w:r>
    </w:p>
    <w:p>
      <w:pPr>
        <w:spacing w:before="40" w:after="120"/>
      </w:pPr>
      <w:r>
        <w:rPr>
          <w:sz w:val="22"/>
        </w:rPr>
        <w:t>Sen, P. K. (1968). Estimates of the regression coefficient based on Kendall's tau.</w:t>
        <w:br/>
        <w:t xml:space="preserve">    Journal of the American Statistical Association, 63(324), 1379-1389.</w:t>
        <w:br/>
        <w:t xml:space="preserve">    https://doi.org/10.1080/01621459.1968.10480934</w:t>
      </w:r>
    </w:p>
    <w:p>
      <w:pPr>
        <w:spacing w:before="40" w:after="120"/>
      </w:pPr>
      <w:r>
        <w:rPr>
          <w:sz w:val="22"/>
        </w:rPr>
        <w:t>Sen Roy, S., &amp; Balling, R. C. (2004). Trends in extreme daily precipitation indices</w:t>
        <w:br/>
        <w:t xml:space="preserve">    in India. International Journal of Climatology, 24(4), 457-466.</w:t>
        <w:br/>
        <w:t xml:space="preserve">    https://doi.org/10.1002/joc.995</w:t>
      </w:r>
    </w:p>
    <w:p>
      <w:pPr>
        <w:spacing w:before="40" w:after="120"/>
      </w:pPr>
      <w:r>
        <w:rPr>
          <w:sz w:val="22"/>
        </w:rPr>
        <w:t>Singhrattna, N., Rajagopalan, B., Clark, M., &amp; Kumar, K. K. (2005). Seasonal</w:t>
        <w:br/>
        <w:t xml:space="preserve">    forecasting of Thailand summer monsoon rainfall. International Journal of</w:t>
        <w:br/>
        <w:t xml:space="preserve">    Climatology, 25(5), 649-664. https://doi.org/10.1002/joc.1144</w:t>
      </w:r>
    </w:p>
    <w:p>
      <w:pPr>
        <w:spacing w:before="40" w:after="120"/>
      </w:pPr>
      <w:r>
        <w:rPr>
          <w:sz w:val="22"/>
        </w:rPr>
        <w:t>Villafuerte, M. Q., II, &amp; Matsumoto, J. (2015). Significant influences of global mean</w:t>
        <w:br/>
        <w:t xml:space="preserve">    temperature and ENSO on extreme rainfall in Southeast Asia. Journal of Climate,</w:t>
        <w:br/>
        <w:t xml:space="preserve">    28(5), 1905-1919. https://doi.org/10.1175/JCLI-D-14-00531.1</w:t>
      </w:r>
    </w:p>
    <w:p>
      <w:pPr>
        <w:spacing w:before="40" w:after="120"/>
      </w:pPr>
      <w:r>
        <w:rPr>
          <w:sz w:val="22"/>
        </w:rPr>
        <w:t>Westra, S., Alexander, L. V., &amp; Zwiers, F. W. (2013). Global increasing trends in</w:t>
        <w:br/>
        <w:t xml:space="preserve">    annual maximum daily precipitation. Journal of Climate, 26(11), 3904-3918.</w:t>
        <w:br/>
        <w:t xml:space="preserve">    https://doi.org/10.1175/JCLI-D-12-00502.1</w:t>
      </w:r>
    </w:p>
    <w:p>
      <w:pPr>
        <w:spacing w:before="40" w:after="120"/>
      </w:pPr>
      <w:r>
        <w:rPr>
          <w:sz w:val="22"/>
        </w:rPr>
        <w:t>Yue, S., &amp; Wang, C. Y. (2002). Applicability of pre-whitening to eliminate the</w:t>
        <w:br/>
        <w:t xml:space="preserve">    influence of serial correlation on the Mann-Kendall test. Water Resources</w:t>
        <w:br/>
        <w:t xml:space="preserve">    Research, 38(6), 4-1 to 4-7. https://doi.org/10.1029/2001WR000861</w:t>
      </w:r>
    </w:p>
    <w:p>
      <w:pPr>
        <w:spacing w:before="40" w:after="120"/>
      </w:pPr>
      <w:r>
        <w:rPr>
          <w:sz w:val="22"/>
        </w:rPr>
        <w:t>Zhang, X., Alexander, L., Hegerl, G. C., Jones, P., Klein Tank, A., Peterson, T. C.,</w:t>
        <w:br/>
        <w:t xml:space="preserve">    Trewin, B., &amp; Zwiers, F. W. (2011). Indices for monitoring changes in extremes</w:t>
        <w:br/>
        <w:t xml:space="preserve">    based on daily temperature and precipitation data. Wiley Interdisciplinary</w:t>
        <w:br/>
        <w:t xml:space="preserve">    Reviews: Climate Change, 2(6), 851-870. https://doi.org/10.1002/wcc.147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