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color w:val="000000"/>
          <w:sz w:val="34"/>
        </w:rPr>
        <w:t>COST-AWARE PROMPT OPTIMIZATION</w:t>
      </w:r>
    </w:p>
    <w:p>
      <w:pPr>
        <w:spacing w:after="100"/>
        <w:jc w:val="center"/>
      </w:pPr>
      <w:r>
        <w:rPr>
          <w:b/>
          <w:color w:val="000000"/>
          <w:sz w:val="26"/>
          <w:u w:val="single"/>
        </w:rPr>
        <w:t>FOR HNSW-BASED VECTOR SEARCH</w:t>
      </w:r>
    </w:p>
    <w:p>
      <w:pPr>
        <w:spacing w:after="180"/>
        <w:jc w:val="center"/>
      </w:pPr>
      <w:r>
        <w:rPr>
          <w:b/>
          <w:color w:val="000000"/>
        </w:rPr>
        <w:t>Repository: hnsw-prompt-optimizer</w:t>
      </w:r>
    </w:p>
    <w:p>
      <w:pPr>
        <w:pStyle w:val="Heading1"/>
      </w:pPr>
      <w:r>
        <w:rPr>
          <w:color w:val="000000"/>
        </w:rPr>
        <w:t>1. Introduction and Problem Statement</w:t>
      </w:r>
    </w:p>
    <w:p>
      <w:r>
        <w:rPr>
          <w:color w:val="000000"/>
        </w:rPr>
        <w:t>Semantic search helps users find information by representing documents and queries as numerical embeddings and comparing their vector representations. HNSW (Hierarchical Navigable Small World) is a graph-based approximate nearest-neighbor search method that supports efficient retrieval from vector collections. However, the quality of retrieval still depends on how well a query expresses the user's information need. Short, ambiguous, or loosely worded queries may not match the language used in relevant documents, causing useful results to be missed or ranked lower.</w:t>
      </w:r>
    </w:p>
    <w:p>
      <w:r>
        <w:rPr>
          <w:color w:val="000000"/>
        </w:rPr>
        <w:t>Large language models (LLMs) can reformulate queries to make their intent clearer and include useful terminology. However, this additional step can increase response time, token consumption, and API expenditure. Applying an LLM to every query may therefore be inefficient, particularly when the original query is already clear. The project addresses this trade-off: can prompt-based query optimization improve retrieval quality, and can it be applied selectively so that the improvement justifies its additional cost?</w:t>
      </w:r>
    </w:p>
    <w:p>
      <w:pPr>
        <w:pStyle w:val="Heading1"/>
      </w:pPr>
      <w:r>
        <w:rPr>
          <w:color w:val="000000"/>
        </w:rPr>
        <w:t>2. Aim and Objectives</w:t>
      </w:r>
    </w:p>
    <w:p>
      <w:r>
        <w:rPr>
          <w:color w:val="000000"/>
        </w:rPr>
        <w:t>The aim is to design and evaluate a cost-aware prompt optimization framework for HNSW-based semantic search. The system will compare conventional retrieval with prompt-optimized retrieval and investigate when reformulation is worth using.</w:t>
      </w:r>
    </w:p>
    <w:p>
      <w:pPr>
        <w:spacing w:after="0"/>
      </w:pPr>
      <w:r>
        <w:rPr>
          <w:color w:val="000000"/>
        </w:rPr>
        <w:t>•  Build a semantic search pipeline using an HNSW vector index.</w:t>
      </w:r>
    </w:p>
    <w:p>
      <w:pPr>
        <w:spacing w:after="0"/>
      </w:pPr>
      <w:r>
        <w:rPr>
          <w:color w:val="000000"/>
        </w:rPr>
        <w:t>•  Create prompt templates that clarify queries while preserving the user's original intent and constraints.</w:t>
      </w:r>
    </w:p>
    <w:p>
      <w:pPr>
        <w:spacing w:after="0"/>
      </w:pPr>
      <w:r>
        <w:rPr>
          <w:color w:val="000000"/>
        </w:rPr>
        <w:t>•  Compare baseline retrieval, prompt-based reformulation, and selective cost-aware optimization.</w:t>
      </w:r>
    </w:p>
    <w:p>
      <w:pPr>
        <w:spacing w:after="0"/>
      </w:pPr>
      <w:r>
        <w:rPr>
          <w:color w:val="000000"/>
        </w:rPr>
        <w:t>•  Evaluate retrieval quality using Recall@k and Precision@k.</w:t>
      </w:r>
    </w:p>
    <w:p>
      <w:pPr>
        <w:spacing w:after="0"/>
      </w:pPr>
      <w:r>
        <w:rPr>
          <w:color w:val="000000"/>
        </w:rPr>
        <w:t>•  Measure end-to-end latency, token usage, and estimated LLM API cost.</w:t>
      </w:r>
    </w:p>
    <w:p>
      <w:pPr>
        <w:spacing w:after="0"/>
      </w:pPr>
      <w:r>
        <w:rPr>
          <w:color w:val="000000"/>
        </w:rPr>
        <w:t>•  Identify query types for which optimization provides a useful balance between relevance and expenditure.</w:t>
      </w:r>
    </w:p>
    <w:p>
      <w:pPr>
        <w:pStyle w:val="Heading1"/>
      </w:pPr>
      <w:r>
        <w:rPr>
          <w:color w:val="000000"/>
        </w:rPr>
        <w:t>3. Proposed Solution and Working Architecture</w:t>
      </w:r>
    </w:p>
    <w:p>
      <w:r>
        <w:rPr>
          <w:color w:val="000000"/>
        </w:rPr>
        <w:t>The proposed system has two main retrieval pipelines. In the baseline pipeline, the original user query is converted into an embedding and used to search the HNSW index. In the optimized pipeline, a prompt first asks an LLM to rewrite the query without answering it or changing its meaning; the rewritten query is then embedded and searched against the same index. A cost-aware decision layer can later skip reformulation for queries that are already clear and use it for queries likely to benefit.</w:t>
      </w:r>
    </w:p>
    <w:tbl>
      <w:tblPr>
        <w:tblW w:type="auto" w:w="0"/>
        <w:jc w:val="center"/>
        <w:tblLayout w:type="autofit"/>
        <w:tblLook w:firstColumn="1" w:firstRow="1" w:lastColumn="0" w:lastRow="0" w:noHBand="0" w:noVBand="1" w:val="04A0"/>
      </w:tblPr>
      <w:tblGrid>
        <w:gridCol w:w="9994"/>
      </w:tblGrid>
      <w:tr>
        <w:tc>
          <w:tcPr>
            <w:tcW w:type="dxa" w:w="9994"/>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20"/>
              <w:jc w:val="center"/>
            </w:pPr>
            <w:r>
              <w:rPr>
                <w:b/>
                <w:color w:val="000000"/>
                <w:sz w:val="18"/>
              </w:rPr>
              <w:t>USER QUERY</w:t>
            </w:r>
          </w:p>
          <w:p>
            <w:pPr>
              <w:spacing w:after="40"/>
              <w:jc w:val="center"/>
            </w:pPr>
            <w:r>
              <w:rPr>
                <w:color w:val="000000"/>
                <w:sz w:val="17"/>
              </w:rPr>
              <w:t>The same evaluation query is sent through each strategy.</w:t>
            </w:r>
          </w:p>
        </w:tc>
      </w:tr>
      <w:tr>
        <w:tc>
          <w:tcPr>
            <w:tcW w:type="dxa" w:w="9994"/>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20"/>
              <w:jc w:val="center"/>
            </w:pPr>
            <w:r>
              <w:rPr>
                <w:b/>
                <w:color w:val="000000"/>
                <w:sz w:val="18"/>
              </w:rPr>
              <w:t>STRATEGY</w:t>
            </w:r>
          </w:p>
          <w:p>
            <w:pPr>
              <w:spacing w:after="40"/>
              <w:jc w:val="center"/>
            </w:pPr>
            <w:r>
              <w:rPr>
                <w:color w:val="000000"/>
                <w:sz w:val="17"/>
              </w:rPr>
              <w:t>Baseline: original query  |  Optimized: prompt-based reformulation.</w:t>
            </w:r>
          </w:p>
        </w:tc>
      </w:tr>
      <w:tr>
        <w:tc>
          <w:tcPr>
            <w:tcW w:type="dxa" w:w="9994"/>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20"/>
              <w:jc w:val="center"/>
            </w:pPr>
            <w:r>
              <w:rPr>
                <w:b/>
                <w:color w:val="000000"/>
                <w:sz w:val="18"/>
              </w:rPr>
              <w:t>EMBEDDING MODEL</w:t>
            </w:r>
          </w:p>
          <w:p>
            <w:pPr>
              <w:spacing w:after="40"/>
              <w:jc w:val="center"/>
            </w:pPr>
            <w:r>
              <w:rPr>
                <w:color w:val="000000"/>
                <w:sz w:val="17"/>
              </w:rPr>
              <w:t>Sentence Transformers converts the query into a vector.</w:t>
            </w:r>
          </w:p>
        </w:tc>
      </w:tr>
      <w:tr>
        <w:tc>
          <w:tcPr>
            <w:tcW w:type="dxa" w:w="9994"/>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20"/>
              <w:jc w:val="center"/>
            </w:pPr>
            <w:r>
              <w:rPr>
                <w:b/>
                <w:color w:val="000000"/>
                <w:sz w:val="18"/>
              </w:rPr>
              <w:t>QDRANT + HNSW INDEX</w:t>
            </w:r>
          </w:p>
          <w:p>
            <w:pPr>
              <w:spacing w:after="40"/>
              <w:jc w:val="center"/>
            </w:pPr>
            <w:r>
              <w:rPr>
                <w:color w:val="000000"/>
                <w:sz w:val="17"/>
              </w:rPr>
              <w:t>The vector index returns the top-k nearest documents.</w:t>
            </w:r>
          </w:p>
        </w:tc>
      </w:tr>
      <w:tr>
        <w:tc>
          <w:tcPr>
            <w:tcW w:type="dxa" w:w="9994"/>
            <w:vAlign w:val="center"/>
            <w:tcBorders>
              <w:top w:val="single" w:sz="4" w:color="000000"/>
              <w:left w:val="single" w:sz="4" w:color="000000"/>
              <w:bottom w:val="single" w:sz="4" w:color="000000"/>
              <w:right w:val="single" w:sz="4" w:color="000000"/>
              <w:insideH w:val="single" w:sz="4" w:color="000000"/>
              <w:insideV w:val="single" w:sz="4" w:color="000000"/>
            </w:tcBorders>
          </w:tcPr>
          <w:p>
            <w:pPr>
              <w:spacing w:after="20"/>
              <w:jc w:val="center"/>
            </w:pPr>
            <w:r>
              <w:rPr>
                <w:b/>
                <w:color w:val="000000"/>
                <w:sz w:val="18"/>
              </w:rPr>
              <w:t>EVALUATION</w:t>
            </w:r>
          </w:p>
          <w:p>
            <w:pPr>
              <w:spacing w:after="40"/>
              <w:jc w:val="center"/>
            </w:pPr>
            <w:r>
              <w:rPr>
                <w:color w:val="000000"/>
                <w:sz w:val="17"/>
              </w:rPr>
              <w:t>Compare relevance, latency, token usage, and estimated cost.</w:t>
            </w:r>
          </w:p>
        </w:tc>
      </w:tr>
    </w:tbl>
    <w:p>
      <w:r>
        <w:rPr>
          <w:color w:val="000000"/>
        </w:rPr>
        <w:br w:type="page"/>
      </w:r>
    </w:p>
    <w:p>
      <w:pPr>
        <w:pStyle w:val="Heading1"/>
      </w:pPr>
      <w:r>
        <w:rPr>
          <w:color w:val="000000"/>
        </w:rPr>
        <w:t>4. Technology Stack</w:t>
      </w:r>
    </w:p>
    <w:p>
      <w:r>
        <w:rPr>
          <w:color w:val="000000"/>
        </w:rPr>
        <w:t>Python will be used for implementation. Qdrant will store document vectors and support HNSW-based search, while Sentence Transformers with the all-MiniLM-L6-v2 model will generate embeddings. Structured prompt templates and an optional hosted LLM API will handle query reformulation. NumPy and Pandas will support data processing and analysis, and Matplotlib will be used to visualize results. Qdrant local mode can support development without a separately managed database server.</w:t>
      </w:r>
    </w:p>
    <w:p>
      <w:pPr>
        <w:pStyle w:val="Heading1"/>
      </w:pPr>
      <w:r>
        <w:rPr>
          <w:color w:val="000000"/>
        </w:rPr>
        <w:t>5. Dataset and Experimental Methodology</w:t>
      </w:r>
    </w:p>
    <w:p>
      <w:r>
        <w:rPr>
          <w:color w:val="000000"/>
        </w:rPr>
        <w:t>The evaluation dataset will contain searchable documents, test queries, and relevance labels identifying the documents that should be retrieved for each query. Queries should include different levels of complexity, such as clear queries, ambiguous queries, and queries that use informal language. The same documents, embedding model, evaluation queries, and HNSW configuration will be used for the baseline and optimized approaches to keep the comparison fair.</w:t>
      </w:r>
    </w:p>
    <w:p>
      <w:r>
        <w:rPr>
          <w:color w:val="000000"/>
        </w:rPr>
        <w:t>The experiment will build the vector index, run each retrieval strategy over the test queries, record the returned document IDs and timing information, and calculate the evaluation metrics. Repeated runs can help reduce the effect of timing variation. The primary experiment will keep HNSW settings fixed so the impact of prompt reformulation can be isolated; HNSW parameter tuning, such as changing ef_search, can be evaluated separately.</w:t>
      </w:r>
    </w:p>
    <w:p>
      <w:pPr>
        <w:pStyle w:val="Heading1"/>
      </w:pPr>
      <w:r>
        <w:rPr>
          <w:color w:val="000000"/>
        </w:rPr>
        <w:t>6. Evaluation Metrics</w:t>
      </w:r>
    </w:p>
    <w:tbl>
      <w:tblPr>
        <w:tblStyle w:val="TableGrid"/>
        <w:tblW w:type="auto" w:w="0"/>
        <w:jc w:val="center"/>
        <w:tblLook w:firstColumn="1" w:firstRow="1" w:lastColumn="0" w:lastRow="0" w:noHBand="0" w:noVBand="1" w:val="04A0"/>
      </w:tblPr>
      <w:tblGrid>
        <w:gridCol w:w="4997"/>
        <w:gridCol w:w="4997"/>
      </w:tblGrid>
      <w:tr>
        <w:tc>
          <w:tcPr>
            <w:tcW w:type="dxa" w:w="4997"/>
          </w:tcPr>
          <w:p>
            <w:pPr>
              <w:spacing w:after="20"/>
            </w:pPr>
            <w:r>
              <w:rPr>
                <w:rFonts w:ascii="Times New Roman" w:hAnsi="Times New Roman"/>
                <w:b/>
                <w:color w:val="000000"/>
                <w:sz w:val="17"/>
                <w:u w:val="single"/>
              </w:rPr>
              <w:t>Metric</w:t>
            </w:r>
          </w:p>
        </w:tc>
        <w:tc>
          <w:tcPr>
            <w:tcW w:type="dxa" w:w="4997"/>
          </w:tcPr>
          <w:p>
            <w:pPr>
              <w:spacing w:after="20"/>
            </w:pPr>
            <w:r>
              <w:rPr>
                <w:rFonts w:ascii="Times New Roman" w:hAnsi="Times New Roman"/>
                <w:b/>
                <w:color w:val="000000"/>
                <w:sz w:val="17"/>
                <w:u w:val="single"/>
              </w:rPr>
              <w:t>Purpose</w:t>
            </w:r>
          </w:p>
        </w:tc>
      </w:tr>
      <w:tr>
        <w:tc>
          <w:tcPr>
            <w:tcW w:type="dxa" w:w="4997"/>
          </w:tcPr>
          <w:p>
            <w:pPr>
              <w:spacing w:after="20"/>
            </w:pPr>
            <w:r>
              <w:rPr>
                <w:rFonts w:ascii="Times New Roman" w:hAnsi="Times New Roman"/>
                <w:color w:val="000000"/>
                <w:sz w:val="17"/>
              </w:rPr>
              <w:t>Recall@k</w:t>
            </w:r>
          </w:p>
        </w:tc>
        <w:tc>
          <w:tcPr>
            <w:tcW w:type="dxa" w:w="4997"/>
          </w:tcPr>
          <w:p>
            <w:pPr>
              <w:spacing w:after="20"/>
            </w:pPr>
            <w:r>
              <w:rPr>
                <w:rFonts w:ascii="Times New Roman" w:hAnsi="Times New Roman"/>
                <w:color w:val="000000"/>
                <w:sz w:val="17"/>
              </w:rPr>
              <w:t>Measures how many known relevant documents appear in the top-k results.</w:t>
            </w:r>
          </w:p>
        </w:tc>
      </w:tr>
      <w:tr>
        <w:tc>
          <w:tcPr>
            <w:tcW w:type="dxa" w:w="4997"/>
          </w:tcPr>
          <w:p>
            <w:pPr>
              <w:spacing w:after="20"/>
            </w:pPr>
            <w:r>
              <w:rPr>
                <w:rFonts w:ascii="Times New Roman" w:hAnsi="Times New Roman"/>
                <w:color w:val="000000"/>
                <w:sz w:val="17"/>
              </w:rPr>
              <w:t>Precision@k</w:t>
            </w:r>
          </w:p>
        </w:tc>
        <w:tc>
          <w:tcPr>
            <w:tcW w:type="dxa" w:w="4997"/>
          </w:tcPr>
          <w:p>
            <w:pPr>
              <w:spacing w:after="20"/>
            </w:pPr>
            <w:r>
              <w:rPr>
                <w:rFonts w:ascii="Times New Roman" w:hAnsi="Times New Roman"/>
                <w:color w:val="000000"/>
                <w:sz w:val="17"/>
              </w:rPr>
              <w:t>Measures the proportion of top-k retrieved documents that are relevant.</w:t>
            </w:r>
          </w:p>
        </w:tc>
      </w:tr>
      <w:tr>
        <w:tc>
          <w:tcPr>
            <w:tcW w:type="dxa" w:w="4997"/>
          </w:tcPr>
          <w:p>
            <w:pPr>
              <w:spacing w:after="20"/>
            </w:pPr>
            <w:r>
              <w:rPr>
                <w:rFonts w:ascii="Times New Roman" w:hAnsi="Times New Roman"/>
                <w:color w:val="000000"/>
                <w:sz w:val="17"/>
              </w:rPr>
              <w:t>Latency</w:t>
            </w:r>
          </w:p>
        </w:tc>
        <w:tc>
          <w:tcPr>
            <w:tcW w:type="dxa" w:w="4997"/>
          </w:tcPr>
          <w:p>
            <w:pPr>
              <w:spacing w:after="20"/>
            </w:pPr>
            <w:r>
              <w:rPr>
                <w:rFonts w:ascii="Times New Roman" w:hAnsi="Times New Roman"/>
                <w:color w:val="000000"/>
                <w:sz w:val="17"/>
              </w:rPr>
              <w:t>Measures query processing and retrieval time, including optimization overhead.</w:t>
            </w:r>
          </w:p>
        </w:tc>
      </w:tr>
      <w:tr>
        <w:tc>
          <w:tcPr>
            <w:tcW w:type="dxa" w:w="4997"/>
          </w:tcPr>
          <w:p>
            <w:pPr>
              <w:spacing w:after="20"/>
            </w:pPr>
            <w:r>
              <w:rPr>
                <w:rFonts w:ascii="Times New Roman" w:hAnsi="Times New Roman"/>
                <w:color w:val="000000"/>
                <w:sz w:val="17"/>
              </w:rPr>
              <w:t>Token usage and LLM cost</w:t>
            </w:r>
          </w:p>
        </w:tc>
        <w:tc>
          <w:tcPr>
            <w:tcW w:type="dxa" w:w="4997"/>
          </w:tcPr>
          <w:p>
            <w:pPr>
              <w:spacing w:after="20"/>
            </w:pPr>
            <w:r>
              <w:rPr>
                <w:rFonts w:ascii="Times New Roman" w:hAnsi="Times New Roman"/>
                <w:color w:val="000000"/>
                <w:sz w:val="17"/>
              </w:rPr>
              <w:t>Measures additional tokens and estimated API expenditure caused by reformulation.</w:t>
            </w:r>
          </w:p>
        </w:tc>
      </w:tr>
    </w:tbl>
    <w:p>
      <w:pPr>
        <w:pStyle w:val="Heading1"/>
      </w:pPr>
      <w:r>
        <w:rPr>
          <w:color w:val="000000"/>
        </w:rPr>
        <w:t>7. Expected Outcomes and Significance</w:t>
      </w:r>
    </w:p>
    <w:p>
      <w:r>
        <w:rPr>
          <w:color w:val="000000"/>
        </w:rPr>
        <w:t>The expected deliverables are a baseline retrieval pipeline, a prompt-optimized pipeline, a cost-aware strategy, and an evaluation report with tables and charts. The study will investigate whether query reformulation improves retrieval quality, which query types benefit most, and whether selective optimization can avoid unnecessary LLM calls. Results will be reported from actual experiments rather than assuming that the optimized approach will always perform better.</w:t>
      </w:r>
    </w:p>
    <w:p>
      <w:r>
        <w:rPr>
          <w:color w:val="000000"/>
        </w:rPr>
        <w:t>The project is significant because it evaluates prompt engineering as a measurable component of a retrieval system, not only as a way to generate text. Prompt optimization affects query processing; it does not inherently reduce HNSW index memory or indexing cost. Those system costs will be treated separately if measured. Future extensions may include query caching, adaptive HNSW search parameters, comparisons between embedding models, and integration with retrieval-augmented generation (RAG).</w:t>
      </w:r>
    </w:p>
    <w:p>
      <w:pPr>
        <w:pStyle w:val="Heading1"/>
      </w:pPr>
      <w:r>
        <w:rPr>
          <w:color w:val="000000"/>
        </w:rPr>
        <w:t>8. Team Members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tcPr>
          <w:p>
            <w:pPr>
              <w:spacing w:before="60" w:after="60"/>
              <w:jc w:val="center"/>
            </w:pPr>
            <w:r>
              <w:rPr>
                <w:rFonts w:ascii="Times New Roman" w:hAnsi="Times New Roman"/>
                <w:b/>
                <w:color w:val="000000"/>
                <w:sz w:val="17"/>
                <w:u w:val="single"/>
              </w:rPr>
              <w:t>TEAM MEMBER 1</w:t>
            </w:r>
          </w:p>
        </w:tc>
        <w:tc>
          <w:tcPr>
            <w:tcW w:type="dxa" w:w="2498"/>
            <w:vAlign w:val="center"/>
          </w:tcPr>
          <w:p>
            <w:pPr>
              <w:spacing w:before="60" w:after="60"/>
              <w:jc w:val="center"/>
            </w:pPr>
            <w:r>
              <w:rPr>
                <w:rFonts w:ascii="Times New Roman" w:hAnsi="Times New Roman"/>
                <w:b/>
                <w:color w:val="000000"/>
                <w:sz w:val="17"/>
                <w:u w:val="single"/>
              </w:rPr>
              <w:t>TEAM MEMBER 2</w:t>
            </w:r>
          </w:p>
        </w:tc>
        <w:tc>
          <w:tcPr>
            <w:tcW w:type="dxa" w:w="2498"/>
            <w:vAlign w:val="center"/>
          </w:tcPr>
          <w:p>
            <w:pPr>
              <w:spacing w:before="60" w:after="60"/>
              <w:jc w:val="center"/>
            </w:pPr>
            <w:r>
              <w:rPr>
                <w:rFonts w:ascii="Times New Roman" w:hAnsi="Times New Roman"/>
                <w:b/>
                <w:color w:val="000000"/>
                <w:sz w:val="17"/>
                <w:u w:val="single"/>
              </w:rPr>
              <w:t>TEAM MEMBER 3</w:t>
            </w:r>
          </w:p>
        </w:tc>
        <w:tc>
          <w:tcPr>
            <w:tcW w:type="dxa" w:w="2498"/>
            <w:vAlign w:val="center"/>
          </w:tcPr>
          <w:p>
            <w:pPr>
              <w:spacing w:before="60" w:after="60"/>
              <w:jc w:val="center"/>
            </w:pPr>
            <w:r>
              <w:rPr>
                <w:rFonts w:ascii="Times New Roman" w:hAnsi="Times New Roman"/>
                <w:b/>
                <w:color w:val="000000"/>
                <w:sz w:val="17"/>
                <w:u w:val="single"/>
              </w:rPr>
              <w:t>TEAM MEMBER 4</w:t>
            </w:r>
          </w:p>
        </w:tc>
      </w:tr>
      <w:tr>
        <w:tc>
          <w:tcPr>
            <w:tcW w:type="dxa" w:w="2498"/>
            <w:vAlign w:val="center"/>
          </w:tcPr>
          <w:p>
            <w:pPr>
              <w:spacing w:before="60" w:after="60"/>
              <w:jc w:val="center"/>
            </w:pPr>
            <w:r>
              <w:rPr>
                <w:rFonts w:ascii="Times New Roman" w:hAnsi="Times New Roman"/>
                <w:color w:val="000000"/>
                <w:sz w:val="17"/>
              </w:rPr>
              <w:t>PES1U24AM295</w:t>
            </w:r>
          </w:p>
        </w:tc>
        <w:tc>
          <w:tcPr>
            <w:tcW w:type="dxa" w:w="2498"/>
            <w:vAlign w:val="center"/>
          </w:tcPr>
          <w:p>
            <w:pPr>
              <w:spacing w:before="60" w:after="60"/>
              <w:jc w:val="center"/>
            </w:pPr>
            <w:r>
              <w:rPr>
                <w:rFonts w:ascii="Times New Roman" w:hAnsi="Times New Roman"/>
                <w:color w:val="000000"/>
                <w:sz w:val="17"/>
              </w:rPr>
              <w:t>PES1UG24AM281</w:t>
            </w:r>
          </w:p>
        </w:tc>
        <w:tc>
          <w:tcPr>
            <w:tcW w:type="dxa" w:w="2498"/>
            <w:vAlign w:val="center"/>
          </w:tcPr>
          <w:p>
            <w:pPr>
              <w:spacing w:before="60" w:after="60"/>
              <w:jc w:val="center"/>
            </w:pPr>
            <w:r>
              <w:rPr>
                <w:rFonts w:ascii="Times New Roman" w:hAnsi="Times New Roman"/>
                <w:color w:val="000000"/>
                <w:sz w:val="17"/>
              </w:rPr>
              <w:t>PES1UG24AM289</w:t>
            </w:r>
          </w:p>
        </w:tc>
        <w:tc>
          <w:tcPr>
            <w:tcW w:type="dxa" w:w="2498"/>
            <w:vAlign w:val="center"/>
          </w:tcPr>
          <w:p>
            <w:pPr>
              <w:spacing w:before="60" w:after="60"/>
              <w:jc w:val="center"/>
            </w:pPr>
            <w:r>
              <w:rPr>
                <w:rFonts w:ascii="Times New Roman" w:hAnsi="Times New Roman"/>
                <w:color w:val="000000"/>
                <w:sz w:val="17"/>
              </w:rPr>
              <w:t>PES1UG24AM279</w:t>
            </w:r>
          </w:p>
        </w:tc>
      </w:tr>
    </w:tbl>
    <w:sectPr w:rsidR="00FC693F" w:rsidRPr="0006063C" w:rsidSect="00034616">
      <w:headerReference w:type="default" r:id="rId9"/>
      <w:footerReference w:type="default" r:id="rId10"/>
      <w:pgSz w:w="12240" w:h="15840"/>
      <w:pgMar w:top="936"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0000"/>
        <w:sz w:val="16"/>
      </w:rPr>
      <w:t xml:space="preserve">Cost-Aware Prompt Optimization for HNSW-Based Vector Search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color w:val="000000"/>
        <w:sz w:val="16"/>
      </w:rPr>
      <w:t>PROMPT ENGINEERING ELECTIVE — PROJECT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