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Group: </w:t>
            </w:r>
            <w:r w:rsidDel="00000000" w:rsidR="00000000" w:rsidRPr="00000000">
              <w:rPr>
                <w:rtl w:val="0"/>
              </w:rPr>
              <w:t xml:space="preserve">Smart Glass Based Remote Guidanace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Krishna Adhikari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 4953193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39.4/60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1]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2]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3]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1]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2]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3]</w:t>
            </w:r>
          </w:p>
        </w:tc>
      </w:tr>
    </w:tbl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