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80B" w:rsidRPr="00165DDA" w:rsidRDefault="00CB180B" w:rsidP="00CB1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5DDA">
        <w:rPr>
          <w:rFonts w:ascii="Times New Roman" w:eastAsia="Times New Roman" w:hAnsi="Times New Roman" w:cs="Times New Roman"/>
          <w:sz w:val="24"/>
          <w:szCs w:val="24"/>
          <w:lang w:eastAsia="ru-RU"/>
        </w:rPr>
        <w:t>книга Ашманов. Оптимизация и продвижение сайтов в поисковых системах</w:t>
      </w:r>
    </w:p>
    <w:p w:rsidR="00CB180B" w:rsidRPr="00165DDA" w:rsidRDefault="00CB180B" w:rsidP="00CB1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180B" w:rsidRPr="0068705C" w:rsidRDefault="00CB180B" w:rsidP="00CB18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165DDA">
        <w:rPr>
          <w:rFonts w:ascii="Times New Roman" w:eastAsia="Times New Roman" w:hAnsi="Times New Roman" w:cs="Times New Roman"/>
          <w:sz w:val="24"/>
          <w:szCs w:val="24"/>
          <w:lang w:eastAsia="ru-RU"/>
        </w:rPr>
        <w:t>3. Подобрать образцы сайтов учитывающих поведенческие триггеры (10</w:t>
      </w:r>
      <w:r w:rsidRPr="00A872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штук</w:t>
      </w:r>
      <w:r w:rsidRPr="00165D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A872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5" w:history="1">
        <w:r w:rsidRPr="002F2E1F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https://1ps.ru/blog/ctr/top-10-triggerov-kotoryie-mogut-prodat-dazhe-slona-1/</w:t>
        </w:r>
      </w:hyperlink>
    </w:p>
    <w:p w:rsidR="0013549E" w:rsidRDefault="0013549E"/>
    <w:sectPr w:rsidR="00135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80B"/>
    <w:rsid w:val="0013549E"/>
    <w:rsid w:val="00CB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18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18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1ps.ru/blog/ctr/top-10-triggerov-kotoryie-mogut-prodat-dazhe-slona-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</dc:creator>
  <cp:lastModifiedBy>Yury</cp:lastModifiedBy>
  <cp:revision>1</cp:revision>
  <dcterms:created xsi:type="dcterms:W3CDTF">2020-11-26T12:40:00Z</dcterms:created>
  <dcterms:modified xsi:type="dcterms:W3CDTF">2020-11-26T12:41:00Z</dcterms:modified>
</cp:coreProperties>
</file>