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34"/>
          <w:szCs w:val="34"/>
        </w:rPr>
        <w:t xml:space="preserve">Strategy Lineup — At a Glance</w:t>
      </w:r>
    </w:p>
    <w:p>
      <w:pPr>
        <w:pBdr>
          <w:bottom w:val="single" w:color="1F4E79" w:sz="6" w:space="4"/>
        </w:pBdr>
        <w:spacing w:after="60"/>
      </w:pPr>
      <w:r>
        <w:rPr>
          <w:i/>
          <w:iCs/>
          <w:color w:val="777777"/>
          <w:sz w:val="18"/>
          <w:szCs w:val="18"/>
        </w:rPr>
        <w:t xml:space="preserve">A family of rules-based strategies spanning conservative income to managed growth. Each can be dialed to a chosen risk level.   (Research / paper-stage.)</w:t>
      </w:r>
    </w:p>
    <w:p>
      <w:pPr>
        <w:spacing w:after="70" w:before="150"/>
      </w:pPr>
      <w:r>
        <w:rPr>
          <w:b/>
          <w:bCs/>
          <w:color w:val="1F4E79"/>
          <w:sz w:val="22"/>
          <w:szCs w:val="22"/>
        </w:rPr>
        <w:t xml:space="preserve">Portfolio strategies — own the market, with the risk managed</w:t>
      </w:r>
    </w:p>
    <w:p>
      <w:pPr>
        <w:spacing w:after="26" w:before="90"/>
      </w:pPr>
      <w:r>
        <w:rPr>
          <w:b/>
          <w:bCs/>
          <w:sz w:val="21"/>
          <w:szCs w:val="21"/>
        </w:rPr>
        <w:t xml:space="preserve">S0 — Adaptive All-Weather Core</w:t>
      </w:r>
      <w:r>
        <w:rPr>
          <w:i/>
          <w:iCs/>
          <w:color w:val="777777"/>
          <w:sz w:val="17"/>
          <w:szCs w:val="17"/>
        </w:rPr>
        <w:t xml:space="preserve">      built &amp; validated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diversified, all-terrain portfolio — stocks, bonds, and real assets — that automatically shifts as the market’s “weather” changes.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Goal:  </w:t>
      </w:r>
      <w:r>
        <w:rPr>
          <w:sz w:val="19"/>
          <w:szCs w:val="19"/>
        </w:rPr>
        <w:t xml:space="preserve">Steady growth with controlled losses in every market regime — smooth the ride and sidestep the deep drawdowns.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Risk levels:  </w:t>
      </w:r>
      <w:r>
        <w:rPr>
          <w:sz w:val="19"/>
          <w:szCs w:val="19"/>
        </w:rPr>
        <w:t xml:space="preserve">Three built-in settings — Conservative / Balanced / Growth — dialing how much stock exposure it carries.</w:t>
      </w:r>
    </w:p>
    <w:p>
      <w:pPr>
        <w:spacing w:after="26" w:before="90"/>
      </w:pPr>
      <w:r>
        <w:rPr>
          <w:b/>
          <w:bCs/>
          <w:sz w:val="21"/>
          <w:szCs w:val="21"/>
        </w:rPr>
        <w:t xml:space="preserve">S4 — Volatility-Control Fund (S&amp;P 500)</w:t>
      </w:r>
      <w:r>
        <w:rPr>
          <w:i/>
          <w:iCs/>
          <w:color w:val="777777"/>
          <w:sz w:val="17"/>
          <w:szCs w:val="17"/>
        </w:rPr>
        <w:t xml:space="preserve">      built &amp; validated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Holds the S&amp;P 500 but keeps its riskiness constant — leaning out when markets turn turbulent, leaning in when they’re calm.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Goal:  </w:t>
      </w:r>
      <w:r>
        <w:rPr>
          <w:sz w:val="19"/>
          <w:szCs w:val="19"/>
        </w:rPr>
        <w:t xml:space="preserve">S&amp;P-like returns with a far smoother ride and much smaller worst-case losses (historically roughly half the drawdown).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Risk levels:  </w:t>
      </w:r>
      <w:r>
        <w:rPr>
          <w:sz w:val="19"/>
          <w:szCs w:val="19"/>
        </w:rPr>
        <w:t xml:space="preserve">From conservative / bond-like (low volatility target) up to near-full-equity (higher target, modest leverage).</w:t>
      </w:r>
    </w:p>
    <w:p>
      <w:pPr>
        <w:spacing w:after="26" w:before="90"/>
      </w:pPr>
      <w:r>
        <w:rPr>
          <w:b/>
          <w:bCs/>
          <w:sz w:val="21"/>
          <w:szCs w:val="21"/>
        </w:rPr>
        <w:t xml:space="preserve">S5 — Hedged Growth</w:t>
      </w:r>
      <w:r>
        <w:rPr>
          <w:i/>
          <w:iCs/>
          <w:color w:val="777777"/>
          <w:sz w:val="17"/>
          <w:szCs w:val="17"/>
        </w:rPr>
        <w:t xml:space="preserve">      designed &amp; prototyped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Stays fully invested in the S&amp;P 500 but carries permanent crash insurance, paid for by selling short-term options.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Goal:  </w:t>
      </w:r>
      <w:r>
        <w:rPr>
          <w:sz w:val="19"/>
          <w:szCs w:val="19"/>
        </w:rPr>
        <w:t xml:space="preserve">Keep the upside of stocks while insuring the downside — join the rallies, cushion the crashes, and let the insurance fund itself.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Risk levels:  </w:t>
      </w:r>
      <w:r>
        <w:rPr>
          <w:sz w:val="19"/>
          <w:szCs w:val="19"/>
        </w:rPr>
        <w:t xml:space="preserve">From defensive (insurance only) up to aggressive-but-hedged (spare income buys extra upside during calm uptrends).</w:t>
      </w:r>
    </w:p>
    <w:p>
      <w:pPr>
        <w:spacing w:after="70" w:before="150"/>
      </w:pPr>
      <w:r>
        <w:rPr>
          <w:b/>
          <w:bCs/>
          <w:color w:val="1F4E79"/>
          <w:sz w:val="22"/>
          <w:szCs w:val="22"/>
        </w:rPr>
        <w:t xml:space="preserve">Income strategies — get paid for providing market insurance</w:t>
      </w:r>
    </w:p>
    <w:p>
      <w:pPr>
        <w:spacing w:after="26" w:before="90"/>
      </w:pPr>
      <w:r>
        <w:rPr>
          <w:b/>
          <w:bCs/>
          <w:sz w:val="21"/>
          <w:szCs w:val="21"/>
        </w:rPr>
        <w:t xml:space="preserve">S2 — Iron Condor Income</w:t>
      </w:r>
      <w:r>
        <w:rPr>
          <w:i/>
          <w:iCs/>
          <w:color w:val="777777"/>
          <w:sz w:val="17"/>
          <w:szCs w:val="17"/>
        </w:rPr>
        <w:t xml:space="preserve">      in design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Sells option premium on calm days and steps aside on big-move days.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Goal:  </w:t>
      </w:r>
      <w:r>
        <w:rPr>
          <w:sz w:val="19"/>
          <w:szCs w:val="19"/>
        </w:rPr>
        <w:t xml:space="preserve">A steady income stream harvested from market stability, while dodging the days that punish premium-sellers.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Risk levels:  </w:t>
      </w:r>
      <w:r>
        <w:rPr>
          <w:sz w:val="19"/>
          <w:szCs w:val="19"/>
        </w:rPr>
        <w:t xml:space="preserve">From conservative (wider, fewer trades) to higher-yield (closer, more frequent) — defined-risk throughout.</w:t>
      </w:r>
    </w:p>
    <w:p>
      <w:pPr>
        <w:spacing w:after="26" w:before="90"/>
      </w:pPr>
      <w:r>
        <w:rPr>
          <w:b/>
          <w:bCs/>
          <w:sz w:val="21"/>
          <w:szCs w:val="21"/>
        </w:rPr>
        <w:t xml:space="preserve">S3 — Adaptive Condor / Same-Day Engine</w:t>
      </w:r>
      <w:r>
        <w:rPr>
          <w:i/>
          <w:iCs/>
          <w:color w:val="777777"/>
          <w:sz w:val="17"/>
          <w:szCs w:val="17"/>
        </w:rPr>
        <w:t xml:space="preserve">      in design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The faster, intraday evolution of S2 — sells same-day options and adjusts through the trading day, flat by the close.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Goal:  </w:t>
      </w:r>
      <w:r>
        <w:rPr>
          <w:sz w:val="19"/>
          <w:szCs w:val="19"/>
        </w:rPr>
        <w:t xml:space="preserve">Sharper income by choosing better days and strikes in real time, with no overnight exposure.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Risk levels:  </w:t>
      </w:r>
      <w:r>
        <w:rPr>
          <w:sz w:val="19"/>
          <w:szCs w:val="19"/>
        </w:rPr>
        <w:t xml:space="preserve">Scales from a simple fixed approach up to a more active, market-aware version.</w:t>
      </w:r>
    </w:p>
    <w:p>
      <w:pPr>
        <w:spacing w:after="70" w:before="150"/>
      </w:pPr>
      <w:r>
        <w:rPr>
          <w:b/>
          <w:bCs/>
          <w:color w:val="1F4E79"/>
          <w:sz w:val="22"/>
          <w:szCs w:val="22"/>
        </w:rPr>
        <w:t xml:space="preserve">The shared engine</w:t>
      </w:r>
    </w:p>
    <w:p>
      <w:pPr>
        <w:spacing w:after="26" w:before="90"/>
      </w:pPr>
      <w:r>
        <w:rPr>
          <w:b/>
          <w:bCs/>
          <w:sz w:val="21"/>
          <w:szCs w:val="21"/>
        </w:rPr>
        <w:t xml:space="preserve">S1 — Gamma / Volatility Regime Engine</w:t>
      </w:r>
      <w:r>
        <w:rPr>
          <w:i/>
          <w:iCs/>
          <w:color w:val="777777"/>
          <w:sz w:val="17"/>
          <w:szCs w:val="17"/>
        </w:rPr>
        <w:t xml:space="preserve">      in progress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Not a standalone strategy — a market-condition radar that reads big-dealer positioning and volatility to tell the other strategies when to lean in or out.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Goal:  </w:t>
      </w:r>
      <w:r>
        <w:rPr>
          <w:sz w:val="19"/>
          <w:szCs w:val="19"/>
        </w:rPr>
        <w:t xml:space="preserve">Better timing and sizing for everything else — distinguishing a calm market from a fragile one.</w:t>
      </w:r>
    </w:p>
    <w:p>
      <w:pPr>
        <w:spacing w:after="24"/>
        <w:ind w:left="230"/>
      </w:pPr>
      <w:r>
        <w:rPr>
          <w:b/>
          <w:bCs/>
          <w:sz w:val="19"/>
          <w:szCs w:val="19"/>
        </w:rPr>
        <w:t xml:space="preserve">Risk levels:  </w:t>
      </w:r>
      <w:r>
        <w:rPr>
          <w:sz w:val="19"/>
          <w:szCs w:val="19"/>
        </w:rPr>
        <w:t xml:space="preserve">N/A — it’s a safety input that makes the others smarter.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2026-06-29T14:09:13.865Z</dcterms:created>
  <dcterms:modified xsi:type="dcterms:W3CDTF">2026-06-29T14:09:13.866Z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