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0d762a7f0b2fd3930ab01e7b22435b1d1b7419f"/>
      <w:r>
        <w:t xml:space="preserve">140509_49.md — AI-Powered Personalized Medicine Platform</w:t>
      </w:r>
      <w:bookmarkEnd w:id="20"/>
    </w:p>
    <w:p>
      <w:pPr>
        <w:pStyle w:val="BlockText"/>
      </w:pPr>
      <w:r>
        <w:rPr>
          <w:b/>
        </w:rPr>
        <w:t xml:space="preserve">Theme:</w:t>
      </w:r>
      <w:r>
        <w:t xml:space="preserve"> </w:t>
      </w:r>
      <w:r>
        <w:t xml:space="preserve">AI for Industry, Responsible AI</w:t>
      </w:r>
      <w:r>
        <w:br w:type="textWrapping"/>
      </w:r>
      <w:r>
        <w:rPr>
          <w:b/>
        </w:rPr>
        <w:t xml:space="preserve">Mission:</w:t>
      </w:r>
      <w:r>
        <w:t xml:space="preserve"> </w:t>
      </w:r>
      <w:r>
        <w:t xml:space="preserve">Integrate genomic (DNA/RNA), clinical (EHR), and lifestyle (wearables, SDoH) data to deliver safe, explainable, privacy-preserving personalized treatment recommendations and drug discovery insights.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readme-problem-statement"/>
      <w:r>
        <w:t xml:space="preserve">README (Problem Statement)</w:t>
      </w:r>
      <w:bookmarkEnd w:id="21"/>
    </w:p>
    <w:p>
      <w:pPr>
        <w:pStyle w:val="FirstParagraph"/>
      </w:pPr>
      <w:r>
        <w:rPr>
          <w:b/>
        </w:rPr>
        <w:t xml:space="preserve">Summary:</w:t>
      </w:r>
      <w:r>
        <w:t xml:space="preserve"> </w:t>
      </w:r>
      <w:r>
        <w:t xml:space="preserve">Build a platform that integrates genomic data, medical records, and lifestyle information to provide personalized treatment recommendations and drug discovery insights.</w:t>
      </w:r>
      <w:r>
        <w:br w:type="textWrapping"/>
      </w:r>
      <w:r>
        <w:rPr>
          <w:b/>
        </w:rPr>
        <w:t xml:space="preserve">Problem Statement:</w:t>
      </w:r>
      <w:r>
        <w:t xml:space="preserve"> </w:t>
      </w:r>
      <w:r>
        <w:t xml:space="preserve">Precision medicine requires harmonizing heterogeneous, multi-modal data and generating evidence-based recommendations while ensuring safety, fairness, and regulatory compliance. Create a system that predicts drug response, adverse reactions, and matches patients to trials, with robust privacy.</w:t>
      </w:r>
    </w:p>
    <w:p>
      <w:pPr>
        <w:pStyle w:val="BodyText"/>
      </w:pPr>
      <w:r>
        <w:rPr>
          <w:b/>
        </w:rPr>
        <w:t xml:space="preserve">Steps:</w:t>
      </w:r>
      <w:r>
        <w:br w:type="textWrapping"/>
      </w:r>
      <w:r>
        <w:t xml:space="preserve">- Multi-modal data integration (genomic + EHR + lifestyle)</w:t>
      </w:r>
      <w:r>
        <w:br w:type="textWrapping"/>
      </w:r>
      <w:r>
        <w:t xml:space="preserve">- Drug response prediction models</w:t>
      </w:r>
      <w:r>
        <w:br w:type="textWrapping"/>
      </w:r>
      <w:r>
        <w:t xml:space="preserve">- Adverse reaction prediction &amp; DDI analysis</w:t>
      </w:r>
      <w:r>
        <w:br w:type="textWrapping"/>
      </w:r>
      <w:r>
        <w:t xml:space="preserve">- Evidence-based treatment recommendation engine</w:t>
      </w:r>
      <w:r>
        <w:br w:type="textWrapping"/>
      </w:r>
      <w:r>
        <w:t xml:space="preserve">- Clinical trial matching &amp; patient stratification</w:t>
      </w:r>
      <w:r>
        <w:br w:type="textWrapping"/>
      </w:r>
      <w:r>
        <w:t xml:space="preserve">- Privacy-preserving analytics &amp; regulatory compliance</w:t>
      </w:r>
    </w:p>
    <w:p>
      <w:pPr>
        <w:pStyle w:val="BodyText"/>
      </w:pPr>
      <w:r>
        <w:rPr>
          <w:b/>
        </w:rPr>
        <w:t xml:space="preserve">Suggested Data:</w:t>
      </w:r>
      <w:r>
        <w:t xml:space="preserve"> </w:t>
      </w:r>
      <w:r>
        <w:t xml:space="preserve">TCGA/ICGC genomics, UK Biobank, MIMIC-III/IV (de-identified EHR), FAERS (adverse events), DrugBank/ChEMBL, wearable datasets, clinical guidelines.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vision-scope-kpis"/>
      <w:r>
        <w:t xml:space="preserve">1) Vision, Scope, KPIs</w:t>
      </w:r>
      <w:bookmarkEnd w:id="22"/>
    </w:p>
    <w:p>
      <w:pPr>
        <w:pStyle w:val="FirstParagraph"/>
      </w:pPr>
      <w:r>
        <w:rPr>
          <w:b/>
        </w:rPr>
        <w:t xml:space="preserve">Vision:</w:t>
      </w:r>
      <w:r>
        <w:t xml:space="preserve"> </w:t>
      </w:r>
      <w:r>
        <w:t xml:space="preserve">A trustworthy, clinician-centered platform that accelerates precision care, reduces adverse events, and supports ethical AI in healthcare.</w:t>
      </w:r>
      <w:r>
        <w:br w:type="textWrapping"/>
      </w:r>
      <w:r>
        <w:rPr>
          <w:b/>
        </w:rPr>
        <w:t xml:space="preserve">Scope:</w:t>
      </w:r>
      <w:r>
        <w:br w:type="textWrapping"/>
      </w:r>
      <w:r>
        <w:t xml:space="preserve">- v1: ETL + harmonization, baseline drug-response model, ADR risk stratification, clinician UI.</w:t>
      </w:r>
      <w:r>
        <w:br w:type="textWrapping"/>
      </w:r>
      <w:r>
        <w:t xml:space="preserve">- v2: trial matching, DDI engine, explainability &amp; rationale, reporting.</w:t>
      </w:r>
      <w:r>
        <w:br w:type="textWrapping"/>
      </w:r>
      <w:r>
        <w:t xml:space="preserve">- v3: federated analytics across hospitals, on-device options, RWE feedback loop.</w:t>
      </w:r>
    </w:p>
    <w:p>
      <w:pPr>
        <w:pStyle w:val="BodyText"/>
      </w:pPr>
      <w:r>
        <w:rPr>
          <w:b/>
        </w:rPr>
        <w:t xml:space="preserve">KPIs:</w:t>
      </w:r>
      <w:r>
        <w:br w:type="textWrapping"/>
      </w:r>
      <w:r>
        <w:t xml:space="preserve">- Drug-response AUC ≥ 0.85 on held-out cohorts</w:t>
      </w:r>
      <w:r>
        <w:br w:type="textWrapping"/>
      </w:r>
      <w:r>
        <w:t xml:space="preserve">- ADR model AUC ≥ 0.90; NPV ≥ 0.95 for high-risk flags</w:t>
      </w:r>
      <w:r>
        <w:br w:type="textWrapping"/>
      </w:r>
      <w:r>
        <w:t xml:space="preserve">- Time-to-trial-match ↓ 70%</w:t>
      </w:r>
      <w:r>
        <w:br w:type="textWrapping"/>
      </w:r>
      <w:r>
        <w:t xml:space="preserve">- Clinician acceptance of recommendations ≥ 75%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personas-user-stories"/>
      <w:r>
        <w:t xml:space="preserve">2) Personas &amp; User Stories</w:t>
      </w:r>
      <w:bookmarkEnd w:id="23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Oncologist/Cardiologist:</w:t>
      </w:r>
      <w:r>
        <w:t xml:space="preserve"> </w:t>
      </w:r>
      <w:r>
        <w:t xml:space="preserve">Wants interpretable, guideline-concordant recommendations.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Clinical Pharmacist:</w:t>
      </w:r>
      <w:r>
        <w:t xml:space="preserve"> </w:t>
      </w:r>
      <w:r>
        <w:t xml:space="preserve">Needs DDI/PGx insights (CYP variants).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Research Coordinator:</w:t>
      </w:r>
      <w:r>
        <w:t xml:space="preserve"> </w:t>
      </w:r>
      <w:r>
        <w:t xml:space="preserve">Wants eligible patient lists for trials.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Patient:</w:t>
      </w:r>
      <w:r>
        <w:t xml:space="preserve"> </w:t>
      </w:r>
      <w:r>
        <w:t xml:space="preserve">Expects privacy and understandable justifications.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Compliance Officer:</w:t>
      </w:r>
      <w:r>
        <w:t xml:space="preserve"> </w:t>
      </w:r>
      <w:r>
        <w:t xml:space="preserve">Requires auditability and consent management.</w:t>
      </w:r>
    </w:p>
    <w:p>
      <w:pPr>
        <w:pStyle w:val="FirstParagraph"/>
      </w:pPr>
      <w:r>
        <w:rPr>
          <w:b/>
        </w:rPr>
        <w:t xml:space="preserve">Stories:</w:t>
      </w:r>
      <w:r>
        <w:br w:type="textWrapping"/>
      </w:r>
      <w:r>
        <w:t xml:space="preserve">- US‑01: As a clinician, I upload VCF + EHR to get therapy ranking with genomic rationales.</w:t>
      </w:r>
      <w:r>
        <w:br w:type="textWrapping"/>
      </w:r>
      <w:r>
        <w:t xml:space="preserve">- US‑05: As a pharmacist, I check DDI and PGx contraindications before prescribing.</w:t>
      </w:r>
      <w:r>
        <w:br w:type="textWrapping"/>
      </w:r>
      <w:r>
        <w:t xml:space="preserve">- US‑09: As a coordinator, I get trial candidates by eligibility (biomarkers, ECOG).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prd-capabilities"/>
      <w:r>
        <w:t xml:space="preserve">3) PRD (Capabilities)</w:t>
      </w:r>
      <w:bookmarkEnd w:id="24"/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Data Integration &amp; Harmonization:</w:t>
      </w:r>
      <w:r>
        <w:t xml:space="preserve"> </w:t>
      </w:r>
      <w:r>
        <w:t xml:space="preserve">FHIR/HL7 ingestion; VCF/FASTQ; wearable APIs; SDoH; normalize to OMOP CDM + patient-centric schema.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Drug Response Prediction:</w:t>
      </w:r>
      <w:r>
        <w:t xml:space="preserve"> </w:t>
      </w:r>
      <w:r>
        <w:t xml:space="preserve">Multi-task models using genomics (variants, expression), labs, phenotypes.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Adverse Reaction &amp; DDI:</w:t>
      </w:r>
      <w:r>
        <w:t xml:space="preserve"> </w:t>
      </w:r>
      <w:r>
        <w:t xml:space="preserve">Predict ADR probability and drug–drug/drug–gene interactions; PGx knowledge (CPIC).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Recommendation Engine:</w:t>
      </w:r>
      <w:r>
        <w:t xml:space="preserve"> </w:t>
      </w:r>
      <w:r>
        <w:t xml:space="preserve">Evidence-based ranker blending ML predictions with guidelines (NCCN/CPG), contraindications, patient prefs.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Trial Matching:</w:t>
      </w:r>
      <w:r>
        <w:t xml:space="preserve"> </w:t>
      </w:r>
      <w:r>
        <w:t xml:space="preserve">NLP parser of inclusion/exclusion; match and rank by distance to criteria; cohort builder.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Explainability &amp; Rationale:</w:t>
      </w:r>
      <w:r>
        <w:t xml:space="preserve"> </w:t>
      </w:r>
      <w:r>
        <w:t xml:space="preserve">SHAP/PERT/attention maps; guideline citations; genomic variant evidence.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Privacy &amp; Compliance:</w:t>
      </w:r>
      <w:r>
        <w:t xml:space="preserve"> </w:t>
      </w:r>
      <w:r>
        <w:t xml:space="preserve">Consent registry, de-ID, encryption, access controls, audit trails; federated learning.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Clinician UX:</w:t>
      </w:r>
      <w:r>
        <w:t xml:space="preserve"> </w:t>
      </w:r>
      <w:r>
        <w:t xml:space="preserve">Case timeline, what-if simulations, printable summaries.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frd-functional-requirements"/>
      <w:r>
        <w:t xml:space="preserve">4) FRD (Functional Requirements)</w:t>
      </w:r>
      <w:bookmarkEnd w:id="25"/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ETL:</w:t>
      </w:r>
      <w:r>
        <w:t xml:space="preserve"> </w:t>
      </w:r>
      <w:r>
        <w:t xml:space="preserve">VCF to annotated variants (ClinVar, gnomAD); FHIR resources (Observation, Medication, Condition, Procedure); wearable time-series resampling.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Feature Store:</w:t>
      </w:r>
      <w:r>
        <w:t xml:space="preserve"> </w:t>
      </w:r>
      <w:r>
        <w:t xml:space="preserve">patient embeddings (genotype, phenotype, labs, vitals), treatment history, outcomes; temporal windows.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Models:</w:t>
      </w:r>
      <w:r>
        <w:t xml:space="preserve"> </w:t>
      </w:r>
      <w:r>
        <w:t xml:space="preserve">drug-response (per-drug head); ADR classifier; DDI graph model (drug–drug–gene).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Recommender:</w:t>
      </w:r>
      <w:r>
        <w:t xml:space="preserve"> </w:t>
      </w:r>
      <w:r>
        <w:t xml:space="preserve">constrained optimizer combining efficacy, safety, guideline weights, patient prefs, costs.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Trial NLP:</w:t>
      </w:r>
      <w:r>
        <w:t xml:space="preserve"> </w:t>
      </w:r>
      <w:r>
        <w:t xml:space="preserve">BERT-based criterion extraction; code eligibility functions.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Cohort Ops:</w:t>
      </w:r>
      <w:r>
        <w:t xml:space="preserve"> </w:t>
      </w:r>
      <w:r>
        <w:t xml:space="preserve">filter by ICD/SNOMED, variants (e.g., EGFR L858R), lab thresholds; export to REDCap/CTMS.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Explainability:</w:t>
      </w:r>
      <w:r>
        <w:t xml:space="preserve"> </w:t>
      </w:r>
      <w:r>
        <w:t xml:space="preserve">patient-specific SHAP, variant annotations, literature snippets.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Reporting:</w:t>
      </w:r>
      <w:r>
        <w:t xml:space="preserve"> </w:t>
      </w:r>
      <w:r>
        <w:t xml:space="preserve">PDF/HL7 messages; audit logs of decisions.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nfrd"/>
      <w:r>
        <w:t xml:space="preserve">5) NFRD</w:t>
      </w:r>
      <w:bookmarkEnd w:id="26"/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Latency:</w:t>
      </w:r>
      <w:r>
        <w:t xml:space="preserve"> </w:t>
      </w:r>
      <w:r>
        <w:t xml:space="preserve">case query ≤ 2 s P95; batch scoring overnight.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Reliability:</w:t>
      </w:r>
      <w:r>
        <w:t xml:space="preserve"> </w:t>
      </w:r>
      <w:r>
        <w:t xml:space="preserve">99.9% availability; graceful degradation offline.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Privacy/Security:</w:t>
      </w:r>
      <w:r>
        <w:t xml:space="preserve"> </w:t>
      </w:r>
      <w:r>
        <w:t xml:space="preserve">AES‑256 at rest, TLS 1.3, PHI masking, break-glass with dual approval.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Compliance:</w:t>
      </w:r>
      <w:r>
        <w:t xml:space="preserve"> </w:t>
      </w:r>
      <w:r>
        <w:t xml:space="preserve">HIPAA, GDPR, 21 CFR Part 11; model change management (GxP).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Fairness:</w:t>
      </w:r>
      <w:r>
        <w:t xml:space="preserve"> </w:t>
      </w:r>
      <w:r>
        <w:t xml:space="preserve">disparate impact monitoring; subgroup performance floors.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architecture-logical"/>
      <w:r>
        <w:t xml:space="preserve">6) Architecture (Logical)</w:t>
      </w:r>
      <w:bookmarkEnd w:id="27"/>
    </w:p>
    <w:p>
      <w:pPr>
        <w:pStyle w:val="SourceCode"/>
      </w:pPr>
      <w:r>
        <w:rPr>
          <w:rStyle w:val="VerbatimChar"/>
        </w:rPr>
        <w:t xml:space="preserve">[Hospitals/EHR] [Genomics Labs] [Wearables] [SDoH]</w:t>
      </w:r>
      <w:r>
        <w:br w:type="textWrapping"/>
      </w:r>
      <w:r>
        <w:rPr>
          <w:rStyle w:val="VerbatimChar"/>
        </w:rPr>
        <w:t xml:space="preserve">     |              |             |          |</w:t>
      </w:r>
      <w:r>
        <w:br w:type="textWrapping"/>
      </w:r>
      <w:r>
        <w:rPr>
          <w:rStyle w:val="VerbatimChar"/>
        </w:rPr>
        <w:t xml:space="preserve">     v              v             v          v</w:t>
      </w:r>
      <w:r>
        <w:br w:type="textWrapping"/>
      </w:r>
      <w:r>
        <w:rPr>
          <w:rStyle w:val="VerbatimChar"/>
        </w:rPr>
        <w:t xml:space="preserve">            [ETL + De-ID + Consent Manager]</w:t>
      </w:r>
      <w:r>
        <w:br w:type="textWrapping"/>
      </w:r>
      <w:r>
        <w:rPr>
          <w:rStyle w:val="VerbatimChar"/>
        </w:rPr>
        <w:t xml:space="preserve">                         |</w:t>
      </w:r>
      <w:r>
        <w:br w:type="textWrapping"/>
      </w:r>
      <w:r>
        <w:rPr>
          <w:rStyle w:val="VerbatimChar"/>
        </w:rPr>
        <w:t xml:space="preserve">                         v</w:t>
      </w:r>
      <w:r>
        <w:br w:type="textWrapping"/>
      </w:r>
      <w:r>
        <w:rPr>
          <w:rStyle w:val="VerbatimChar"/>
        </w:rPr>
        <w:t xml:space="preserve">                    [Data Lake]</w:t>
      </w:r>
      <w:r>
        <w:br w:type="textWrapping"/>
      </w:r>
      <w:r>
        <w:rPr>
          <w:rStyle w:val="VerbatimChar"/>
        </w:rPr>
        <w:t xml:space="preserve">                         |</w:t>
      </w:r>
      <w:r>
        <w:br w:type="textWrapping"/>
      </w:r>
      <w:r>
        <w:rPr>
          <w:rStyle w:val="VerbatimChar"/>
        </w:rPr>
        <w:t xml:space="preserve">                         v</w:t>
      </w:r>
      <w:r>
        <w:br w:type="textWrapping"/>
      </w:r>
      <w:r>
        <w:rPr>
          <w:rStyle w:val="VerbatimChar"/>
        </w:rPr>
        <w:t xml:space="preserve">                  [Feature Store]</w:t>
      </w:r>
      <w:r>
        <w:br w:type="textWrapping"/>
      </w:r>
      <w:r>
        <w:rPr>
          <w:rStyle w:val="VerbatimChar"/>
        </w:rPr>
        <w:t xml:space="preserve">                         |</w:t>
      </w:r>
      <w:r>
        <w:br w:type="textWrapping"/>
      </w:r>
      <w:r>
        <w:rPr>
          <w:rStyle w:val="VerbatimChar"/>
        </w:rPr>
        <w:t xml:space="preserve">                         v</w:t>
      </w:r>
      <w:r>
        <w:br w:type="textWrapping"/>
      </w:r>
      <w:r>
        <w:rPr>
          <w:rStyle w:val="VerbatimChar"/>
        </w:rPr>
        <w:t xml:space="preserve">        [Models: Response | ADR | DDI Graph]</w:t>
      </w:r>
      <w:r>
        <w:br w:type="textWrapping"/>
      </w:r>
      <w:r>
        <w:rPr>
          <w:rStyle w:val="VerbatimChar"/>
        </w:rPr>
        <w:t xml:space="preserve">                         |</w:t>
      </w:r>
      <w:r>
        <w:br w:type="textWrapping"/>
      </w:r>
      <w:r>
        <w:rPr>
          <w:rStyle w:val="VerbatimChar"/>
        </w:rPr>
        <w:t xml:space="preserve">                         v</w:t>
      </w:r>
      <w:r>
        <w:br w:type="textWrapping"/>
      </w:r>
      <w:r>
        <w:rPr>
          <w:rStyle w:val="VerbatimChar"/>
        </w:rPr>
        <w:t xml:space="preserve">      [Recommendation/Trial Matching Engine]</w:t>
      </w:r>
      <w:r>
        <w:br w:type="textWrapping"/>
      </w:r>
      <w:r>
        <w:rPr>
          <w:rStyle w:val="VerbatimChar"/>
        </w:rPr>
        <w:t xml:space="preserve">                         |</w:t>
      </w:r>
      <w:r>
        <w:br w:type="textWrapping"/>
      </w:r>
      <w:r>
        <w:rPr>
          <w:rStyle w:val="VerbatimChar"/>
        </w:rPr>
        <w:t xml:space="preserve">                         v</w:t>
      </w:r>
      <w:r>
        <w:br w:type="textWrapping"/>
      </w:r>
      <w:r>
        <w:rPr>
          <w:rStyle w:val="VerbatimChar"/>
        </w:rPr>
        <w:t xml:space="preserve">             [Clinician UX + Explainability]</w:t>
      </w:r>
      <w:r>
        <w:br w:type="textWrapping"/>
      </w:r>
      <w:r>
        <w:rPr>
          <w:rStyle w:val="VerbatimChar"/>
        </w:rPr>
        <w:t xml:space="preserve">                         |</w:t>
      </w:r>
      <w:r>
        <w:br w:type="textWrapping"/>
      </w:r>
      <w:r>
        <w:rPr>
          <w:rStyle w:val="VerbatimChar"/>
        </w:rPr>
        <w:t xml:space="preserve">                         v</w:t>
      </w:r>
      <w:r>
        <w:br w:type="textWrapping"/>
      </w:r>
      <w:r>
        <w:rPr>
          <w:rStyle w:val="VerbatimChar"/>
        </w:rPr>
        <w:t xml:space="preserve">             [Audit/Compliance + Federated]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8" w:name="hld-key-components"/>
      <w:r>
        <w:t xml:space="preserve">7) HLD (Key Components)</w:t>
      </w:r>
      <w:bookmarkEnd w:id="28"/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ETL Pipelines:</w:t>
      </w:r>
      <w:r>
        <w:t xml:space="preserve"> </w:t>
      </w:r>
      <w:r>
        <w:t xml:space="preserve">airflow/nifi; HGVS normalization; sample QC metrics; ICD/CPT/SNOMED mapping.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Feature Store:</w:t>
      </w:r>
      <w:r>
        <w:t xml:space="preserve"> </w:t>
      </w:r>
      <w:r>
        <w:t xml:space="preserve">Feast; time-aware joins; survival/longitudinal features.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Drug Response:</w:t>
      </w:r>
      <w:r>
        <w:t xml:space="preserve"> </w:t>
      </w:r>
      <w:r>
        <w:t xml:space="preserve">transformer encoders for variants + clinical; survival head for time-to-progression.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ADR/PGx:</w:t>
      </w:r>
      <w:r>
        <w:t xml:space="preserve"> </w:t>
      </w:r>
      <w:r>
        <w:t xml:space="preserve">model + knowledge graphs (CPIC/PharmGKB) for drug–gene rules.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DDI Graph:</w:t>
      </w:r>
      <w:r>
        <w:t xml:space="preserve"> </w:t>
      </w:r>
      <w:r>
        <w:t xml:space="preserve">hetero-GNN on drug–drug–gene edges; predict interaction severity.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Trial NLP:</w:t>
      </w:r>
      <w:r>
        <w:t xml:space="preserve"> </w:t>
      </w:r>
      <w:r>
        <w:t xml:space="preserve">criteria parser → boolean DSL; fuzzy tolerance ranges.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Recommender:</w:t>
      </w:r>
      <w:r>
        <w:t xml:space="preserve"> </w:t>
      </w:r>
      <w:r>
        <w:t xml:space="preserve">multi-objective (efficacy, safety, QoL, cost); constraints for allergies, pregnancy, renal/hepatic function.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Explainability:</w:t>
      </w:r>
      <w:r>
        <w:t xml:space="preserve"> </w:t>
      </w:r>
      <w:r>
        <w:t xml:space="preserve">local SHAP; variant evidence cards; cite guidelines.</w:t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Federated Learning:</w:t>
      </w:r>
      <w:r>
        <w:t xml:space="preserve"> </w:t>
      </w:r>
      <w:r>
        <w:t xml:space="preserve">TensorFlow Federated/Flower; secure aggregation.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lld-selected"/>
      <w:r>
        <w:t xml:space="preserve">8) LLD (Selected)</w:t>
      </w:r>
      <w:bookmarkEnd w:id="29"/>
    </w:p>
    <w:p>
      <w:pPr>
        <w:pStyle w:val="FirstParagraph"/>
      </w:pPr>
      <w:r>
        <w:rPr>
          <w:b/>
        </w:rPr>
        <w:t xml:space="preserve">ADR Risk Calculation:</w:t>
      </w:r>
      <w:r>
        <w:br w:type="textWrapping"/>
      </w:r>
      <w:r>
        <w:rPr>
          <w:rStyle w:val="VerbatimChar"/>
        </w:rPr>
        <w:t xml:space="preserve">risk_total = w1*model_prob + w2*DDI_score + w3*PGx_rule + w4*history_flag</w:t>
      </w:r>
    </w:p>
    <w:p>
      <w:pPr>
        <w:pStyle w:val="BodyText"/>
      </w:pPr>
      <w:r>
        <w:rPr>
          <w:b/>
        </w:rPr>
        <w:t xml:space="preserve">Eligibility Function Example:</w:t>
      </w:r>
      <w:r>
        <w:br w:type="textWrapping"/>
      </w:r>
      <w:r>
        <w:t xml:space="preserve">-</w:t>
      </w:r>
      <w:r>
        <w:t xml:space="preserve"> </w:t>
      </w:r>
      <w:r>
        <w:rPr>
          <w:rStyle w:val="VerbatimChar"/>
        </w:rPr>
        <w:t xml:space="preserve">age &gt;= 18 AND ECOG in {0,1} AND EGFR_L858R == true AND creatinine_clearance &gt;= 50</w:t>
      </w:r>
    </w:p>
    <w:p>
      <w:pPr>
        <w:pStyle w:val="BodyText"/>
      </w:pPr>
      <w:r>
        <w:rPr>
          <w:b/>
        </w:rPr>
        <w:t xml:space="preserve">Recommender Objective:</w:t>
      </w:r>
      <w:r>
        <w:br w:type="textWrapping"/>
      </w:r>
      <w:r>
        <w:t xml:space="preserve">Maximize</w:t>
      </w:r>
      <w:r>
        <w:t xml:space="preserve"> </w:t>
      </w:r>
      <w:r>
        <w:rPr>
          <w:rStyle w:val="VerbatimChar"/>
        </w:rPr>
        <w:t xml:space="preserve">U = α*Efficacy − β*ADR − γ*Cost + δ*PreferenceMatch</w:t>
      </w:r>
      <w:r>
        <w:t xml:space="preserve">, subject to contraindications and DDI hard constraints.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pseudocode-patient-flow"/>
      <w:r>
        <w:t xml:space="preserve">9) Pseudocode (Patient Flow)</w:t>
      </w:r>
      <w:bookmarkEnd w:id="30"/>
    </w:p>
    <w:p>
      <w:pPr>
        <w:pStyle w:val="SourceCode"/>
      </w:pPr>
      <w:r>
        <w:rPr>
          <w:rStyle w:val="VerbatimChar"/>
        </w:rPr>
        <w:t xml:space="preserve">patient = harmonize(FHIR, VCF, wearables)</w:t>
      </w:r>
      <w:r>
        <w:br w:type="textWrapping"/>
      </w:r>
      <w:r>
        <w:rPr>
          <w:rStyle w:val="VerbatimChar"/>
        </w:rPr>
        <w:t xml:space="preserve">X = featurize(patient)</w:t>
      </w:r>
      <w:r>
        <w:br w:type="textWrapping"/>
      </w:r>
      <w:r>
        <w:rPr>
          <w:rStyle w:val="VerbatimChar"/>
        </w:rPr>
        <w:t xml:space="preserve">resp = model_response(X)</w:t>
      </w:r>
      <w:r>
        <w:br w:type="textWrapping"/>
      </w:r>
      <w:r>
        <w:rPr>
          <w:rStyle w:val="VerbatimChar"/>
        </w:rPr>
        <w:t xml:space="preserve">adr = model_adr(X)</w:t>
      </w:r>
      <w:r>
        <w:br w:type="textWrapping"/>
      </w:r>
      <w:r>
        <w:rPr>
          <w:rStyle w:val="VerbatimChar"/>
        </w:rPr>
        <w:t xml:space="preserve">ddi = gnn_ddi(patient.meds, patient.genotype)</w:t>
      </w:r>
      <w:r>
        <w:br w:type="textWrapping"/>
      </w:r>
      <w:r>
        <w:rPr>
          <w:rStyle w:val="VerbatimChar"/>
        </w:rPr>
        <w:t xml:space="preserve">recs = optimize(resp, adr, ddi, guidelines, prefs)</w:t>
      </w:r>
      <w:r>
        <w:br w:type="textWrapping"/>
      </w:r>
      <w:r>
        <w:rPr>
          <w:rStyle w:val="VerbatimChar"/>
        </w:rPr>
        <w:t xml:space="preserve">trials = match_trials(patient, protocols)</w:t>
      </w:r>
      <w:r>
        <w:br w:type="textWrapping"/>
      </w:r>
      <w:r>
        <w:rPr>
          <w:rStyle w:val="VerbatimChar"/>
        </w:rPr>
        <w:t xml:space="preserve">return report(recs, trials, explanations)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data-evaluation"/>
      <w:r>
        <w:t xml:space="preserve">10) Data &amp; Evaluation</w:t>
      </w:r>
      <w:bookmarkEnd w:id="31"/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Datasets:</w:t>
      </w:r>
      <w:r>
        <w:t xml:space="preserve"> </w:t>
      </w:r>
      <w:r>
        <w:t xml:space="preserve">TCGA, UK Biobank (where licensed), MIMIC-IV, FAERS, DrugBank, CPIC, clinical guidelines.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Metrics:</w:t>
      </w:r>
      <w:r>
        <w:t xml:space="preserve"> </w:t>
      </w:r>
      <w:r>
        <w:t xml:space="preserve">AUC/PR, calibration (ECE), NNT/NNH simulations, trial-matching precision/recall, time-to-decision.</w:t>
      </w:r>
      <w:r>
        <w:br w:type="textWrapping"/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Validation:</w:t>
      </w:r>
      <w:r>
        <w:t xml:space="preserve"> </w:t>
      </w:r>
      <w:r>
        <w:t xml:space="preserve">temporal holdouts; clinician review panels; post-market real-world evidence.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security-privacy-governance"/>
      <w:r>
        <w:t xml:space="preserve">11) Security, Privacy, Governance</w:t>
      </w:r>
      <w:bookmarkEnd w:id="32"/>
    </w:p>
    <w:p>
      <w:pPr>
        <w:pStyle w:val="Compact"/>
        <w:numPr>
          <w:numId w:val="1007"/>
          <w:ilvl w:val="0"/>
        </w:numPr>
      </w:pPr>
      <w:r>
        <w:t xml:space="preserve">Consent management; DUA enforcement; k-anonymity for exports; DP for analytics; immutable audit.</w:t>
      </w:r>
      <w:r>
        <w:br w:type="textWrapping"/>
      </w:r>
    </w:p>
    <w:p>
      <w:pPr>
        <w:pStyle w:val="Compact"/>
        <w:numPr>
          <w:numId w:val="1007"/>
          <w:ilvl w:val="0"/>
        </w:numPr>
      </w:pPr>
      <w:r>
        <w:t xml:space="preserve">RBAC/ABAC; PHI tokenization; key custody/HSMs; BAA with vendors.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observability-cost"/>
      <w:r>
        <w:t xml:space="preserve">12) Observability &amp; Cost</w:t>
      </w:r>
      <w:bookmarkEnd w:id="33"/>
    </w:p>
    <w:p>
      <w:pPr>
        <w:pStyle w:val="Compact"/>
        <w:numPr>
          <w:numId w:val="1008"/>
          <w:ilvl w:val="0"/>
        </w:numPr>
      </w:pPr>
      <w:r>
        <w:t xml:space="preserve">Metrics: query latency, model drift, alert rates, subgroup perf; audit lead time.</w:t>
      </w:r>
      <w:r>
        <w:br w:type="textWrapping"/>
      </w:r>
    </w:p>
    <w:p>
      <w:pPr>
        <w:pStyle w:val="Compact"/>
        <w:numPr>
          <w:numId w:val="1008"/>
          <w:ilvl w:val="0"/>
        </w:numPr>
      </w:pPr>
      <w:r>
        <w:t xml:space="preserve">Cost: tiered storage, GPU batch windows, quantized inference; federated to minimize data movement.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roadmap"/>
      <w:r>
        <w:t xml:space="preserve">13) Roadmap</w:t>
      </w:r>
      <w:bookmarkEnd w:id="34"/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M1 (4w):</w:t>
      </w:r>
      <w:r>
        <w:t xml:space="preserve"> </w:t>
      </w:r>
      <w:r>
        <w:t xml:space="preserve">ETL + baseline models + clinician UI.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M2 (8w):</w:t>
      </w:r>
      <w:r>
        <w:t xml:space="preserve"> </w:t>
      </w:r>
      <w:r>
        <w:t xml:space="preserve">ADR/DDI + explanations + trial matching.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M3 (12w):</w:t>
      </w:r>
      <w:r>
        <w:t xml:space="preserve"> </w:t>
      </w:r>
      <w:r>
        <w:t xml:space="preserve">Federated analytics + RWE loop.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M4 (16w):</w:t>
      </w:r>
      <w:r>
        <w:t xml:space="preserve"> </w:t>
      </w:r>
      <w:r>
        <w:t xml:space="preserve">Regulatory reports + on-device pilots.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5" w:name="risks-mitigations"/>
      <w:r>
        <w:t xml:space="preserve">14) Risks &amp; Mitigations</w:t>
      </w:r>
      <w:bookmarkEnd w:id="35"/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Bias &amp; fairness:</w:t>
      </w:r>
      <w:r>
        <w:t xml:space="preserve"> </w:t>
      </w:r>
      <w:r>
        <w:t xml:space="preserve">subgroup audits, reweighting, clinician oversight.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Data sparsity:</w:t>
      </w:r>
      <w:r>
        <w:t xml:space="preserve"> </w:t>
      </w:r>
      <w:r>
        <w:t xml:space="preserve">transfer learning, imputation, uncertainty estimates.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Clinical liability:</w:t>
      </w:r>
      <w:r>
        <w:t xml:space="preserve"> </w:t>
      </w:r>
      <w:r>
        <w:t xml:space="preserve">decision support (not decision making), explainability, override workflows.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Privacy breaches:</w:t>
      </w:r>
      <w:r>
        <w:t xml:space="preserve"> </w:t>
      </w:r>
      <w:r>
        <w:t xml:space="preserve">strict access, DP/federation, continuous monitoring.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2025-08-31T07:45:59Z</dcterms:created>
  <dcterms:modified xsi:type="dcterms:W3CDTF">2025-08-31T07:45:59Z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