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货币政策与企业就业预期的刚性</w:t>
      </w:r>
    </w:p>
    <w:p>
      <w:pPr>
        <w:jc w:val="center"/>
      </w:pPr>
      <w:r>
        <w:rPr>
          <w:rFonts w:ascii="Times New Roman" w:hAnsi="Times New Roman" w:eastAsia="仿宋"/>
          <w:b w:val="0"/>
          <w:sz w:val="22"/>
        </w:rPr>
        <w:t>2026-08-11 · ECB · 发布于 2026-08-10</w:t>
      </w:r>
    </w:p>
    <w:p>
      <w:pPr>
        <w:spacing w:line="480" w:lineRule="exact"/>
        <w:ind w:firstLine="420"/>
      </w:pPr>
      <w:r>
        <w:rPr>
          <w:rFonts w:ascii="Times New Roman" w:hAnsi="Times New Roman" w:eastAsia="仿宋"/>
          <w:b w:val="0"/>
          <w:sz w:val="24"/>
        </w:rPr>
        <w:t>工作论文系列</w:t>
      </w:r>
    </w:p>
    <w:p>
      <w:pPr>
        <w:spacing w:line="480" w:lineRule="exact"/>
        <w:ind w:firstLine="420"/>
      </w:pPr>
      <w:r>
        <w:rPr>
          <w:rFonts w:ascii="Times New Roman" w:hAnsi="Times New Roman" w:eastAsia="仿宋"/>
          <w:b w:val="0"/>
          <w:sz w:val="24"/>
        </w:rPr>
        <w:t>本文研究欧洲央行货币政策意外如何影响企业的就业预期及随后的就业结果。我们将德国ifo企业调查的月度数据（2005年至2024年，每月覆盖约9000家企业）与高频货币政策意外相结合。通过比较在欧洲央行公告前与公告后不久接受调查的企业，我们隔离出政策冲击对预期的即时影响。</w:t>
      </w:r>
    </w:p>
    <w:p>
      <w:pPr>
        <w:spacing w:line="480" w:lineRule="exact"/>
        <w:ind w:firstLine="420"/>
      </w:pPr>
      <w:r>
        <w:rPr>
          <w:rFonts w:ascii="Times New Roman" w:hAnsi="Times New Roman" w:eastAsia="仿宋"/>
          <w:b w:val="0"/>
          <w:sz w:val="24"/>
        </w:rPr>
        <w:t>这与现有关于金融加速器的证据有所不同，后者侧重于已实现的就业或投资结果。这些模式表明，政策传导取决于企业特定的（财务）状况和劳动力市场法规。</w:t>
      </w:r>
    </w:p>
    <w:p>
      <w:pPr>
        <w:spacing w:line="480" w:lineRule="exact"/>
        <w:ind w:firstLine="420"/>
      </w:pPr>
      <w:r>
        <w:rPr>
          <w:rFonts w:ascii="Times New Roman" w:hAnsi="Times New Roman" w:eastAsia="仿宋"/>
          <w:b w:val="0"/>
          <w:sz w:val="24"/>
        </w:rPr>
        <w:t>因此，企业的就业预期为货币政策如何传导至劳动力市场提供了早期且直接的观察视角。然而，尽管关于货币政策对产出和通胀预期影响的文献日益增多（Bottone and Rosolia, 2019; Enders et al., 2019; Di Pace et al., 2025），但关于央行公告如何塑造企业就业预期，以及这些预期如何转化为实际就业的证据仍然有限。这一空白在微观层面尤为突出，因为企业层面的信念形成最终驱动着总体劳动力市场动态。</w:t>
      </w:r>
    </w:p>
    <w:p>
      <w:pPr>
        <w:spacing w:line="480" w:lineRule="exact"/>
        <w:ind w:firstLine="420"/>
      </w:pPr>
      <w:r>
        <w:rPr>
          <w:rFonts w:ascii="Times New Roman" w:hAnsi="Times New Roman" w:eastAsia="仿宋"/>
          <w:b w:val="0"/>
          <w:sz w:val="24"/>
        </w:rPr>
        <w:t>因此，我们能够评估中央银行是否只能通过需求变化间接影响就业，还是也能通过预期变化直接影响就业。</w:t>
      </w:r>
    </w:p>
    <w:p>
      <w:pPr>
        <w:spacing w:line="480" w:lineRule="exact"/>
        <w:ind w:firstLine="420"/>
      </w:pPr>
      <w:r>
        <w:rPr>
          <w:rFonts w:ascii="Times New Roman" w:hAnsi="Times New Roman" w:eastAsia="仿宋"/>
          <w:b w:val="0"/>
          <w:sz w:val="24"/>
        </w:rPr>
        <w:t>(Bahaj et al., 2022; Singh et al., 2023)，我们的结果表明，这种差异化响应源于企业形成招聘计划的方式，从而弥合了货币政策公告与实际就业变化之间的差距。此外，我们通过企业自我报告的财务困难和信贷获取条件直接衡量财务约束，而非依赖杠杆率或企业规模等资产负债表代理指标。</w:t>
      </w:r>
    </w:p>
    <w:p>
      <w:pPr>
        <w:spacing w:line="480" w:lineRule="exact"/>
        <w:ind w:firstLine="420"/>
      </w:pPr>
      <w:r>
        <w:rPr>
          <w:rFonts w:ascii="Times New Roman" w:hAnsi="Times New Roman" w:eastAsia="仿宋"/>
          <w:b w:val="0"/>
          <w:sz w:val="24"/>
        </w:rPr>
        <w:t>困难或报告过度约束。最后，我们的结果凸显了劳动力市场刚性在新凯恩斯主义模型中的重要性。生产预期与就业预期调整之间的差距表明，存在招聘和解雇成本，以及寻找新员工和辞退现有员工的难度。Lechthaler等人（2010）在其新凯恩斯主义模型中证明了劳动力调整成本的相关性，用以从货币政策冲击中推导出持续性的失业效应，以及就业创造与就业破坏之间的负相关关系。</w:t>
      </w:r>
    </w:p>
    <w:p>
      <w:pPr>
        <w:spacing w:line="480" w:lineRule="exact"/>
        <w:ind w:firstLine="420"/>
      </w:pPr>
      <w:r>
        <w:rPr>
          <w:rFonts w:ascii="Times New Roman" w:hAnsi="Times New Roman" w:eastAsia="仿宋"/>
          <w:b w:val="0"/>
          <w:sz w:val="24"/>
        </w:rPr>
        <w:t>Enders等人（2019）的研究表明，企业的价格预期和生产预期会对欧洲央行的公告作出反应。我们在三个方向上有所不同：从产品市场转向劳动力市场，其中制度特征产生了根本不同的动态变化；从即时影响转向通过局部投影法揭示的完整动态路径，发现就业预期的持续性远超生产预期；以及通过财务约束和劳动力市场约束分析货币政策对企业预期的传导。Bottone和Rosolia（2019）、Ferrando等人（2022）以及Di Pace等人（2025）分别提供了货币政策对通胀预期、信贷获取预期和价格预期影响的补充证据。</w:t>
      </w:r>
    </w:p>
    <w:p>
      <w:pPr>
        <w:spacing w:line="480" w:lineRule="exact"/>
        <w:ind w:firstLine="420"/>
      </w:pPr>
      <w:r>
        <w:rPr>
          <w:rFonts w:ascii="Times New Roman" w:hAnsi="Times New Roman" w:eastAsia="仿宋"/>
          <w:b w:val="0"/>
          <w:sz w:val="24"/>
        </w:rPr>
        <w:t>(2020)报告了非常规政策效果不一的结果。Francis等人(2012)展示了美国各城市间政策的异质性，与之相关的是，de Groot等人(2023)记录了欧元区的一个空间维度：货币紧缩导致较贫困地区就业和劳动生产率持续下降，这表明劳动力市场调整中存在滞后效应，与我们记录的企业招聘意向持续性相呼应。此外，经济的部门构成影响货币政策向产出的传导强度(Hauptmeier等人，2025)。关于分配后果，Coglianese等人(2025)表明货币紧缩提高了瑞典的失业率和劳动力市场不平等——这与我们发现裁员边际最终占据主导的结果相呼应。Groiss(2023)强调了就业创造渠道在塑造德国工资不平等中的作用，这一机制与我们基于企业层面的招聘边际结果相印证。与我们最接近的使用企业层面数据的研究是Bahaj等人(2022)和Singh等人(2023)，他们分别展示了企业特征如何塑造英国和美国的货币政策就业效应。我们通过将研究从实际就业转向就业预期，区分招聘和解雇意向，覆盖所有主要部门，并识别财务约束、信贷获取、工会覆盖率和最低工资在欧洲央行货币政策传导中的具体作用，从而扩展了这项工作。</w:t>
      </w:r>
    </w:p>
    <w:p>
      <w:pPr>
        <w:spacing w:line="480" w:lineRule="exact"/>
        <w:ind w:firstLine="420"/>
      </w:pPr>
      <w:r>
        <w:rPr>
          <w:rFonts w:ascii="Times New Roman" w:hAnsi="Times New Roman" w:eastAsia="仿宋"/>
          <w:b w:val="0"/>
          <w:sz w:val="24"/>
        </w:rPr>
        <w:t>数据中心（EBDC）。该数据自1980年起以月度频率提供制造业数据，其他行业的数据随后逐步可得。³自2005年起，所有行业的数据均可获得，因此我们将样本期设定为2005年至2024年。该调查覆盖面广泛，每月约有9,000份回复，且在行业内具有代表性（Sauer et al., 2023）。⁴另一个优势在于调查的月度面板结构。我们不仅能够重复观察到相同的企业，而且该自愿性调查的回复率非常高，流失率较低。³行业（包括制造业（IBS-IND, 2024）和建筑业（IBS-CON, 2024））、服务业（包括贸易业（IBS-TRA, 2024）和其他服务业（IBS-SERV, 2024））。</w:t>
      </w:r>
    </w:p>
    <w:p>
      <w:pPr>
        <w:jc w:val="center"/>
      </w:pPr>
      <w:r>
        <w:drawing>
          <wp:inline xmlns:a="http://schemas.openxmlformats.org/drawingml/2006/main" xmlns:pic="http://schemas.openxmlformats.org/drawingml/2006/picture">
            <wp:extent cx="5040000" cy="3241778"/>
            <wp:docPr id="1" name="Picture 1"/>
            <wp:cNvGraphicFramePr>
              <a:graphicFrameLocks noChangeAspect="1"/>
            </wp:cNvGraphicFramePr>
            <a:graphic>
              <a:graphicData uri="http://schemas.openxmlformats.org/drawingml/2006/picture">
                <pic:pic>
                  <pic:nvPicPr>
                    <pic:cNvPr id="0" name="fig_p10_1.png"/>
                    <pic:cNvPicPr/>
                  </pic:nvPicPr>
                  <pic:blipFill>
                    <a:blip r:embed="rId9"/>
                    <a:stretch>
                      <a:fillRect/>
                    </a:stretch>
                  </pic:blipFill>
                  <pic:spPr>
                    <a:xfrm>
                      <a:off x="0" y="0"/>
                      <a:ext cx="5040000" cy="3241778"/>
                    </a:xfrm>
                    <a:prstGeom prst="rect"/>
                  </pic:spPr>
                </pic:pic>
              </a:graphicData>
            </a:graphic>
          </wp:inline>
        </w:drawing>
      </w:r>
    </w:p>
    <w:p>
      <w:pPr>
        <w:spacing w:after="120"/>
        <w:jc w:val="center"/>
      </w:pPr>
      <w:r>
        <w:rPr>
          <w:rFonts w:ascii="Times New Roman" w:hAnsi="Times New Roman" w:eastAsia="黑体"/>
          <w:b w:val="0"/>
          <w:sz w:val="21"/>
        </w:rPr>
        <w:t>图1：ifo 调查——样本特征</w:t>
      </w:r>
    </w:p>
    <w:p>
      <w:pPr>
        <w:spacing w:line="480" w:lineRule="exact"/>
        <w:ind w:firstLine="420"/>
      </w:pPr>
      <w:r>
        <w:rPr>
          <w:rFonts w:ascii="Times New Roman" w:hAnsi="Times New Roman" w:eastAsia="仿宋"/>
          <w:b w:val="0"/>
          <w:sz w:val="24"/>
        </w:rPr>
        <w:t>,000 1</w:t>
      </w:r>
    </w:p>
    <w:p>
      <w:pPr>
        <w:jc w:val="center"/>
      </w:pPr>
      <w:r>
        <w:drawing>
          <wp:inline xmlns:a="http://schemas.openxmlformats.org/drawingml/2006/main" xmlns:pic="http://schemas.openxmlformats.org/drawingml/2006/picture">
            <wp:extent cx="5040000" cy="2289778"/>
            <wp:docPr id="2" name="Picture 2"/>
            <wp:cNvGraphicFramePr>
              <a:graphicFrameLocks noChangeAspect="1"/>
            </wp:cNvGraphicFramePr>
            <a:graphic>
              <a:graphicData uri="http://schemas.openxmlformats.org/drawingml/2006/picture">
                <pic:pic>
                  <pic:nvPicPr>
                    <pic:cNvPr id="0" name="fig_p11_1.png"/>
                    <pic:cNvPicPr/>
                  </pic:nvPicPr>
                  <pic:blipFill>
                    <a:blip r:embed="rId10"/>
                    <a:stretch>
                      <a:fillRect/>
                    </a:stretch>
                  </pic:blipFill>
                  <pic:spPr>
                    <a:xfrm>
                      <a:off x="0" y="0"/>
                      <a:ext cx="5040000" cy="2289778"/>
                    </a:xfrm>
                    <a:prstGeom prst="rect"/>
                  </pic:spPr>
                </pic:pic>
              </a:graphicData>
            </a:graphic>
          </wp:inline>
        </w:drawing>
      </w:r>
    </w:p>
    <w:p>
      <w:pPr>
        <w:spacing w:after="120"/>
        <w:jc w:val="center"/>
      </w:pPr>
      <w:r>
        <w:rPr>
          <w:rFonts w:ascii="Times New Roman" w:hAnsi="Times New Roman" w:eastAsia="黑体"/>
          <w:b w:val="0"/>
          <w:sz w:val="21"/>
        </w:rPr>
        <w:t>图2：就业预期</w:t>
      </w:r>
    </w:p>
    <w:p>
      <w:pPr>
        <w:spacing w:line="480" w:lineRule="exact"/>
        <w:ind w:firstLine="420"/>
      </w:pPr>
      <w:r>
        <w:rPr>
          <w:rFonts w:ascii="Times New Roman" w:hAnsi="Times New Roman" w:eastAsia="仿宋"/>
          <w:b w:val="0"/>
          <w:sz w:val="24"/>
        </w:rPr>
        <w:t>高频货币政策冲击</w:t>
      </w:r>
    </w:p>
    <w:p>
      <w:pPr>
        <w:spacing w:line="480" w:lineRule="exact"/>
        <w:ind w:firstLine="420"/>
      </w:pPr>
      <w:r>
        <w:rPr>
          <w:rFonts w:ascii="Times New Roman" w:hAnsi="Times New Roman" w:eastAsia="仿宋"/>
          <w:b w:val="0"/>
          <w:sz w:val="24"/>
        </w:rPr>
        <w:t>因此，这允许对冲击进行外生性解释。我们通过检查政策冲击的自相关性以及其他冲击是否以显著且有意义的方式影响货币政策意外来检验外生性（Bauer and Swanson, 2023），而欧元区的情况并非如此（见表B.1）。为应对剩余担忧，我们在下一节估计即时预期调整时，利用了ifo调查的准随机响应日。</w:t>
      </w:r>
    </w:p>
    <w:p>
      <w:pPr>
        <w:jc w:val="center"/>
      </w:pPr>
      <w:r>
        <w:drawing>
          <wp:inline xmlns:a="http://schemas.openxmlformats.org/drawingml/2006/main" xmlns:pic="http://schemas.openxmlformats.org/drawingml/2006/picture">
            <wp:extent cx="5040000" cy="6535224"/>
            <wp:docPr id="3" name="Picture 3"/>
            <wp:cNvGraphicFramePr>
              <a:graphicFrameLocks noChangeAspect="1"/>
            </wp:cNvGraphicFramePr>
            <a:graphic>
              <a:graphicData uri="http://schemas.openxmlformats.org/drawingml/2006/picture">
                <pic:pic>
                  <pic:nvPicPr>
                    <pic:cNvPr id="0" name="fig_p13_1.png"/>
                    <pic:cNvPicPr/>
                  </pic:nvPicPr>
                  <pic:blipFill>
                    <a:blip r:embed="rId11"/>
                    <a:stretch>
                      <a:fillRect/>
                    </a:stretch>
                  </pic:blipFill>
                  <pic:spPr>
                    <a:xfrm>
                      <a:off x="0" y="0"/>
                      <a:ext cx="5040000" cy="6535224"/>
                    </a:xfrm>
                    <a:prstGeom prst="rect"/>
                  </pic:spPr>
                </pic:pic>
              </a:graphicData>
            </a:graphic>
          </wp:inline>
        </w:drawing>
      </w:r>
    </w:p>
    <w:p>
      <w:pPr>
        <w:spacing w:after="120"/>
        <w:jc w:val="center"/>
      </w:pPr>
      <w:r>
        <w:rPr>
          <w:rFonts w:ascii="Times New Roman" w:hAnsi="Times New Roman" w:eastAsia="黑体"/>
          <w:b w:val="0"/>
          <w:sz w:val="21"/>
        </w:rPr>
        <w:t>图3：高频货币政策冲击</w:t>
      </w:r>
    </w:p>
    <w:p>
      <w:pPr>
        <w:spacing w:line="480" w:lineRule="exact"/>
        <w:ind w:firstLine="420"/>
      </w:pPr>
      <w:r>
        <w:rPr>
          <w:rFonts w:ascii="Times New Roman" w:hAnsi="Times New Roman" w:eastAsia="仿宋"/>
          <w:b w:val="0"/>
          <w:sz w:val="24"/>
        </w:rPr>
        <w:t>−06 20</w:t>
      </w:r>
    </w:p>
    <w:p>
      <w:pPr>
        <w:spacing w:line="480" w:lineRule="exact"/>
        <w:ind w:firstLine="420"/>
      </w:pPr>
      <w:r>
        <w:rPr>
          <w:rFonts w:ascii="Times New Roman" w:hAnsi="Times New Roman" w:eastAsia="仿宋"/>
          <w:b w:val="0"/>
          <w:sz w:val="24"/>
        </w:rPr>
        <w:t>我们假设企业做出回应的时间与公告本身无关，这一假设得到了处理组和未处理组企业预期分布相似性的支持（见表A.2）。</w:t>
      </w:r>
    </w:p>
    <w:p>
      <w:pPr>
        <w:spacing w:line="480" w:lineRule="exact"/>
        <w:ind w:firstLine="420"/>
      </w:pPr>
      <w:r>
        <w:rPr>
          <w:rFonts w:ascii="Times New Roman" w:hAnsi="Times New Roman" w:eastAsia="仿宋"/>
          <w:b w:val="0"/>
          <w:sz w:val="24"/>
        </w:rPr>
        <w:t>表1展示了我们对企业货币政策意外即时预期响应的基准结果。第(1)列显示，目标利率意外上升25个基点会导致就业预期显著下降0.13。具体而言，在货币紧缩之后，降低就业预期的企业比增加就业预期的企业多13%。</w:t>
      </w:r>
    </w:p>
    <w:p>
      <w:pPr>
        <w:spacing w:line="480" w:lineRule="exact"/>
        <w:ind w:firstLine="420"/>
      </w:pPr>
      <w:r>
        <w:rPr>
          <w:rFonts w:ascii="Times New Roman" w:hAnsi="Times New Roman" w:eastAsia="仿宋"/>
          <w:b w:val="0"/>
          <w:sz w:val="24"/>
        </w:rPr>
        <w:t>就业预期的均值为0.02，标准差为0.54。系数范围介于-2和+2之间。在极端情况下，若所有企业在25个基点政策冲击后计划增加劳动力（1）并转而减少劳动力（-1），则特定事件的系数将为-2。</w:t>
      </w:r>
    </w:p>
    <w:p>
      <w:pPr>
        <w:spacing w:line="360" w:lineRule="exact"/>
      </w:pPr>
      <w:r>
        <w:rPr>
          <w:rFonts w:ascii="Courier New" w:hAnsi="Courier New" w:eastAsia="宋体"/>
          <w:b w:val="0"/>
          <w:sz w:val="18"/>
        </w:rPr>
        <w:t>Table 1: Immediate expectation responses</w:t>
      </w:r>
    </w:p>
    <w:p>
      <w:pPr>
        <w:spacing w:line="360" w:lineRule="exact"/>
      </w:pPr>
      <w:r>
        <w:rPr>
          <w:rFonts w:ascii="Courier New" w:hAnsi="Courier New" w:eastAsia="宋体"/>
          <w:b w:val="0"/>
          <w:sz w:val="18"/>
        </w:rPr>
        <w:t>employment expectationproduction expectationtotalincreasedecreasetotalincreasedecrease(1)(2)(3)(4)(5)(6)TR shock × post-0.1280∗∗∗-0.0943∗∗∗0.0296∗∗∗-0.2903∗∗∗-0.0836∗∗∗0.2046∗∗∗</w:t>
      </w:r>
    </w:p>
    <w:p>
      <w:pPr>
        <w:spacing w:line="360" w:lineRule="exact"/>
      </w:pPr>
      <w:r>
        <w:rPr>
          <w:rFonts w:ascii="Courier New" w:hAnsi="Courier New" w:eastAsia="宋体"/>
          <w:b w:val="0"/>
          <w:sz w:val="18"/>
        </w:rPr>
        <w:t>(0.0120)(0.0082)(0.0083)(0.0162)(0.0099)(0.0112)Post dummy0.0003-0.0014∗-0.0014∗∗-0.0138∗∗∗-0.0044∗∗∗0.0096∗∗∗</w:t>
      </w:r>
    </w:p>
    <w:p>
      <w:pPr>
        <w:spacing w:line="360" w:lineRule="exact"/>
      </w:pPr>
      <w:r>
        <w:rPr>
          <w:rFonts w:ascii="Courier New" w:hAnsi="Courier New" w:eastAsia="宋体"/>
          <w:b w:val="0"/>
          <w:sz w:val="18"/>
        </w:rPr>
        <w:t>(0.0010)(0.0007)(0.0007)(0.0013)(0.0009)(0.0008)Exp employment (t-1)0.4766∗∗∗0.4118∗∗∗0.4858∗∗∗</w:t>
      </w:r>
    </w:p>
    <w:p>
      <w:pPr>
        <w:spacing w:line="360" w:lineRule="exact"/>
      </w:pPr>
      <w:r>
        <w:rPr>
          <w:rFonts w:ascii="Courier New" w:hAnsi="Courier New" w:eastAsia="宋体"/>
          <w:b w:val="0"/>
          <w:sz w:val="18"/>
        </w:rPr>
        <w:t>(0.0012)(0.0016)(0.0016)Exp production (t-1)0.3468∗∗∗0.3140∗∗∗0.3320∗∗∗</w:t>
      </w:r>
    </w:p>
    <w:p>
      <w:pPr>
        <w:spacing w:line="360" w:lineRule="exact"/>
      </w:pPr>
      <w:r>
        <w:rPr>
          <w:rFonts w:ascii="Courier New" w:hAnsi="Courier New" w:eastAsia="宋体"/>
          <w:b w:val="0"/>
          <w:sz w:val="18"/>
        </w:rPr>
        <w:t>(0.0013)(0.0013)(0.0015)Exp business situation (t-1)0.0576∗∗∗0.0312∗∗∗-0.0320∗∗∗0.1520∗∗∗0.0874∗∗∗-0.0752∗∗∗</w:t>
      </w:r>
    </w:p>
    <w:p>
      <w:pPr>
        <w:spacing w:line="360" w:lineRule="exact"/>
      </w:pPr>
      <w:r>
        <w:rPr>
          <w:rFonts w:ascii="Courier New" w:hAnsi="Courier New" w:eastAsia="宋体"/>
          <w:b w:val="0"/>
          <w:sz w:val="18"/>
        </w:rPr>
        <w:t>(0.0008)(0.0005)(0.0006)(0.0012)(0.0008)(0.0007)Constant0.0067∗∗∗0.0852∗∗∗0.0675∗∗∗0.0520∗∗∗0.1612∗∗∗0.1038∗∗∗</w:t>
      </w:r>
    </w:p>
    <w:p>
      <w:pPr>
        <w:spacing w:line="360" w:lineRule="exact"/>
      </w:pPr>
      <w:r>
        <w:rPr>
          <w:rFonts w:ascii="Courier New" w:hAnsi="Courier New" w:eastAsia="宋体"/>
          <w:b w:val="0"/>
          <w:sz w:val="18"/>
        </w:rPr>
        <w:t>(0.0006)(0.0005)(0.0004)(0.0008)(0.0006)(0.0005)</w:t>
      </w:r>
    </w:p>
    <w:p>
      <w:pPr>
        <w:spacing w:line="360" w:lineRule="exact"/>
      </w:pPr>
      <w:r>
        <w:rPr>
          <w:rFonts w:ascii="Courier New" w:hAnsi="Courier New" w:eastAsia="宋体"/>
          <w:b w:val="0"/>
          <w:sz w:val="18"/>
        </w:rPr>
        <w:t>Firm FEyesyesyesyesyesyesMeeting FEyesyesyesyesyesyesObservations209,399209,399209,399209,799209,799209,799R20.51980.48000.47690.44810.41490.3910Number of Meetings200200200200200200</w:t>
      </w:r>
    </w:p>
    <w:p>
      <w:pPr>
        <w:spacing w:line="360" w:lineRule="exact"/>
      </w:pPr>
      <w:r>
        <w:rPr>
          <w:rFonts w:ascii="Courier New" w:hAnsi="Courier New" w:eastAsia="宋体"/>
          <w:b w:val="0"/>
          <w:sz w:val="18"/>
        </w:rPr>
        <w:t>Notes: OLS regressions showing the monetary policy effect of treated (=post) vs non-treated firms on employ-ment and production expectations. Heteroskedasticity robust standard errors in the parenthesis. TR=TargetRate.* p&lt;0.10, ** p&lt;0.05, *** p&lt;0.001.</w:t>
      </w:r>
    </w:p>
    <w:p>
      <w:pPr>
        <w:spacing w:line="360" w:lineRule="exact"/>
      </w:pPr>
      <w:r>
        <w:rPr>
          <w:rFonts w:ascii="Courier New" w:hAnsi="Courier New" w:eastAsia="宋体"/>
          <w:b w:val="0"/>
          <w:sz w:val="18"/>
        </w:rPr>
        <w:t>Turning to production expectations, column (4) reveals a notably larger immediate response. A</w:t>
      </w:r>
    </w:p>
    <w:p>
      <w:pPr>
        <w:spacing w:line="360" w:lineRule="exact"/>
      </w:pPr>
      <w:r>
        <w:rPr>
          <w:rFonts w:ascii="Courier New" w:hAnsi="Courier New" w:eastAsia="宋体"/>
          <w:b w:val="0"/>
          <w:sz w:val="18"/>
        </w:rPr>
        <w:t>25 basis point Target Rate surprise reduces production expectations by 0.29 in the baseline specifi-</w:t>
      </w:r>
    </w:p>
    <w:p>
      <w:pPr>
        <w:spacing w:line="360" w:lineRule="exact"/>
      </w:pPr>
      <w:r>
        <w:rPr>
          <w:rFonts w:ascii="Courier New" w:hAnsi="Courier New" w:eastAsia="宋体"/>
          <w:b w:val="0"/>
          <w:sz w:val="18"/>
        </w:rPr>
        <w:t>cation and even more when additional controls are added (see Table D.3). Because both expectation</w:t>
      </w:r>
    </w:p>
    <w:p>
      <w:pPr>
        <w:spacing w:line="360" w:lineRule="exact"/>
      </w:pPr>
      <w:r>
        <w:rPr>
          <w:rFonts w:ascii="Courier New" w:hAnsi="Courier New" w:eastAsia="宋体"/>
          <w:b w:val="0"/>
          <w:sz w:val="18"/>
        </w:rPr>
        <w:t>series are ordinal, the coefficients measure the net share of firms revising their plans, not the cardinal</w:t>
      </w:r>
    </w:p>
    <w:p>
      <w:pPr>
        <w:spacing w:line="360" w:lineRule="exact"/>
      </w:pPr>
      <w:r>
        <w:rPr>
          <w:rFonts w:ascii="Courier New" w:hAnsi="Courier New" w:eastAsia="宋体"/>
          <w:b w:val="0"/>
          <w:sz w:val="18"/>
        </w:rPr>
        <w:t>size of the revision, and are therefore best compared through the likelihood of adjustment. On that</w:t>
      </w:r>
    </w:p>
    <w:p>
      <w:pPr>
        <w:spacing w:line="360" w:lineRule="exact"/>
      </w:pPr>
      <w:r>
        <w:rPr>
          <w:rFonts w:ascii="Courier New" w:hAnsi="Courier New" w:eastAsia="宋体"/>
          <w:b w:val="0"/>
          <w:sz w:val="18"/>
        </w:rPr>
        <w:t>basis the gap is pronounced: nearly twice as many firms adjust their production expectations rather</w:t>
      </w:r>
    </w:p>
    <w:p>
      <w:pPr>
        <w:spacing w:line="360" w:lineRule="exact"/>
      </w:pPr>
      <w:r>
        <w:rPr>
          <w:rFonts w:ascii="Courier New" w:hAnsi="Courier New" w:eastAsia="宋体"/>
          <w:b w:val="0"/>
          <w:sz w:val="18"/>
        </w:rPr>
        <w:t>than their employment expectations directly after a monetary policy announcement. This pattern is</w:t>
      </w:r>
    </w:p>
    <w:p>
      <w:pPr>
        <w:spacing w:line="360" w:lineRule="exact"/>
      </w:pPr>
      <w:r>
        <w:rPr>
          <w:rFonts w:ascii="Courier New" w:hAnsi="Courier New" w:eastAsia="宋体"/>
          <w:b w:val="0"/>
          <w:sz w:val="18"/>
        </w:rPr>
        <w:t>consistent with the notion that labour markets are characterised by greater rigidities than product</w:t>
      </w:r>
    </w:p>
    <w:p>
      <w:pPr>
        <w:spacing w:line="360" w:lineRule="exact"/>
      </w:pPr>
      <w:r>
        <w:rPr>
          <w:rFonts w:ascii="Courier New" w:hAnsi="Courier New" w:eastAsia="宋体"/>
          <w:b w:val="0"/>
          <w:sz w:val="18"/>
        </w:rPr>
        <w:t>markets. Those could include adjustment costs associated with hiring and firing, related to the</w:t>
      </w:r>
    </w:p>
    <w:p>
      <w:pPr>
        <w:spacing w:line="360" w:lineRule="exact"/>
      </w:pPr>
      <w:r>
        <w:rPr>
          <w:rFonts w:ascii="Courier New" w:hAnsi="Courier New" w:eastAsia="宋体"/>
          <w:b w:val="0"/>
          <w:sz w:val="18"/>
        </w:rPr>
        <w:t>stringency of employment protection legislation, and firm-specific human capital formation. This</w:t>
      </w:r>
    </w:p>
    <w:p>
      <w:pPr>
        <w:spacing w:line="360" w:lineRule="exact"/>
      </w:pPr>
      <w:r>
        <w:rPr>
          <w:rFonts w:ascii="Courier New" w:hAnsi="Courier New" w:eastAsia="宋体"/>
          <w:b w:val="0"/>
          <w:sz w:val="18"/>
        </w:rPr>
        <w:t>contrast does not stem from the two variables being measured on different scales. Their cross-firm</w:t>
      </w:r>
    </w:p>
    <w:p>
      <w:pPr>
        <w:spacing w:line="360" w:lineRule="exact"/>
      </w:pPr>
      <w:r>
        <w:rPr>
          <w:rFonts w:ascii="Courier New" w:hAnsi="Courier New" w:eastAsia="宋体"/>
          <w:b w:val="0"/>
          <w:sz w:val="18"/>
        </w:rPr>
        <w:t>12According to a cross-equation Wald test following a joint estimation, the absolute effect sizes of columns (2) and(3) in Table 1 are statistically different (p-value: 0.0005).</w:t>
      </w:r>
    </w:p>
    <w:p>
      <w:pPr>
        <w:spacing w:line="480" w:lineRule="exact"/>
        <w:ind w:firstLine="420"/>
      </w:pPr>
      <w:r>
        <w:rPr>
          <w:rFonts w:ascii="Times New Roman" w:hAnsi="Times New Roman" w:eastAsia="仿宋"/>
          <w:b w:val="0"/>
          <w:sz w:val="24"/>
        </w:rPr>
        <w:t>均值和标准差非常接近，因此对两者进行标准化处理后，差距基本保持不变：25个基点的意外冲击使标准化后的生产预期下降0.48，而就业预期下降0.25（表D.1第(4)和(5)列），比率再次接近二比一。</w:t>
      </w:r>
    </w:p>
    <w:p>
      <w:pPr>
        <w:spacing w:line="480" w:lineRule="exact"/>
        <w:ind w:firstLine="420"/>
      </w:pPr>
      <w:r>
        <w:rPr>
          <w:rFonts w:ascii="Times New Roman" w:hAnsi="Times New Roman" w:eastAsia="仿宋"/>
          <w:b w:val="0"/>
          <w:sz w:val="24"/>
        </w:rPr>
        <w:t>德国与ifo调查。因此，计划招聘或裁员的多数企业倾向于招募或解雇一人。尽管关于招聘/裁员预期的定量变量自2023年起才可得，但它有助于评估集约边际。中位数企业预期招聘一名新员工，即使第90百分位的企业也仅招聘七人（见表A.4）。为更好地拟合集约边际，我们在回归中应用了来自ifo调查的规模权重，从而使得规模较大的企业招聘更多。图2b展示了加权平均就业预期与德国总体就业增长之间的关系，并说明了其与实际动态的紧密拟合。</w:t>
      </w:r>
    </w:p>
    <w:p>
      <w:pPr>
        <w:spacing w:line="480" w:lineRule="exact"/>
        <w:ind w:firstLine="420"/>
      </w:pPr>
      <w:r>
        <w:rPr>
          <w:rFonts w:ascii="Times New Roman" w:hAnsi="Times New Roman" w:eastAsia="仿宋"/>
          <w:b w:val="0"/>
          <w:sz w:val="24"/>
        </w:rPr>
        <w:t>此外，我们通过Zi,t−1控制滞后的货币政策冲击，以提高估计的外生性和效率。我们还加入了日历月份固定效应以考虑季节性因素。虽然在此设定下我们无法控制时间固定效应，因为这会吸收货币政策效应，但我们仍可控制企业固定效应，以控制企业间未观测到的异质性αi。13 βp h是关注系数，捕捉预期对紧缩性目标利率冲击的响应。</w:t>
      </w:r>
    </w:p>
    <w:p>
      <w:pPr>
        <w:jc w:val="center"/>
      </w:pPr>
      <w:r>
        <w:drawing>
          <wp:inline xmlns:a="http://schemas.openxmlformats.org/drawingml/2006/main" xmlns:pic="http://schemas.openxmlformats.org/drawingml/2006/picture">
            <wp:extent cx="5040000" cy="1615229"/>
            <wp:docPr id="4" name="Picture 4"/>
            <wp:cNvGraphicFramePr>
              <a:graphicFrameLocks noChangeAspect="1"/>
            </wp:cNvGraphicFramePr>
            <a:graphic>
              <a:graphicData uri="http://schemas.openxmlformats.org/drawingml/2006/picture">
                <pic:pic>
                  <pic:nvPicPr>
                    <pic:cNvPr id="0" name="fig_p19_1.png"/>
                    <pic:cNvPicPr/>
                  </pic:nvPicPr>
                  <pic:blipFill>
                    <a:blip r:embed="rId12"/>
                    <a:stretch>
                      <a:fillRect/>
                    </a:stretch>
                  </pic:blipFill>
                  <pic:spPr>
                    <a:xfrm>
                      <a:off x="0" y="0"/>
                      <a:ext cx="5040000" cy="1615229"/>
                    </a:xfrm>
                    <a:prstGeom prst="rect"/>
                  </pic:spPr>
                </pic:pic>
              </a:graphicData>
            </a:graphic>
          </wp:inline>
        </w:drawing>
      </w:r>
    </w:p>
    <w:p>
      <w:pPr>
        <w:spacing w:after="120"/>
        <w:jc w:val="center"/>
      </w:pPr>
      <w:r>
        <w:rPr>
          <w:rFonts w:ascii="Times New Roman" w:hAnsi="Times New Roman" w:eastAsia="黑体"/>
          <w:b w:val="0"/>
          <w:sz w:val="21"/>
        </w:rPr>
        <w:t>图4：动态预期响应</w:t>
      </w:r>
    </w:p>
    <w:p>
      <w:pPr>
        <w:spacing w:line="480" w:lineRule="exact"/>
        <w:ind w:firstLine="420"/>
      </w:pPr>
      <w:r>
        <w:rPr>
          <w:rFonts w:ascii="Times New Roman" w:hAnsi="Times New Roman" w:eastAsia="仿宋"/>
          <w:b w:val="0"/>
          <w:sz w:val="24"/>
        </w:rPr>
        <w:t>图4中间面板展示了生产预期的响应。与就业形成鲜明对比的是，企业更倾向于调整其生产预期，在1个月响应区间内达到峰值效应-0.43。然而，反转速度显著更快：约6个月后，该效应在统计上不再显著异于零。超过该区间后，响应并未保持在零水平，而是在更长区间内转为正值，超过其冲击前水平，这表明就业预期与生产预期不仅在初始反应的可能性上存在差异，而且在生产预期反转和反弹的速度上也存在差异。</w:t>
      </w:r>
    </w:p>
    <w:p>
      <w:pPr>
        <w:spacing w:line="480" w:lineRule="exact"/>
        <w:ind w:firstLine="420"/>
      </w:pPr>
      <w:r>
        <w:rPr>
          <w:rFonts w:ascii="Times New Roman" w:hAnsi="Times New Roman" w:eastAsia="仿宋"/>
          <w:b w:val="0"/>
          <w:sz w:val="24"/>
        </w:rPr>
        <w:t>这表明货币政策在产品市场和劳动力市场中通过不同的渠道发挥作用，其中劳动力市场表现出明显更大的惯性。德国的劳动力市场制度，包括法定就业保护、最低工资以及普遍存在的企业委员会，可能解释了这种差异性的持续性。此外，自全球金融危机以来，面对持续的技术工人短缺，企业不愿裁员（Groiss and Sondermann, 2025），这可能进一步减缓了就业预期调整的速度。</w:t>
      </w:r>
    </w:p>
    <w:p>
      <w:pPr>
        <w:jc w:val="center"/>
      </w:pPr>
      <w:r>
        <w:drawing>
          <wp:inline xmlns:a="http://schemas.openxmlformats.org/drawingml/2006/main" xmlns:pic="http://schemas.openxmlformats.org/drawingml/2006/picture">
            <wp:extent cx="5040000" cy="1707300"/>
            <wp:docPr id="5" name="Picture 5"/>
            <wp:cNvGraphicFramePr>
              <a:graphicFrameLocks noChangeAspect="1"/>
            </wp:cNvGraphicFramePr>
            <a:graphic>
              <a:graphicData uri="http://schemas.openxmlformats.org/drawingml/2006/picture">
                <pic:pic>
                  <pic:nvPicPr>
                    <pic:cNvPr id="0" name="fig_p21_1.png"/>
                    <pic:cNvPicPr/>
                  </pic:nvPicPr>
                  <pic:blipFill>
                    <a:blip r:embed="rId13"/>
                    <a:stretch>
                      <a:fillRect/>
                    </a:stretch>
                  </pic:blipFill>
                  <pic:spPr>
                    <a:xfrm>
                      <a:off x="0" y="0"/>
                      <a:ext cx="5040000" cy="1707300"/>
                    </a:xfrm>
                    <a:prstGeom prst="rect"/>
                  </pic:spPr>
                </pic:pic>
              </a:graphicData>
            </a:graphic>
          </wp:inline>
        </w:drawing>
      </w:r>
    </w:p>
    <w:p>
      <w:pPr>
        <w:spacing w:after="120"/>
        <w:jc w:val="center"/>
      </w:pPr>
      <w:r>
        <w:rPr>
          <w:rFonts w:ascii="Times New Roman" w:hAnsi="Times New Roman" w:eastAsia="黑体"/>
          <w:b w:val="0"/>
          <w:sz w:val="21"/>
        </w:rPr>
        <w:t>图5：招聘减少与裁员增加</w:t>
      </w:r>
    </w:p>
    <w:p>
      <w:pPr>
        <w:spacing w:line="480" w:lineRule="exact"/>
        <w:ind w:firstLine="420"/>
      </w:pPr>
      <w:r>
        <w:rPr>
          <w:rFonts w:ascii="Times New Roman" w:hAnsi="Times New Roman" w:eastAsia="仿宋"/>
          <w:b w:val="0"/>
          <w:sz w:val="24"/>
        </w:rPr>
      </w:r>
    </w:p>
    <w:p>
      <w:pPr>
        <w:spacing w:line="360" w:lineRule="exact"/>
      </w:pPr>
      <w:r>
        <w:rPr>
          <w:rFonts w:ascii="Courier New" w:hAnsi="Courier New" w:eastAsia="宋体"/>
          <w:b w:val="0"/>
          <w:sz w:val="18"/>
        </w:rPr>
        <w:t>Table 2: Employment growth response</w:t>
      </w:r>
    </w:p>
    <w:p>
      <w:pPr>
        <w:spacing w:line="360" w:lineRule="exact"/>
      </w:pPr>
      <w:r>
        <w:rPr>
          <w:rFonts w:ascii="Courier New" w:hAnsi="Courier New" w:eastAsia="宋体"/>
          <w:b w:val="0"/>
          <w:sz w:val="18"/>
        </w:rPr>
        <w:t>year-ahead employment growth(1)(2)(3)(4)TR shock-1.4200∗∗∗-0.5973∗∗∗-0.2636-1.7360∗∗∗</w:t>
      </w:r>
    </w:p>
    <w:p>
      <w:pPr>
        <w:spacing w:line="360" w:lineRule="exact"/>
      </w:pPr>
      <w:r>
        <w:rPr>
          <w:rFonts w:ascii="Courier New" w:hAnsi="Courier New" w:eastAsia="宋体"/>
          <w:b w:val="0"/>
          <w:sz w:val="18"/>
        </w:rPr>
        <w:t>(0.4055)(0.0821)(0.2405)(0.3649)Declining employment expectations (t-1)-0.6123∗∗∗-0.3672∗∗∗</w:t>
      </w:r>
    </w:p>
    <w:p>
      <w:pPr>
        <w:spacing w:line="360" w:lineRule="exact"/>
      </w:pPr>
      <w:r>
        <w:rPr>
          <w:rFonts w:ascii="Courier New" w:hAnsi="Courier New" w:eastAsia="宋体"/>
          <w:b w:val="0"/>
          <w:sz w:val="18"/>
        </w:rPr>
        <w:t>(0.2237)(0.0240)Increasing employment expectations (t-1)0.3847∗∗∗0.2135∗∗∗</w:t>
      </w:r>
    </w:p>
    <w:p>
      <w:pPr>
        <w:spacing w:line="360" w:lineRule="exact"/>
      </w:pPr>
      <w:r>
        <w:rPr>
          <w:rFonts w:ascii="Courier New" w:hAnsi="Courier New" w:eastAsia="宋体"/>
          <w:b w:val="0"/>
          <w:sz w:val="18"/>
        </w:rPr>
        <w:t>(0.1480)(0.0249)Employment growth (t-1)0.8932∗∗∗0.9541∗∗∗0.8888∗∗∗0.9196∗∗∗</w:t>
      </w:r>
    </w:p>
    <w:p>
      <w:pPr>
        <w:spacing w:line="360" w:lineRule="exact"/>
      </w:pPr>
      <w:r>
        <w:rPr>
          <w:rFonts w:ascii="Courier New" w:hAnsi="Courier New" w:eastAsia="宋体"/>
          <w:b w:val="0"/>
          <w:sz w:val="18"/>
        </w:rPr>
        <w:t>(0.0289)(0.0028)(0.0086)(0.0061)Employment growth (t-2)0.0196-0.0083∗∗∗0.0108-0.0078(0.0248)(0.0028)(0.0081)(0.0070)Employment growth (t-3)-0.0615∗∗∗-0.0568∗∗∗-0.0485∗∗∗-0.0361∗∗∗</w:t>
      </w:r>
    </w:p>
    <w:p>
      <w:pPr>
        <w:spacing w:line="360" w:lineRule="exact"/>
      </w:pPr>
      <w:r>
        <w:rPr>
          <w:rFonts w:ascii="Courier New" w:hAnsi="Courier New" w:eastAsia="宋体"/>
          <w:b w:val="0"/>
          <w:sz w:val="18"/>
        </w:rPr>
        <w:t>(0.0117)(0.0019)(0.0082)(0.0042)Lagged policy shocksyesyesyesyesFirm and calendar month FEyesyesyesyesObservations1,199,9551,109,829124,973113,457R20.81690.85380.83910.8682Number of Meetings200200200200</w:t>
      </w:r>
    </w:p>
    <w:p>
      <w:pPr>
        <w:spacing w:line="360" w:lineRule="exact"/>
      </w:pPr>
      <w:r>
        <w:rPr>
          <w:rFonts w:ascii="Courier New" w:hAnsi="Courier New" w:eastAsia="宋体"/>
          <w:b w:val="0"/>
          <w:sz w:val="18"/>
        </w:rPr>
        <w:t>Notes: OLS regressions showing the monetary policy effect on 12-month employment growth.Firm cluster robust standard errors in the parenthesis. TR=Target Rate.* p&lt;0.10, **p&lt;0.05, *** p&lt;0.001.</w:t>
      </w:r>
    </w:p>
    <w:p>
      <w:pPr>
        <w:spacing w:line="360" w:lineRule="exact"/>
      </w:pPr>
      <w:r>
        <w:rPr>
          <w:rFonts w:ascii="Courier New" w:hAnsi="Courier New" w:eastAsia="宋体"/>
          <w:b w:val="0"/>
          <w:sz w:val="18"/>
        </w:rPr>
        <w:t>We provide a range of estimates instead of a specific estimate, as the estimates should be</w:t>
      </w:r>
    </w:p>
    <w:p>
      <w:pPr>
        <w:spacing w:line="360" w:lineRule="exact"/>
      </w:pPr>
      <w:r>
        <w:rPr>
          <w:rFonts w:ascii="Courier New" w:hAnsi="Courier New" w:eastAsia="宋体"/>
          <w:b w:val="0"/>
          <w:sz w:val="18"/>
        </w:rPr>
        <w:t>interpreted with caution.The firm-level employment variable is mostly reported at an annual</w:t>
      </w:r>
    </w:p>
    <w:p>
      <w:pPr>
        <w:spacing w:line="360" w:lineRule="exact"/>
      </w:pPr>
      <w:r>
        <w:rPr>
          <w:rFonts w:ascii="Courier New" w:hAnsi="Courier New" w:eastAsia="宋体"/>
          <w:b w:val="0"/>
          <w:sz w:val="18"/>
        </w:rPr>
        <w:t>frequency and forwarded across months by the ifo institute, which introduces measurement noise. To</w:t>
      </w:r>
    </w:p>
    <w:p>
      <w:pPr>
        <w:spacing w:line="360" w:lineRule="exact"/>
      </w:pPr>
      <w:r>
        <w:rPr>
          <w:rFonts w:ascii="Courier New" w:hAnsi="Courier New" w:eastAsia="宋体"/>
          <w:b w:val="0"/>
          <w:sz w:val="18"/>
        </w:rPr>
        <w:t>capture the induced serial correlation within firms’ observations, we control for lagged employment</w:t>
      </w:r>
    </w:p>
    <w:p>
      <w:pPr>
        <w:spacing w:line="360" w:lineRule="exact"/>
      </w:pPr>
      <w:r>
        <w:rPr>
          <w:rFonts w:ascii="Courier New" w:hAnsi="Courier New" w:eastAsia="宋体"/>
          <w:b w:val="0"/>
          <w:sz w:val="18"/>
        </w:rPr>
        <w:t>growth and estimate firm cluster robust standard errors. Column (1) reports the estimates using the</w:t>
      </w:r>
    </w:p>
    <w:p>
      <w:pPr>
        <w:spacing w:line="360" w:lineRule="exact"/>
      </w:pPr>
      <w:r>
        <w:rPr>
          <w:rFonts w:ascii="Courier New" w:hAnsi="Courier New" w:eastAsia="宋体"/>
          <w:b w:val="0"/>
          <w:sz w:val="18"/>
        </w:rPr>
        <w:t>same sample and specification as for the local projections. This includes three lags of employment</w:t>
      </w:r>
    </w:p>
    <w:p>
      <w:pPr>
        <w:spacing w:line="360" w:lineRule="exact"/>
      </w:pPr>
      <w:r>
        <w:rPr>
          <w:rFonts w:ascii="Courier New" w:hAnsi="Courier New" w:eastAsia="宋体"/>
          <w:b w:val="0"/>
          <w:sz w:val="18"/>
        </w:rPr>
        <w:t>15Given that the net balance deteriorates by 0.21, at least 21% of firms will have to revise their expectationsdownwards (if none revise them upwards). Assuming that each of these firms plans to reduce its workforce by oneemployee (see A.4) and that there are around 3.4 million firms in Germany, this would result in the loss of 0.71 millionjobs. Compared to the total number of employees in Germany in 2024 (42 million), this would represent a 1.7%reduction in employment, similar to the aggregate employment responses in Figure 6.</w:t>
      </w:r>
    </w:p>
    <w:p>
      <w:pPr>
        <w:spacing w:line="480" w:lineRule="exact"/>
        <w:ind w:firstLine="420"/>
      </w:pPr>
      <w:r>
        <w:rPr>
          <w:rFonts w:ascii="Times New Roman" w:hAnsi="Times New Roman" w:eastAsia="仿宋"/>
          <w:b w:val="0"/>
          <w:sz w:val="24"/>
        </w:rPr>
        <w:t>增长及货币政策冲击的三个滞后项，以及固定效应。由于这些估计可能受到异常值或错误数据的影响，而这在有序因变量的回归中并不相关，第（2）列提供了剔除就业增长观测值上下各3%后的估计结果。</w:t>
      </w:r>
    </w:p>
    <w:p>
      <w:pPr>
        <w:spacing w:line="480" w:lineRule="exact"/>
        <w:ind w:firstLine="420"/>
      </w:pPr>
      <w:r>
        <w:rPr>
          <w:rFonts w:ascii="Times New Roman" w:hAnsi="Times New Roman" w:eastAsia="仿宋"/>
          <w:b w:val="0"/>
          <w:sz w:val="24"/>
        </w:rPr>
        <w:t>更长时间。职位空缺减少和劳动力规模缩小反映在失业率上升上，这一上升在统计上显著但略有延迟，并在十二个月后达到峰值。</w:t>
      </w:r>
    </w:p>
    <w:p>
      <w:pPr>
        <w:jc w:val="center"/>
      </w:pPr>
      <w:r>
        <w:drawing>
          <wp:inline xmlns:a="http://schemas.openxmlformats.org/drawingml/2006/main" xmlns:pic="http://schemas.openxmlformats.org/drawingml/2006/picture">
            <wp:extent cx="5040000" cy="1489655"/>
            <wp:docPr id="6" name="Picture 6"/>
            <wp:cNvGraphicFramePr>
              <a:graphicFrameLocks noChangeAspect="1"/>
            </wp:cNvGraphicFramePr>
            <a:graphic>
              <a:graphicData uri="http://schemas.openxmlformats.org/drawingml/2006/picture">
                <pic:pic>
                  <pic:nvPicPr>
                    <pic:cNvPr id="0" name="fig_p24_1.png"/>
                    <pic:cNvPicPr/>
                  </pic:nvPicPr>
                  <pic:blipFill>
                    <a:blip r:embed="rId14"/>
                    <a:stretch>
                      <a:fillRect/>
                    </a:stretch>
                  </pic:blipFill>
                  <pic:spPr>
                    <a:xfrm>
                      <a:off x="0" y="0"/>
                      <a:ext cx="5040000" cy="1489655"/>
                    </a:xfrm>
                    <a:prstGeom prst="rect"/>
                  </pic:spPr>
                </pic:pic>
              </a:graphicData>
            </a:graphic>
          </wp:inline>
        </w:drawing>
      </w:r>
    </w:p>
    <w:p>
      <w:pPr>
        <w:spacing w:after="120"/>
        <w:jc w:val="center"/>
      </w:pPr>
      <w:r>
        <w:rPr>
          <w:rFonts w:ascii="Times New Roman" w:hAnsi="Times New Roman" w:eastAsia="黑体"/>
          <w:b w:val="0"/>
          <w:sz w:val="21"/>
        </w:rPr>
        <w:t>图6：总体劳动力市场响应</w:t>
      </w:r>
    </w:p>
    <w:p>
      <w:pPr>
        <w:spacing w:line="480" w:lineRule="exact"/>
        <w:ind w:firstLine="420"/>
      </w:pPr>
      <w:r>
        <w:rPr>
          <w:rFonts w:ascii="Times New Roman" w:hAnsi="Times New Roman" w:eastAsia="仿宋"/>
          <w:b w:val="0"/>
          <w:sz w:val="24"/>
        </w:rPr>
        <w:t>职位空缺</w:t>
      </w:r>
    </w:p>
    <w:p>
      <w:pPr>
        <w:spacing w:line="480" w:lineRule="exact"/>
        <w:ind w:firstLine="420"/>
      </w:pPr>
      <w:r>
        <w:rPr>
          <w:rFonts w:ascii="Times New Roman" w:hAnsi="Times New Roman" w:eastAsia="仿宋"/>
          <w:b w:val="0"/>
          <w:sz w:val="24"/>
        </w:rPr>
        <w:t>正如Enders等人（2019）所述，信息效应可能随着冲击规模的增大而增强，从而逆转观测到的效应。因此，控制这些效应对于理解实际货币政策效果至关重要。17</w:t>
      </w:r>
    </w:p>
    <w:p>
      <w:pPr>
        <w:spacing w:line="360" w:lineRule="exact"/>
      </w:pPr>
      <w:r>
        <w:rPr>
          <w:rFonts w:ascii="Courier New" w:hAnsi="Courier New" w:eastAsia="宋体"/>
          <w:b w:val="0"/>
          <w:sz w:val="18"/>
        </w:rPr>
        <w:t>Table 3: Employment expectation responses - nonlinearity and information effects</w:t>
      </w:r>
    </w:p>
    <w:p>
      <w:pPr>
        <w:spacing w:line="360" w:lineRule="exact"/>
      </w:pPr>
      <w:r>
        <w:rPr>
          <w:rFonts w:ascii="Courier New" w:hAnsi="Courier New" w:eastAsia="宋体"/>
          <w:b w:val="0"/>
          <w:sz w:val="18"/>
        </w:rPr>
        <w:t>employment expectation(1)(2)(3)(4)(5)TR shock × post-0.0433∗</w:t>
      </w:r>
    </w:p>
    <w:p>
      <w:pPr>
        <w:spacing w:line="360" w:lineRule="exact"/>
      </w:pPr>
      <w:r>
        <w:rPr>
          <w:rFonts w:ascii="Courier New" w:hAnsi="Courier New" w:eastAsia="宋体"/>
          <w:b w:val="0"/>
          <w:sz w:val="18"/>
        </w:rPr>
        <w:t>(0.0256)Cubic TR shock × post-0.6554∗∗∗</w:t>
      </w:r>
    </w:p>
    <w:p>
      <w:pPr>
        <w:spacing w:line="360" w:lineRule="exact"/>
      </w:pPr>
      <w:r>
        <w:rPr>
          <w:rFonts w:ascii="Courier New" w:hAnsi="Courier New" w:eastAsia="宋体"/>
          <w:b w:val="0"/>
          <w:sz w:val="18"/>
        </w:rPr>
        <w:t>(0.1729)JK monetary shock × post-0.1207∗∗∗</w:t>
      </w:r>
    </w:p>
    <w:p>
      <w:pPr>
        <w:spacing w:line="360" w:lineRule="exact"/>
      </w:pPr>
      <w:r>
        <w:rPr>
          <w:rFonts w:ascii="Courier New" w:hAnsi="Courier New" w:eastAsia="宋体"/>
          <w:b w:val="0"/>
          <w:sz w:val="18"/>
        </w:rPr>
        <w:t>(0.0271)JK info shock × post0.3343∗∗∗</w:t>
      </w:r>
    </w:p>
    <w:p>
      <w:pPr>
        <w:spacing w:line="360" w:lineRule="exact"/>
      </w:pPr>
      <w:r>
        <w:rPr>
          <w:rFonts w:ascii="Courier New" w:hAnsi="Courier New" w:eastAsia="宋体"/>
          <w:b w:val="0"/>
          <w:sz w:val="18"/>
        </w:rPr>
        <w:t>(0.0338)Positive TR shock × post-0.1537∗∗∗</w:t>
      </w:r>
    </w:p>
    <w:p>
      <w:pPr>
        <w:spacing w:line="360" w:lineRule="exact"/>
      </w:pPr>
      <w:r>
        <w:rPr>
          <w:rFonts w:ascii="Courier New" w:hAnsi="Courier New" w:eastAsia="宋体"/>
          <w:b w:val="0"/>
          <w:sz w:val="18"/>
        </w:rPr>
        <w:t>(0.0132)Negative TR shock × post0.0665(0.0423)Policy rate change × post0.1357(0.1439)FG shock × post0.0120(0.0085)</w:t>
      </w:r>
    </w:p>
    <w:p>
      <w:pPr>
        <w:spacing w:line="360" w:lineRule="exact"/>
      </w:pPr>
      <w:r>
        <w:rPr>
          <w:rFonts w:ascii="Courier New" w:hAnsi="Courier New" w:eastAsia="宋体"/>
          <w:b w:val="0"/>
          <w:sz w:val="18"/>
        </w:rPr>
        <w:t>Firm FEyesyesyesyesyesMeeting FEyesyesyesyesyesObservations209,399193,480209,399209,399209,399R20.51980.46700.51980.51970.5197Number of Meetings200188200200200</w:t>
      </w:r>
    </w:p>
    <w:p>
      <w:pPr>
        <w:spacing w:line="360" w:lineRule="exact"/>
      </w:pPr>
      <w:r>
        <w:rPr>
          <w:rFonts w:ascii="Courier New" w:hAnsi="Courier New" w:eastAsia="宋体"/>
          <w:b w:val="0"/>
          <w:sz w:val="18"/>
        </w:rPr>
        <w:t>Notes: OLS regressions showing the monetary policy effect of treated (=post) vs non-treatedfirms on employment expectations. Heteroskedasticity robust standard errors in the parenthesis.(1) cubic effects, (2) Jaroci´nski and Karadi (2020) policy surprises, (3) asymmetric effects, (4)policy rate change, (5) forward guidance shocks. TR=Target Rate, FG=Forward Guidance,JK=Jarocinski/Karadi.* p&lt;0.10, ** p&lt;0.05, *** p&lt;0.001.</w:t>
      </w:r>
    </w:p>
    <w:p>
      <w:pPr>
        <w:spacing w:line="360" w:lineRule="exact"/>
      </w:pPr>
      <w:r>
        <w:rPr>
          <w:rFonts w:ascii="Courier New" w:hAnsi="Courier New" w:eastAsia="宋体"/>
          <w:b w:val="0"/>
          <w:sz w:val="18"/>
        </w:rPr>
        <w:t>Di Pace et al. (2025) compare different measures of monetary policy to test which indicator</w:t>
      </w:r>
    </w:p>
    <w:p>
      <w:pPr>
        <w:spacing w:line="360" w:lineRule="exact"/>
      </w:pPr>
      <w:r>
        <w:rPr>
          <w:rFonts w:ascii="Courier New" w:hAnsi="Courier New" w:eastAsia="宋体"/>
          <w:b w:val="0"/>
          <w:sz w:val="18"/>
        </w:rPr>
        <w:t>matters for British firms. They find that firms price expectations react to the actual policy rate</w:t>
      </w:r>
    </w:p>
    <w:p>
      <w:pPr>
        <w:spacing w:line="360" w:lineRule="exact"/>
      </w:pPr>
      <w:r>
        <w:rPr>
          <w:rFonts w:ascii="Courier New" w:hAnsi="Courier New" w:eastAsia="宋体"/>
          <w:b w:val="0"/>
          <w:sz w:val="18"/>
        </w:rPr>
        <w:t>change and narrative shocks, but not to ‘sophisticated’ high-frequency shocks arising at financial</w:t>
      </w:r>
    </w:p>
    <w:p>
      <w:pPr>
        <w:spacing w:line="360" w:lineRule="exact"/>
      </w:pPr>
      <w:r>
        <w:rPr>
          <w:rFonts w:ascii="Courier New" w:hAnsi="Courier New" w:eastAsia="宋体"/>
          <w:b w:val="0"/>
          <w:sz w:val="18"/>
        </w:rPr>
        <w:t>markets. Therefore, we run regressions on changes in the ECB’s main refinancing operations rate</w:t>
      </w:r>
    </w:p>
    <w:p>
      <w:pPr>
        <w:spacing w:line="360" w:lineRule="exact"/>
      </w:pPr>
      <w:r>
        <w:rPr>
          <w:rFonts w:ascii="Courier New" w:hAnsi="Courier New" w:eastAsia="宋体"/>
          <w:b w:val="0"/>
          <w:sz w:val="18"/>
        </w:rPr>
        <w:t>in column (4). In contrast to Di Pace et al. (2025), we do not find statistically significant effects on</w:t>
      </w:r>
    </w:p>
    <w:p>
      <w:pPr>
        <w:spacing w:line="360" w:lineRule="exact"/>
      </w:pPr>
      <w:r>
        <w:rPr>
          <w:rFonts w:ascii="Courier New" w:hAnsi="Courier New" w:eastAsia="宋体"/>
          <w:b w:val="0"/>
          <w:sz w:val="18"/>
        </w:rPr>
        <w:t>firm expectations. The anticipation of policy rate changes and the information effects captured in</w:t>
      </w:r>
    </w:p>
    <w:p>
      <w:pPr>
        <w:spacing w:line="360" w:lineRule="exact"/>
      </w:pPr>
      <w:r>
        <w:rPr>
          <w:rFonts w:ascii="Courier New" w:hAnsi="Courier New" w:eastAsia="宋体"/>
          <w:b w:val="0"/>
          <w:sz w:val="18"/>
        </w:rPr>
        <w:t>the policy announcement seem to dominate among German firms. However, we find significant and</w:t>
      </w:r>
    </w:p>
    <w:p>
      <w:pPr>
        <w:spacing w:line="360" w:lineRule="exact"/>
      </w:pPr>
      <w:r>
        <w:rPr>
          <w:rFonts w:ascii="Courier New" w:hAnsi="Courier New" w:eastAsia="宋体"/>
          <w:b w:val="0"/>
          <w:sz w:val="18"/>
        </w:rPr>
        <w:t>theory-consistent responses to high-frequency monetary policy shocks, in line with other studies</w:t>
      </w:r>
    </w:p>
    <w:p>
      <w:pPr>
        <w:spacing w:line="360" w:lineRule="exact"/>
      </w:pPr>
      <w:r>
        <w:rPr>
          <w:rFonts w:ascii="Courier New" w:hAnsi="Courier New" w:eastAsia="宋体"/>
          <w:b w:val="0"/>
          <w:sz w:val="18"/>
        </w:rPr>
        <w:t>analysing realised firm-level employment (e.g. Bahaj et al., 2022), implying that even small firms</w:t>
      </w:r>
    </w:p>
    <w:p>
      <w:pPr>
        <w:spacing w:line="360" w:lineRule="exact"/>
      </w:pPr>
      <w:r>
        <w:rPr>
          <w:rFonts w:ascii="Courier New" w:hAnsi="Courier New" w:eastAsia="宋体"/>
          <w:b w:val="0"/>
          <w:sz w:val="18"/>
        </w:rPr>
        <w:t>react to financial market changes.</w:t>
      </w:r>
    </w:p>
    <w:p>
      <w:pPr>
        <w:spacing w:line="480" w:lineRule="exact"/>
        <w:ind w:firstLine="420"/>
      </w:pPr>
      <w:r>
        <w:rPr>
          <w:rFonts w:ascii="Times New Roman" w:hAnsi="Times New Roman" w:eastAsia="仿宋"/>
          <w:b w:val="0"/>
          <w:sz w:val="24"/>
        </w:rPr>
        <w:t>最后，我们还比较了常规货币政策与紧缩性前瞻性指引冲击的影响。列（5）显示，前瞻性指引呈现出明显不同的模式。其对就业预期的影响在经济上可忽略不计，且在统计上不显著（0.012）。这一发现与以下解释一致：前瞻性指引的设计目标是中期预期和未来经济状况，而非促使招聘计划立即调整。鉴于其着眼于中期发展，前瞻性指引对预期的影响可能比常规货币政策更为缓慢。同样，前瞻性指引对生产预期的影响也较小且不显著（-0.015）。</w:t>
      </w:r>
    </w:p>
    <w:p>
      <w:pPr>
        <w:spacing w:line="360" w:lineRule="exact"/>
      </w:pPr>
      <w:r>
        <w:rPr>
          <w:rFonts w:ascii="Courier New" w:hAnsi="Courier New" w:eastAsia="宋体"/>
          <w:b w:val="0"/>
          <w:sz w:val="18"/>
        </w:rPr>
        <w:t>Table 4: Employment expectation responses - Robustness</w:t>
      </w:r>
    </w:p>
    <w:p>
      <w:pPr>
        <w:spacing w:line="360" w:lineRule="exact"/>
      </w:pPr>
      <w:r>
        <w:rPr>
          <w:rFonts w:ascii="Courier New" w:hAnsi="Courier New" w:eastAsia="宋体"/>
          <w:b w:val="0"/>
          <w:sz w:val="18"/>
        </w:rPr>
        <w:t>employment expectation(1)(2)(3)(4)(increase)(decrease)Target Rate shock × post-0.1570∗∗∗-0.1281∗∗∗-0.1166∗∗∗-0.1003∗∗∗-0.7654∗∗∗0.7231∗∗∗</w:t>
      </w:r>
    </w:p>
    <w:p>
      <w:pPr>
        <w:spacing w:line="360" w:lineRule="exact"/>
      </w:pPr>
      <w:r>
        <w:rPr>
          <w:rFonts w:ascii="Courier New" w:hAnsi="Courier New" w:eastAsia="宋体"/>
          <w:b w:val="0"/>
          <w:sz w:val="18"/>
        </w:rPr>
        <w:t>(0.0222)(0.0122)(0.0141)(0.0303)(0.1160)(0.1112)</w:t>
      </w:r>
    </w:p>
    <w:p>
      <w:pPr>
        <w:spacing w:line="360" w:lineRule="exact"/>
      </w:pPr>
      <w:r>
        <w:rPr>
          <w:rFonts w:ascii="Courier New" w:hAnsi="Courier New" w:eastAsia="宋体"/>
          <w:b w:val="0"/>
          <w:sz w:val="18"/>
        </w:rPr>
        <w:t>Further controlsnonoyesnononoFirm FEyesyesyesyesyesyesMeeting FEyesyesyesyesyesyesObservations341,792209,399117,371209,399209,399209,399R20.43800.51980.56820.4655Number of Meetings200200200200200200</w:t>
      </w:r>
    </w:p>
    <w:p>
      <w:pPr>
        <w:spacing w:line="360" w:lineRule="exact"/>
      </w:pPr>
      <w:r>
        <w:rPr>
          <w:rFonts w:ascii="Courier New" w:hAnsi="Courier New" w:eastAsia="宋体"/>
          <w:b w:val="0"/>
          <w:sz w:val="18"/>
        </w:rPr>
        <w:t>Notes: OLS regressions showing the monetary policy effect of treated (=post) vs non-treated firms on employ-ment expectations. Heteroskedasticity robust standard errors in the parenthesis. Further controls include fiveadditional lags in the respective expectation variable, current state of the business and number of employees(in log). (1) +/- 4 working day window, (2) set largest +/- shock to zero, (3) extra controls, (4) not weightedby firm-size, (5) multinomial logit: increasing workforce (vs unchanged), (6) multinomial logit: decreasingworkforce (vs unchanged). TR=Target Rate.* p&lt;0.10, ** p&lt;0.05, *** p&lt;0.001.</w:t>
      </w:r>
    </w:p>
    <w:p>
      <w:pPr>
        <w:spacing w:line="360" w:lineRule="exact"/>
      </w:pPr>
      <w:r>
        <w:rPr>
          <w:rFonts w:ascii="Courier New" w:hAnsi="Courier New" w:eastAsia="宋体"/>
          <w:b w:val="0"/>
          <w:sz w:val="18"/>
        </w:rPr>
        <w:t>of decreasing employment expectations, in line with the OLS estimates. The monetary effects on</w:t>
      </w:r>
    </w:p>
    <w:p>
      <w:pPr>
        <w:spacing w:line="360" w:lineRule="exact"/>
      </w:pPr>
      <w:r>
        <w:rPr>
          <w:rFonts w:ascii="Courier New" w:hAnsi="Courier New" w:eastAsia="宋体"/>
          <w:b w:val="0"/>
          <w:sz w:val="18"/>
        </w:rPr>
        <w:t>production expectations are similarly robust, as summarised in Table D.3.</w:t>
      </w:r>
    </w:p>
    <w:p>
      <w:pPr>
        <w:spacing w:line="360" w:lineRule="exact"/>
      </w:pPr>
      <w:r>
        <w:rPr>
          <w:rFonts w:ascii="Courier New" w:hAnsi="Courier New" w:eastAsia="宋体"/>
          <w:b w:val="0"/>
          <w:sz w:val="18"/>
        </w:rPr>
        <w:t>The dynamic results are also robust to adjustments to the specification. To test for potential</w:t>
      </w:r>
    </w:p>
    <w:p>
      <w:pPr>
        <w:spacing w:line="360" w:lineRule="exact"/>
      </w:pPr>
      <w:r>
        <w:rPr>
          <w:rFonts w:ascii="Courier New" w:hAnsi="Courier New" w:eastAsia="宋体"/>
          <w:b w:val="0"/>
          <w:sz w:val="18"/>
        </w:rPr>
        <w:t>bias, as described in Nickell (1981), when including firm fixed effects and the lagged dependent</w:t>
      </w:r>
    </w:p>
    <w:p>
      <w:pPr>
        <w:spacing w:line="360" w:lineRule="exact"/>
      </w:pPr>
      <w:r>
        <w:rPr>
          <w:rFonts w:ascii="Courier New" w:hAnsi="Courier New" w:eastAsia="宋体"/>
          <w:b w:val="0"/>
          <w:sz w:val="18"/>
        </w:rPr>
        <w:t>variable, we estimate a split-panel jackknife estimator. Using this bias-corrected estimator produces</w:t>
      </w:r>
    </w:p>
    <w:p>
      <w:pPr>
        <w:spacing w:line="360" w:lineRule="exact"/>
      </w:pPr>
      <w:r>
        <w:rPr>
          <w:rFonts w:ascii="Courier New" w:hAnsi="Courier New" w:eastAsia="宋体"/>
          <w:b w:val="0"/>
          <w:sz w:val="18"/>
        </w:rPr>
        <w:t>similar, albeit more volatile, IRFs (see Figure D.1). The qualitative conclusion of a weaker but more</w:t>
      </w:r>
    </w:p>
    <w:p>
      <w:pPr>
        <w:spacing w:line="360" w:lineRule="exact"/>
      </w:pPr>
      <w:r>
        <w:rPr>
          <w:rFonts w:ascii="Courier New" w:hAnsi="Courier New" w:eastAsia="宋体"/>
          <w:b w:val="0"/>
          <w:sz w:val="18"/>
        </w:rPr>
        <w:t>persistent employment expectations response remain valid. Similarly, replacing our poor man’s sign</w:t>
      </w:r>
    </w:p>
    <w:p>
      <w:pPr>
        <w:spacing w:line="360" w:lineRule="exact"/>
      </w:pPr>
      <w:r>
        <w:rPr>
          <w:rFonts w:ascii="Courier New" w:hAnsi="Courier New" w:eastAsia="宋体"/>
          <w:b w:val="0"/>
          <w:sz w:val="18"/>
        </w:rPr>
        <w:t>restricted Target Rate shock with pure monetary policy shocks by Jaroci´nski and Karadi (2020)</w:t>
      </w:r>
    </w:p>
    <w:p>
      <w:pPr>
        <w:spacing w:line="360" w:lineRule="exact"/>
      </w:pPr>
      <w:r>
        <w:rPr>
          <w:rFonts w:ascii="Courier New" w:hAnsi="Courier New" w:eastAsia="宋体"/>
          <w:b w:val="0"/>
          <w:sz w:val="18"/>
        </w:rPr>
        <w:t>leads to dynamics that are closely aligned with our baseline results (see Figure D.3). Finally, we</w:t>
      </w:r>
    </w:p>
    <w:p>
      <w:pPr>
        <w:spacing w:line="360" w:lineRule="exact"/>
      </w:pPr>
      <w:r>
        <w:rPr>
          <w:rFonts w:ascii="Courier New" w:hAnsi="Courier New" w:eastAsia="宋体"/>
          <w:b w:val="0"/>
          <w:sz w:val="18"/>
        </w:rPr>
        <w:t>assess the role of the 3-month horizon in the expectation questions on our findings. To account for</w:t>
      </w:r>
    </w:p>
    <w:p>
      <w:pPr>
        <w:spacing w:line="360" w:lineRule="exact"/>
      </w:pPr>
      <w:r>
        <w:rPr>
          <w:rFonts w:ascii="Courier New" w:hAnsi="Courier New" w:eastAsia="宋体"/>
          <w:b w:val="0"/>
          <w:sz w:val="18"/>
        </w:rPr>
        <w:t>this built-in persistence we control for three lags of the expectation variable in equation (2), however,</w:t>
      </w:r>
    </w:p>
    <w:p>
      <w:pPr>
        <w:spacing w:line="360" w:lineRule="exact"/>
      </w:pPr>
      <w:r>
        <w:rPr>
          <w:rFonts w:ascii="Courier New" w:hAnsi="Courier New" w:eastAsia="宋体"/>
          <w:b w:val="0"/>
          <w:sz w:val="18"/>
        </w:rPr>
        <w:t>this might not capture the persistence in further horizons. Figure D.4 shows the robustness of our</w:t>
      </w:r>
    </w:p>
    <w:p>
      <w:pPr>
        <w:spacing w:line="360" w:lineRule="exact"/>
      </w:pPr>
      <w:r>
        <w:rPr>
          <w:rFonts w:ascii="Courier New" w:hAnsi="Courier New" w:eastAsia="宋体"/>
          <w:b w:val="0"/>
          <w:sz w:val="18"/>
        </w:rPr>
        <w:t>dynamic results if we additionally control for all expectations up to (t + h −1) in the regression.</w:t>
      </w:r>
    </w:p>
    <w:p>
      <w:pPr>
        <w:spacing w:line="480" w:lineRule="exact"/>
        <w:ind w:firstLine="420"/>
      </w:pPr>
      <w:r>
        <w:rPr>
          <w:rFonts w:ascii="Times New Roman" w:hAnsi="Times New Roman" w:eastAsia="仿宋"/>
          <w:b w:val="0"/>
          <w:sz w:val="24"/>
        </w:rPr>
        <w:t>传导机制</w:t>
      </w:r>
    </w:p>
    <w:p>
      <w:pPr>
        <w:spacing w:line="480" w:lineRule="exact"/>
        <w:ind w:firstLine="420"/>
      </w:pPr>
      <w:r>
        <w:rPr>
          <w:rFonts w:ascii="Times New Roman" w:hAnsi="Times New Roman" w:eastAsia="仿宋"/>
          <w:b w:val="0"/>
          <w:sz w:val="24"/>
        </w:rPr>
        <w:t>我们的企业层面数据使我们能够直接检验这一点。</w:t>
      </w:r>
    </w:p>
    <w:p>
      <w:pPr>
        <w:spacing w:line="480" w:lineRule="exact"/>
        <w:ind w:firstLine="420"/>
      </w:pPr>
      <w:r>
        <w:rPr>
          <w:rFonts w:ascii="Times New Roman" w:hAnsi="Times New Roman" w:eastAsia="仿宋"/>
          <w:b w:val="0"/>
          <w:sz w:val="24"/>
        </w:rPr>
        <w:t>(2022)的研究表明，欧洲央行的政策通过银行传导至企业的实际决策，且这种传导因企业流动性状况的不同而存在异质性，这意味着传导链条始于政策冲击，经由感知到的金融条件，最终影响修订后的招聘计划。采用自我报告的财务困难与信贷获取指标——而非资产负债表代理变量——进一步增强了识别效力。18由于信贷可得性问题每季度仅询问一次，我们将该值前向填充以替代缺失月份，并采用三个月滞后以捕捉企业此前的响应。</w:t>
      </w:r>
    </w:p>
    <w:p>
      <w:pPr>
        <w:spacing w:line="360" w:lineRule="exact"/>
      </w:pPr>
      <w:r>
        <w:rPr>
          <w:rFonts w:ascii="Courier New" w:hAnsi="Courier New" w:eastAsia="宋体"/>
          <w:b w:val="0"/>
          <w:sz w:val="18"/>
        </w:rPr>
        <w:t>Table 5: Employment expectations - Financial and Labour Market rigidities</w:t>
      </w:r>
    </w:p>
    <w:p>
      <w:pPr>
        <w:spacing w:line="360" w:lineRule="exact"/>
      </w:pPr>
      <w:r>
        <w:rPr>
          <w:rFonts w:ascii="Courier New" w:hAnsi="Courier New" w:eastAsia="宋体"/>
          <w:b w:val="0"/>
          <w:sz w:val="18"/>
        </w:rPr>
        <w:t>employment expectation(1)(2)(3)(4)(5)TR shock × post-0.1303∗∗∗-0.0050-0.1269∗∗∗-0.4239∗∗∗0.0973∗</w:t>
      </w:r>
    </w:p>
    <w:p>
      <w:pPr>
        <w:spacing w:line="360" w:lineRule="exact"/>
      </w:pPr>
      <w:r>
        <w:rPr>
          <w:rFonts w:ascii="Courier New" w:hAnsi="Courier New" w:eastAsia="宋体"/>
          <w:b w:val="0"/>
          <w:sz w:val="18"/>
        </w:rPr>
        <w:t>(0.0125)(0.0208)(0.0398)(0.0281)(0.0636)TR × post × Financial difficulties (t-1)-0.1367∗∗</w:t>
      </w:r>
    </w:p>
    <w:p>
      <w:pPr>
        <w:spacing w:line="360" w:lineRule="exact"/>
      </w:pPr>
      <w:r>
        <w:rPr>
          <w:rFonts w:ascii="Courier New" w:hAnsi="Courier New" w:eastAsia="宋体"/>
          <w:b w:val="0"/>
          <w:sz w:val="18"/>
        </w:rPr>
        <w:t>(0.0549)TR × post × Good credit access (t-3)0.0389(0.0465)TR × post × Reserved credit access (t-3)-0.2422∗∗∗</w:t>
      </w:r>
    </w:p>
    <w:p>
      <w:pPr>
        <w:spacing w:line="360" w:lineRule="exact"/>
      </w:pPr>
      <w:r>
        <w:rPr>
          <w:rFonts w:ascii="Courier New" w:hAnsi="Courier New" w:eastAsia="宋体"/>
          <w:b w:val="0"/>
          <w:sz w:val="18"/>
        </w:rPr>
        <w:t>(0.0347)TR × post × 50 −249 empl0.0153(0.0532)TR × post × 250 −999 empl0.0286(0.0674)TR × post × &gt; 1000 empl0.0073(0.1084)TR × post × sectoral CBC share0.0110∗∗∗</w:t>
      </w:r>
    </w:p>
    <w:p>
      <w:pPr>
        <w:spacing w:line="360" w:lineRule="exact"/>
      </w:pPr>
      <w:r>
        <w:rPr>
          <w:rFonts w:ascii="Courier New" w:hAnsi="Courier New" w:eastAsia="宋体"/>
          <w:b w:val="0"/>
          <w:sz w:val="18"/>
        </w:rPr>
        <w:t>(0.0010)TR × post × Minimum Wage-0.1804∗∗∗</w:t>
      </w:r>
    </w:p>
    <w:p>
      <w:pPr>
        <w:spacing w:line="360" w:lineRule="exact"/>
      </w:pPr>
      <w:r>
        <w:rPr>
          <w:rFonts w:ascii="Courier New" w:hAnsi="Courier New" w:eastAsia="宋体"/>
          <w:b w:val="0"/>
          <w:sz w:val="18"/>
        </w:rPr>
        <w:t>(0.0325)Baseline controlsyesyesyesyesyesFirm &amp; Meeting FEyesyesyesyesyesObservations201,31978,221180,516166,86526,788R20.51970.51810.47020.51950.6333Number of Meetings20013620014028</w:t>
      </w:r>
    </w:p>
    <w:p>
      <w:pPr>
        <w:spacing w:line="360" w:lineRule="exact"/>
      </w:pPr>
      <w:r>
        <w:rPr>
          <w:rFonts w:ascii="Courier New" w:hAnsi="Courier New" w:eastAsia="宋体"/>
          <w:b w:val="0"/>
          <w:sz w:val="18"/>
        </w:rPr>
        <w:t>Notes: OLS regressions showing the monetary policy effect of treated (=post) vs non-treated firms on em-ployment expectations. Heteroskedasticity robust standard errors in the parenthesis. Baseline category: (1)no financial difficulties, (2) normal credit access, (3) small firms (&lt; 50 employees), (4) no collective bar-gaining coverage, (5) not affected by minimum wage, TR=Target Rate, CBC=collective bargaining coverage.* p&lt;0.10, ** p&lt;0.05, *** p&lt;0.001.</w:t>
      </w:r>
    </w:p>
    <w:p>
      <w:pPr>
        <w:spacing w:line="360" w:lineRule="exact"/>
      </w:pPr>
      <w:r>
        <w:rPr>
          <w:rFonts w:ascii="Courier New" w:hAnsi="Courier New" w:eastAsia="宋体"/>
          <w:b w:val="0"/>
          <w:sz w:val="18"/>
        </w:rPr>
        <w:t>4.2Labour market rigidities</w:t>
      </w:r>
    </w:p>
    <w:p>
      <w:pPr>
        <w:spacing w:line="360" w:lineRule="exact"/>
      </w:pPr>
      <w:r>
        <w:rPr>
          <w:rFonts w:ascii="Courier New" w:hAnsi="Courier New" w:eastAsia="宋体"/>
          <w:b w:val="0"/>
          <w:sz w:val="18"/>
        </w:rPr>
        <w:t>We next examine how labour market characteristics shape the transmission of monetary policy to</w:t>
      </w:r>
    </w:p>
    <w:p>
      <w:pPr>
        <w:spacing w:line="360" w:lineRule="exact"/>
      </w:pPr>
      <w:r>
        <w:rPr>
          <w:rFonts w:ascii="Courier New" w:hAnsi="Courier New" w:eastAsia="宋体"/>
          <w:b w:val="0"/>
          <w:sz w:val="18"/>
        </w:rPr>
        <w:t>employment expectations. Column (3) of Table 5 reports interactions with firm size categories. The</w:t>
      </w:r>
    </w:p>
    <w:p>
      <w:pPr>
        <w:spacing w:line="360" w:lineRule="exact"/>
      </w:pPr>
      <w:r>
        <w:rPr>
          <w:rFonts w:ascii="Courier New" w:hAnsi="Courier New" w:eastAsia="宋体"/>
          <w:b w:val="0"/>
          <w:sz w:val="18"/>
        </w:rPr>
        <w:t>baseline effect for small firms (fewer than 50 employees) is -0.127 and highly significant. Neither</w:t>
      </w:r>
    </w:p>
    <w:p>
      <w:pPr>
        <w:spacing w:line="360" w:lineRule="exact"/>
      </w:pPr>
      <w:r>
        <w:rPr>
          <w:rFonts w:ascii="Courier New" w:hAnsi="Courier New" w:eastAsia="宋体"/>
          <w:b w:val="0"/>
          <w:sz w:val="18"/>
        </w:rPr>
        <w:t>medium-sized firms (50–249 and 250–999 employees), nor large firms with more than 1,000 employees</w:t>
      </w:r>
    </w:p>
    <w:p>
      <w:pPr>
        <w:spacing w:line="360" w:lineRule="exact"/>
      </w:pPr>
      <w:r>
        <w:rPr>
          <w:rFonts w:ascii="Courier New" w:hAnsi="Courier New" w:eastAsia="宋体"/>
          <w:b w:val="0"/>
          <w:sz w:val="18"/>
        </w:rPr>
        <w:t>19The transmission analysis for production expectations can be found in the Appendix, Table D.4.</w:t>
      </w:r>
    </w:p>
    <w:p>
      <w:pPr>
        <w:spacing w:line="480" w:lineRule="exact"/>
        <w:ind w:firstLine="420"/>
      </w:pPr>
      <w:r>
        <w:rPr>
          <w:rFonts w:ascii="Times New Roman" w:hAnsi="Times New Roman" w:eastAsia="仿宋"/>
          <w:b w:val="0"/>
          <w:sz w:val="24"/>
        </w:rPr>
        <w:t>在预期调整方面，小企业与大企业存在显著差异。20 从以下角度来看，这一结果令人意外：小企业更依赖银行融资，面临的就业法规更少，因此通常被认为对货币政策的反应更为强烈。然而，这些效应可能被小企业对央行决策和金融市场的关注度较低所抵消，而高度专业化的大企业则更为关注这些方面。</w:t>
      </w:r>
    </w:p>
    <w:p>
      <w:pPr>
        <w:spacing w:line="480" w:lineRule="exact"/>
        <w:ind w:firstLine="420"/>
      </w:pPr>
      <w:r>
        <w:rPr>
          <w:rFonts w:ascii="Times New Roman" w:hAnsi="Times New Roman" w:eastAsia="仿宋"/>
          <w:b w:val="0"/>
          <w:sz w:val="24"/>
        </w:rPr>
        <w:t>对于规模差异，我们仅按部门规模而非企业规模对回归进行加权。将货币政策冲击与企业年龄交互，同样得到较小且统计上不显著的系数。</w:t>
      </w:r>
    </w:p>
    <w:p>
      <w:pPr>
        <w:spacing w:line="360" w:lineRule="exact"/>
      </w:pPr>
      <w:r>
        <w:rPr>
          <w:rFonts w:ascii="Courier New" w:hAnsi="Courier New" w:eastAsia="宋体"/>
          <w:b w:val="0"/>
          <w:sz w:val="18"/>
        </w:rPr>
        <w:t>Table 6: Employment expectation - Constraints, labour hoarding and sectors</w:t>
      </w:r>
    </w:p>
    <w:p>
      <w:pPr>
        <w:spacing w:line="360" w:lineRule="exact"/>
      </w:pPr>
      <w:r>
        <w:rPr>
          <w:rFonts w:ascii="Courier New" w:hAnsi="Courier New" w:eastAsia="宋体"/>
          <w:b w:val="0"/>
          <w:sz w:val="18"/>
        </w:rPr>
        <w:t>employment expectation(1)(2)(3)(4)(5)TR shock × post-0.0466∗∗∗-0.0431∗-0.0986∗∗∗-0.1438∗∗∗-0.3518∗∗∗</w:t>
      </w:r>
    </w:p>
    <w:p>
      <w:pPr>
        <w:spacing w:line="360" w:lineRule="exact"/>
      </w:pPr>
      <w:r>
        <w:rPr>
          <w:rFonts w:ascii="Courier New" w:hAnsi="Courier New" w:eastAsia="宋体"/>
          <w:b w:val="0"/>
          <w:sz w:val="18"/>
        </w:rPr>
        <w:t>(0.0140)(0.0254)(0.0153)(0.0126)(0.1423)TR × post × Services &amp; Trade-0.2020∗∗∗</w:t>
      </w:r>
    </w:p>
    <w:p>
      <w:pPr>
        <w:spacing w:line="360" w:lineRule="exact"/>
      </w:pPr>
      <w:r>
        <w:rPr>
          <w:rFonts w:ascii="Courier New" w:hAnsi="Courier New" w:eastAsia="宋体"/>
          <w:b w:val="0"/>
          <w:sz w:val="18"/>
        </w:rPr>
        <w:t>(0.0209)TR × post × Sectoral labour intensity-0.0058∗∗∗</w:t>
      </w:r>
    </w:p>
    <w:p>
      <w:pPr>
        <w:spacing w:line="360" w:lineRule="exact"/>
      </w:pPr>
      <w:r>
        <w:rPr>
          <w:rFonts w:ascii="Courier New" w:hAnsi="Courier New" w:eastAsia="宋体"/>
          <w:b w:val="0"/>
          <w:sz w:val="18"/>
        </w:rPr>
        <w:t>(0.0015)TR × post × Constraints-0.0510∗∗∗</w:t>
      </w:r>
    </w:p>
    <w:p>
      <w:pPr>
        <w:spacing w:line="360" w:lineRule="exact"/>
      </w:pPr>
      <w:r>
        <w:rPr>
          <w:rFonts w:ascii="Courier New" w:hAnsi="Courier New" w:eastAsia="宋体"/>
          <w:b w:val="0"/>
          <w:sz w:val="18"/>
        </w:rPr>
        <w:t>(0.0188)TR × post × Hoarding (t-1)0.1392∗∗∗</w:t>
      </w:r>
    </w:p>
    <w:p>
      <w:pPr>
        <w:spacing w:line="360" w:lineRule="exact"/>
      </w:pPr>
      <w:r>
        <w:rPr>
          <w:rFonts w:ascii="Courier New" w:hAnsi="Courier New" w:eastAsia="宋体"/>
          <w:b w:val="0"/>
          <w:sz w:val="18"/>
        </w:rPr>
        <w:t>(0.0301)TR × post × Bus. state uncertainty (t-1)0.0012(0.0019)Baseline controlsyesyesyesyesyesFirm &amp; Meeting FEyesyesyesyesyesObservations209,399209,399204,875209,39952,973R20.51980.51960.51970.52010.4425Number of Meetings20020020020060</w:t>
      </w:r>
    </w:p>
    <w:p>
      <w:pPr>
        <w:spacing w:line="360" w:lineRule="exact"/>
      </w:pPr>
      <w:r>
        <w:rPr>
          <w:rFonts w:ascii="Courier New" w:hAnsi="Courier New" w:eastAsia="宋体"/>
          <w:b w:val="0"/>
          <w:sz w:val="18"/>
        </w:rPr>
        <w:t>Notes: OLS regressions showing the monetary policy effect of treated (=post) vs non-treated firms on em-ployment expectations. Heteroskedasticity robust standard errors in the parenthesis. Baseline category: (1)industry (2) low labour intensity, (3) no constraints, (4) no hoarding, (5) low uncertainty, TR=Target Rate.* p&lt;0.10, ** p&lt;0.05, *** p&lt;0.001.</w:t>
      </w:r>
    </w:p>
    <w:p>
      <w:pPr>
        <w:spacing w:line="360" w:lineRule="exact"/>
      </w:pPr>
      <w:r>
        <w:rPr>
          <w:rFonts w:ascii="Courier New" w:hAnsi="Courier New" w:eastAsia="宋体"/>
          <w:b w:val="0"/>
          <w:sz w:val="18"/>
        </w:rPr>
        <w:t>Column (3) explores the role of business constraints more generally. The baseline effect for un-</w:t>
      </w:r>
    </w:p>
    <w:p>
      <w:pPr>
        <w:spacing w:line="360" w:lineRule="exact"/>
      </w:pPr>
      <w:r>
        <w:rPr>
          <w:rFonts w:ascii="Courier New" w:hAnsi="Courier New" w:eastAsia="宋体"/>
          <w:b w:val="0"/>
          <w:sz w:val="18"/>
        </w:rPr>
        <w:t>constrained firms is -0.099, while constrained firms exhibit a significantly amplified response. This</w:t>
      </w:r>
    </w:p>
    <w:p>
      <w:pPr>
        <w:spacing w:line="480" w:lineRule="exact"/>
        <w:ind w:firstLine="420"/>
      </w:pPr>
      <w:r>
        <w:rPr>
          <w:rFonts w:ascii="Times New Roman" w:hAnsi="Times New Roman" w:eastAsia="仿宋"/>
          <w:b w:val="0"/>
          <w:sz w:val="24"/>
        </w:rPr>
        <w:t>这表明，那些已在紧张条件下运营的企业——无论是由于劳动力市场法规、供给侧瓶颈、产能限制还是其他障碍——在制定就业计划时，对货币政策信号更为敏感。这一发现与理性疏忽模型一致，在该模型中，当调整的可能性受限且忽视冲击代价高昂时，主体会最强烈地更新其信念（Coibion et al., 2018）。同时，值得注意的是，受约束企业的系数并非像财务约束企业的系数那样高度为负。这表明，在所有约束中，财务约束在货币政策冲击情况下对就业的影响最大。</w:t>
      </w:r>
    </w:p>
    <w:p>
      <w:pPr>
        <w:spacing w:line="480" w:lineRule="exact"/>
        <w:ind w:firstLine="420"/>
      </w:pPr>
      <w:r>
        <w:rPr>
          <w:rFonts w:ascii="Times New Roman" w:hAnsi="Times New Roman" w:eastAsia="仿宋"/>
          <w:b w:val="0"/>
          <w:sz w:val="24"/>
        </w:rPr>
        <w:t>结论</w:t>
      </w:r>
    </w:p>
    <w:p>
      <w:pPr>
        <w:spacing w:line="480" w:lineRule="exact"/>
        <w:ind w:firstLine="420"/>
      </w:pPr>
      <w:r>
        <w:rPr>
          <w:rFonts w:ascii="Times New Roman" w:hAnsi="Times New Roman" w:eastAsia="仿宋"/>
          <w:b w:val="0"/>
          <w:sz w:val="24"/>
        </w:rPr>
        <w:t>从政策角度看，就业预期响应的持续性表明，货币紧缩对劳动力市场的影响虽显现较慢，但持续时间远长于对产出的影响。由于企业在这些影响体现在总体统计数据之前几乎立即调整招聘计划，监测企业的就业预期可为货币政策是否如常传导至劳动力市场提供及时信号。</w:t>
      </w:r>
    </w:p>
    <w:p>
      <w:pPr>
        <w:spacing w:before="240"/>
      </w:pPr>
      <w:r>
        <w:rPr>
          <w:rFonts w:ascii="Times New Roman" w:hAnsi="Times New Roman" w:eastAsia="宋体"/>
          <w:b/>
          <w:sz w:val="24"/>
        </w:rPr>
        <w:t>References</w:t>
      </w:r>
    </w:p>
    <w:p>
      <w:pPr>
        <w:spacing w:line="400" w:lineRule="exact"/>
      </w:pPr>
      <w:r>
        <w:rPr>
          <w:rFonts w:ascii="Times New Roman" w:hAnsi="Times New Roman" w:eastAsia="仿宋"/>
          <w:b w:val="0"/>
          <w:sz w:val="20"/>
        </w:rPr>
        <w:t>Altavilla, C., Brugnolini, L., G¨urkaynak, R. S., Motto, R., and Ragusa, G. (2019). Measuring euro</w:t>
      </w:r>
    </w:p>
    <w:p>
      <w:pPr>
        <w:spacing w:line="400" w:lineRule="exact"/>
      </w:pPr>
      <w:r>
        <w:rPr>
          <w:rFonts w:ascii="Times New Roman" w:hAnsi="Times New Roman" w:eastAsia="仿宋"/>
          <w:b w:val="0"/>
          <w:sz w:val="20"/>
        </w:rPr>
        <w:t>area monetary policy. Journal of Monetary Economics, 108:162–179.</w:t>
      </w:r>
    </w:p>
    <w:p>
      <w:pPr>
        <w:spacing w:line="400" w:lineRule="exact"/>
      </w:pPr>
      <w:r>
        <w:rPr>
          <w:rFonts w:ascii="Times New Roman" w:hAnsi="Times New Roman" w:eastAsia="仿宋"/>
          <w:b w:val="0"/>
          <w:sz w:val="20"/>
        </w:rPr>
        <w:t>Altavilla, C., Burlon, L., Giannetti, M., and Holton, S. (2022). Is there a zero lower bound? The</w:t>
      </w:r>
    </w:p>
    <w:p>
      <w:pPr>
        <w:spacing w:line="400" w:lineRule="exact"/>
      </w:pPr>
      <w:r>
        <w:rPr>
          <w:rFonts w:ascii="Times New Roman" w:hAnsi="Times New Roman" w:eastAsia="仿宋"/>
          <w:b w:val="0"/>
          <w:sz w:val="20"/>
        </w:rPr>
        <w:t>effects of negative policy rates on banks and firms. Journal of Financial Economics, 144(3):885–907.</w:t>
      </w:r>
    </w:p>
    <w:p>
      <w:pPr>
        <w:spacing w:line="400" w:lineRule="exact"/>
      </w:pPr>
      <w:r>
        <w:rPr>
          <w:rFonts w:ascii="Times New Roman" w:hAnsi="Times New Roman" w:eastAsia="仿宋"/>
          <w:b w:val="0"/>
          <w:sz w:val="20"/>
        </w:rPr>
        <w:t>Altavilla, C. and Ciccarelli, M. (2009). The effects of monetary policy on unemployment dynamics</w:t>
      </w:r>
    </w:p>
    <w:p>
      <w:pPr>
        <w:spacing w:line="400" w:lineRule="exact"/>
      </w:pPr>
      <w:r>
        <w:rPr>
          <w:rFonts w:ascii="Times New Roman" w:hAnsi="Times New Roman" w:eastAsia="仿宋"/>
          <w:b w:val="0"/>
          <w:sz w:val="20"/>
        </w:rPr>
        <w:t>under model uncertainty: Evidence from the United States and the euro area. Journal of Money,Credit and Banking, 41(7):1265–1300.</w:t>
      </w:r>
    </w:p>
    <w:p>
      <w:pPr>
        <w:spacing w:line="400" w:lineRule="exact"/>
      </w:pPr>
      <w:r>
        <w:rPr>
          <w:rFonts w:ascii="Times New Roman" w:hAnsi="Times New Roman" w:eastAsia="仿宋"/>
          <w:b w:val="0"/>
          <w:sz w:val="20"/>
        </w:rPr>
        <w:t>Bachmann, R., Elstner, S., and Sims, E. R. (2013). Uncertainty and economic activity: Evidence</w:t>
      </w:r>
    </w:p>
    <w:p>
      <w:pPr>
        <w:spacing w:line="400" w:lineRule="exact"/>
      </w:pPr>
      <w:r>
        <w:rPr>
          <w:rFonts w:ascii="Times New Roman" w:hAnsi="Times New Roman" w:eastAsia="仿宋"/>
          <w:b w:val="0"/>
          <w:sz w:val="20"/>
        </w:rPr>
        <w:t>from business survey data. American Economic Journal: Macroeconomics, 5(2):217–249.</w:t>
      </w:r>
    </w:p>
    <w:p>
      <w:pPr>
        <w:spacing w:line="400" w:lineRule="exact"/>
      </w:pPr>
      <w:r>
        <w:rPr>
          <w:rFonts w:ascii="Times New Roman" w:hAnsi="Times New Roman" w:eastAsia="仿宋"/>
          <w:b w:val="0"/>
          <w:sz w:val="20"/>
        </w:rPr>
        <w:t>Bahaj, S., Foulis, A., Pinter, G., and Surico, P. (2022). Employment and the residential collateral</w:t>
      </w:r>
    </w:p>
    <w:p>
      <w:pPr>
        <w:spacing w:line="400" w:lineRule="exact"/>
      </w:pPr>
      <w:r>
        <w:rPr>
          <w:rFonts w:ascii="Times New Roman" w:hAnsi="Times New Roman" w:eastAsia="仿宋"/>
          <w:b w:val="0"/>
          <w:sz w:val="20"/>
        </w:rPr>
        <w:t>channel of monetary policy. Journal of Monetary Economics, 131:26–44.</w:t>
      </w:r>
    </w:p>
    <w:p>
      <w:pPr>
        <w:spacing w:line="400" w:lineRule="exact"/>
      </w:pPr>
      <w:r>
        <w:rPr>
          <w:rFonts w:ascii="Times New Roman" w:hAnsi="Times New Roman" w:eastAsia="仿宋"/>
          <w:b w:val="0"/>
          <w:sz w:val="20"/>
        </w:rPr>
        <w:t>Bauer, M. D. and Swanson, E. T. (2023). A reassessment of monetary policy surprises and high-</w:t>
      </w:r>
    </w:p>
    <w:p>
      <w:pPr>
        <w:spacing w:line="400" w:lineRule="exact"/>
      </w:pPr>
      <w:r>
        <w:rPr>
          <w:rFonts w:ascii="Times New Roman" w:hAnsi="Times New Roman" w:eastAsia="仿宋"/>
          <w:b w:val="0"/>
          <w:sz w:val="20"/>
        </w:rPr>
        <w:t>frequency identification. NBER Macroeconomics Annual, 37(1):87–155.</w:t>
      </w:r>
    </w:p>
    <w:p>
      <w:pPr>
        <w:spacing w:line="400" w:lineRule="exact"/>
      </w:pPr>
      <w:r>
        <w:rPr>
          <w:rFonts w:ascii="Times New Roman" w:hAnsi="Times New Roman" w:eastAsia="仿宋"/>
          <w:b w:val="0"/>
          <w:sz w:val="20"/>
        </w:rPr>
        <w:t>Bernanke, B. S., Gertler, M., and Gilchrist, S. (1999). The financial accelerator in a quantitative</w:t>
      </w:r>
    </w:p>
    <w:p>
      <w:pPr>
        <w:spacing w:line="400" w:lineRule="exact"/>
      </w:pPr>
      <w:r>
        <w:rPr>
          <w:rFonts w:ascii="Times New Roman" w:hAnsi="Times New Roman" w:eastAsia="仿宋"/>
          <w:b w:val="0"/>
          <w:sz w:val="20"/>
        </w:rPr>
        <w:t>business cycle framework. In Taylor, J. B. and Woodford, M., editors, Handbook of Macroeco-nomics, volume 1, chapter 21, pages 1341–1393. Elsevier.</w:t>
      </w:r>
    </w:p>
    <w:p>
      <w:pPr>
        <w:spacing w:line="400" w:lineRule="exact"/>
      </w:pPr>
      <w:r>
        <w:rPr>
          <w:rFonts w:ascii="Times New Roman" w:hAnsi="Times New Roman" w:eastAsia="仿宋"/>
          <w:b w:val="0"/>
          <w:sz w:val="20"/>
        </w:rPr>
        <w:t>Born, B., Enders, Z., M¨uller, G. J., and Niemann, K. (2023). Firm expectations about production</w:t>
      </w:r>
    </w:p>
    <w:p>
      <w:pPr>
        <w:spacing w:line="400" w:lineRule="exact"/>
      </w:pPr>
      <w:r>
        <w:rPr>
          <w:rFonts w:ascii="Times New Roman" w:hAnsi="Times New Roman" w:eastAsia="仿宋"/>
          <w:b w:val="0"/>
          <w:sz w:val="20"/>
        </w:rPr>
        <w:t>and prices: Facts, determinants, and effects. In Handbook of economic expectations, pages 355–383. Elsevier.</w:t>
      </w:r>
    </w:p>
    <w:p>
      <w:pPr>
        <w:spacing w:line="400" w:lineRule="exact"/>
      </w:pPr>
      <w:r>
        <w:rPr>
          <w:rFonts w:ascii="Times New Roman" w:hAnsi="Times New Roman" w:eastAsia="仿宋"/>
          <w:b w:val="0"/>
          <w:sz w:val="20"/>
        </w:rPr>
        <w:t>Bottone, M. and Rosolia, A. (2019).Monetary policy, firms’ inflation expectations and prices:causal evidence from firm-level data. Bank of Italy Temi di Discussione (Working Paper) No,1218.</w:t>
      </w:r>
    </w:p>
    <w:p>
      <w:pPr>
        <w:spacing w:line="400" w:lineRule="exact"/>
      </w:pPr>
      <w:r>
        <w:rPr>
          <w:rFonts w:ascii="Times New Roman" w:hAnsi="Times New Roman" w:eastAsia="仿宋"/>
          <w:b w:val="0"/>
          <w:sz w:val="20"/>
        </w:rPr>
        <w:t>Christiano, L. and Eichenbaum, M. (1996). The effects of monetary policy shocks: Evidence from</w:t>
      </w:r>
    </w:p>
    <w:p>
      <w:pPr>
        <w:spacing w:line="400" w:lineRule="exact"/>
      </w:pPr>
      <w:r>
        <w:rPr>
          <w:rFonts w:ascii="Times New Roman" w:hAnsi="Times New Roman" w:eastAsia="仿宋"/>
          <w:b w:val="0"/>
          <w:sz w:val="20"/>
        </w:rPr>
        <w:t>the flow of funds. Review of Economics &amp; Statistics, 78(1):16–34.</w:t>
      </w:r>
    </w:p>
    <w:p>
      <w:pPr>
        <w:spacing w:line="400" w:lineRule="exact"/>
      </w:pPr>
      <w:r>
        <w:rPr>
          <w:rFonts w:ascii="Times New Roman" w:hAnsi="Times New Roman" w:eastAsia="仿宋"/>
          <w:b w:val="0"/>
          <w:sz w:val="20"/>
        </w:rPr>
        <w:t>Coglianese, J., Olsson, M., and Patterson, C. (2025). Monetary policy and the labor market: a</w:t>
      </w:r>
    </w:p>
    <w:p>
      <w:pPr>
        <w:spacing w:line="400" w:lineRule="exact"/>
      </w:pPr>
      <w:r>
        <w:rPr>
          <w:rFonts w:ascii="Times New Roman" w:hAnsi="Times New Roman" w:eastAsia="仿宋"/>
          <w:b w:val="0"/>
          <w:sz w:val="20"/>
        </w:rPr>
        <w:t>quasi-experiment in sweden. American Economic Review, 115(10):3451–3486.</w:t>
      </w:r>
    </w:p>
    <w:p>
      <w:pPr>
        <w:spacing w:line="400" w:lineRule="exact"/>
      </w:pPr>
      <w:r>
        <w:rPr>
          <w:rFonts w:ascii="Times New Roman" w:hAnsi="Times New Roman" w:eastAsia="仿宋"/>
          <w:b w:val="0"/>
          <w:sz w:val="20"/>
        </w:rPr>
        <w:t>Coibion, O., Gorodnichenko, Y., and Kumar, S. (2018). How do firms form their expectations? new</w:t>
      </w:r>
    </w:p>
    <w:p>
      <w:pPr>
        <w:spacing w:line="400" w:lineRule="exact"/>
      </w:pPr>
      <w:r>
        <w:rPr>
          <w:rFonts w:ascii="Times New Roman" w:hAnsi="Times New Roman" w:eastAsia="仿宋"/>
          <w:b w:val="0"/>
          <w:sz w:val="20"/>
        </w:rPr>
        <w:t>survey evidence. American Economic Review, 108(9):2671–2713.</w:t>
      </w:r>
    </w:p>
    <w:p>
      <w:pPr>
        <w:spacing w:line="400" w:lineRule="exact"/>
      </w:pPr>
      <w:r>
        <w:rPr>
          <w:rFonts w:ascii="Times New Roman" w:hAnsi="Times New Roman" w:eastAsia="仿宋"/>
          <w:b w:val="0"/>
          <w:sz w:val="20"/>
        </w:rPr>
        <w:t>de Groot, O., Hauptmeier, S., Holm-Hadulla, F., and Nikalexi, K. (2023). Monetary policy and</w:t>
      </w:r>
    </w:p>
    <w:p>
      <w:pPr>
        <w:spacing w:line="400" w:lineRule="exact"/>
      </w:pPr>
      <w:r>
        <w:rPr>
          <w:rFonts w:ascii="Times New Roman" w:hAnsi="Times New Roman" w:eastAsia="仿宋"/>
          <w:b w:val="0"/>
          <w:sz w:val="20"/>
        </w:rPr>
        <w:t>regional inequality. CEPR Discussion Paper 18319, Centre for Economic Policy Research.</w:t>
      </w:r>
    </w:p>
    <w:p>
      <w:pPr>
        <w:spacing w:line="400" w:lineRule="exact"/>
      </w:pPr>
      <w:r>
        <w:rPr>
          <w:rFonts w:ascii="Times New Roman" w:hAnsi="Times New Roman" w:eastAsia="仿宋"/>
          <w:b w:val="0"/>
          <w:sz w:val="20"/>
        </w:rPr>
        <w:t>Di Pace, F., Mangiante, G., and Masolo, R. M. (2025). Do firm expectations respond to monetary</w:t>
      </w:r>
    </w:p>
    <w:p>
      <w:pPr>
        <w:spacing w:line="400" w:lineRule="exact"/>
      </w:pPr>
      <w:r>
        <w:rPr>
          <w:rFonts w:ascii="Times New Roman" w:hAnsi="Times New Roman" w:eastAsia="仿宋"/>
          <w:b w:val="0"/>
          <w:sz w:val="20"/>
        </w:rPr>
        <w:t>policy announcements? Journal of Monetary Economics, 149:103648.</w:t>
      </w:r>
    </w:p>
    <w:p>
      <w:pPr>
        <w:spacing w:line="400" w:lineRule="exact"/>
      </w:pPr>
      <w:r>
        <w:rPr>
          <w:rFonts w:ascii="Times New Roman" w:hAnsi="Times New Roman" w:eastAsia="仿宋"/>
          <w:b w:val="0"/>
          <w:sz w:val="20"/>
        </w:rPr>
        <w:t>Driscoll, J. C. and Kraay, A. C. (1998). Consistent covariance matrix estimation with spatially</w:t>
      </w:r>
    </w:p>
    <w:p>
      <w:pPr>
        <w:spacing w:line="400" w:lineRule="exact"/>
      </w:pPr>
      <w:r>
        <w:rPr>
          <w:rFonts w:ascii="Times New Roman" w:hAnsi="Times New Roman" w:eastAsia="仿宋"/>
          <w:b w:val="0"/>
          <w:sz w:val="20"/>
        </w:rPr>
        <w:t>dependent panel data. Review of economics and statistics, 80(4):549–560.</w:t>
      </w:r>
    </w:p>
    <w:p>
      <w:pPr>
        <w:spacing w:line="400" w:lineRule="exact"/>
      </w:pPr>
      <w:r>
        <w:rPr>
          <w:rFonts w:ascii="Times New Roman" w:hAnsi="Times New Roman" w:eastAsia="仿宋"/>
          <w:b w:val="0"/>
          <w:sz w:val="20"/>
        </w:rPr>
        <w:t>D’Acunto, F., Charalambakis, E., Georgarakos, D., Kenny, G., Meyer, J., and Weber, M. (2024).</w:t>
      </w:r>
    </w:p>
    <w:p>
      <w:pPr>
        <w:spacing w:line="400" w:lineRule="exact"/>
      </w:pPr>
      <w:r>
        <w:rPr>
          <w:rFonts w:ascii="Times New Roman" w:hAnsi="Times New Roman" w:eastAsia="仿宋"/>
          <w:b w:val="0"/>
          <w:sz w:val="20"/>
        </w:rPr>
        <w:t>Household inflation expectations: An overview of recent insights for monetary policy. NBERWorking Paper, no. 32488.</w:t>
      </w:r>
    </w:p>
    <w:p>
      <w:pPr>
        <w:spacing w:line="400" w:lineRule="exact"/>
      </w:pPr>
      <w:r>
        <w:rPr>
          <w:rFonts w:ascii="Times New Roman" w:hAnsi="Times New Roman" w:eastAsia="仿宋"/>
          <w:b w:val="0"/>
          <w:sz w:val="20"/>
        </w:rPr>
        <w:t>Enders, Z., H¨unnekes, F., and M¨uller, G. (2022). Firm expectations and economic activity. Journal</w:t>
      </w:r>
    </w:p>
    <w:p>
      <w:pPr>
        <w:spacing w:line="400" w:lineRule="exact"/>
      </w:pPr>
      <w:r>
        <w:rPr>
          <w:rFonts w:ascii="Times New Roman" w:hAnsi="Times New Roman" w:eastAsia="仿宋"/>
          <w:b w:val="0"/>
          <w:sz w:val="20"/>
        </w:rPr>
        <w:t>of the European Economic Association, 20(6):2396–2439.</w:t>
      </w:r>
    </w:p>
    <w:p>
      <w:pPr>
        <w:spacing w:line="400" w:lineRule="exact"/>
      </w:pPr>
      <w:r>
        <w:rPr>
          <w:rFonts w:ascii="Times New Roman" w:hAnsi="Times New Roman" w:eastAsia="仿宋"/>
          <w:b w:val="0"/>
          <w:sz w:val="20"/>
        </w:rPr>
        <w:t>Enders, Z., H¨unnekes, F., and M¨uller, G. J. (2019). Monetary policy announcements and expecta-</w:t>
      </w:r>
    </w:p>
    <w:p>
      <w:pPr>
        <w:spacing w:line="400" w:lineRule="exact"/>
      </w:pPr>
      <w:r>
        <w:rPr>
          <w:rFonts w:ascii="Times New Roman" w:hAnsi="Times New Roman" w:eastAsia="仿宋"/>
          <w:b w:val="0"/>
          <w:sz w:val="20"/>
        </w:rPr>
        <w:t>tions: Evidence from german firms. Journal of Monetary Economics, 108:45–63.</w:t>
      </w:r>
    </w:p>
    <w:p>
      <w:pPr>
        <w:spacing w:line="400" w:lineRule="exact"/>
      </w:pPr>
      <w:r>
        <w:rPr>
          <w:rFonts w:ascii="Times New Roman" w:hAnsi="Times New Roman" w:eastAsia="仿宋"/>
          <w:b w:val="0"/>
          <w:sz w:val="20"/>
        </w:rPr>
        <w:t>Ferrando, A., Popov, A., and Udell, G. F. (2022). Unconventional monetary policy, funding expec-</w:t>
      </w:r>
    </w:p>
    <w:p>
      <w:pPr>
        <w:spacing w:line="400" w:lineRule="exact"/>
      </w:pPr>
      <w:r>
        <w:rPr>
          <w:rFonts w:ascii="Times New Roman" w:hAnsi="Times New Roman" w:eastAsia="仿宋"/>
          <w:b w:val="0"/>
          <w:sz w:val="20"/>
        </w:rPr>
        <w:t>tations, and firm decisions. European Economic Review, 149:104268.</w:t>
      </w:r>
    </w:p>
    <w:p>
      <w:pPr>
        <w:spacing w:line="400" w:lineRule="exact"/>
      </w:pPr>
      <w:r>
        <w:rPr>
          <w:rFonts w:ascii="Times New Roman" w:hAnsi="Times New Roman" w:eastAsia="仿宋"/>
          <w:b w:val="0"/>
          <w:sz w:val="20"/>
        </w:rPr>
        <w:t>Francis, N., Owyang, M. T., and Sekhposyan, T. (2012). The local effects of monetary policy. The</w:t>
      </w:r>
    </w:p>
    <w:p>
      <w:pPr>
        <w:spacing w:line="400" w:lineRule="exact"/>
      </w:pPr>
      <w:r>
        <w:rPr>
          <w:rFonts w:ascii="Times New Roman" w:hAnsi="Times New Roman" w:eastAsia="仿宋"/>
          <w:b w:val="0"/>
          <w:sz w:val="20"/>
        </w:rPr>
        <w:t>BE Journal of Macroeconomics, 12(2).</w:t>
      </w:r>
    </w:p>
    <w:p>
      <w:pPr>
        <w:spacing w:line="400" w:lineRule="exact"/>
      </w:pPr>
      <w:r>
        <w:rPr>
          <w:rFonts w:ascii="Times New Roman" w:hAnsi="Times New Roman" w:eastAsia="仿宋"/>
          <w:b w:val="0"/>
          <w:sz w:val="20"/>
        </w:rPr>
        <w:t>Groiss, M. (2023).Equalising monetary policy: The earnings heterogeneity channel in action.Working Paper, SSRN 4570695.</w:t>
      </w:r>
    </w:p>
    <w:p>
      <w:pPr>
        <w:spacing w:line="400" w:lineRule="exact"/>
      </w:pPr>
      <w:r>
        <w:rPr>
          <w:rFonts w:ascii="Times New Roman" w:hAnsi="Times New Roman" w:eastAsia="仿宋"/>
          <w:b w:val="0"/>
          <w:sz w:val="20"/>
        </w:rPr>
        <w:t>Groiss, M. and Sondermann, D. (2025).Help wanted: the drivers and implications of labourshortages. Applied Economics, 57(33):4882–4896.</w:t>
      </w:r>
    </w:p>
    <w:p>
      <w:pPr>
        <w:spacing w:line="400" w:lineRule="exact"/>
      </w:pPr>
      <w:r>
        <w:rPr>
          <w:rFonts w:ascii="Times New Roman" w:hAnsi="Times New Roman" w:eastAsia="仿宋"/>
          <w:b w:val="0"/>
          <w:sz w:val="20"/>
        </w:rPr>
        <w:t>Hauptmeier, S., Holm-Hadulla, F., and Saporito, E. (2025). Economic structure and the real effects</w:t>
      </w:r>
    </w:p>
    <w:p>
      <w:pPr>
        <w:spacing w:line="400" w:lineRule="exact"/>
      </w:pPr>
      <w:r>
        <w:rPr>
          <w:rFonts w:ascii="Times New Roman" w:hAnsi="Times New Roman" w:eastAsia="仿宋"/>
          <w:b w:val="0"/>
          <w:sz w:val="20"/>
        </w:rPr>
        <w:t>of monetary policy. Applied Economics Letters.</w:t>
      </w:r>
    </w:p>
    <w:p>
      <w:pPr>
        <w:spacing w:line="400" w:lineRule="exact"/>
      </w:pPr>
      <w:r>
        <w:rPr>
          <w:rFonts w:ascii="Times New Roman" w:hAnsi="Times New Roman" w:eastAsia="仿宋"/>
          <w:b w:val="0"/>
          <w:sz w:val="20"/>
        </w:rPr>
        <w:t>IBS-CON (2024). Ifo business survey construction 1/1991 – 12/2024. Dataset.</w:t>
      </w:r>
    </w:p>
    <w:p>
      <w:pPr>
        <w:spacing w:line="400" w:lineRule="exact"/>
      </w:pPr>
      <w:r>
        <w:rPr>
          <w:rFonts w:ascii="Times New Roman" w:hAnsi="Times New Roman" w:eastAsia="仿宋"/>
          <w:b w:val="0"/>
          <w:sz w:val="20"/>
        </w:rPr>
        <w:t>IBS-IND (2024). Ifo business survey industry 1/1980 – 12/2024. Dataset.</w:t>
      </w:r>
    </w:p>
    <w:p>
      <w:pPr>
        <w:spacing w:line="400" w:lineRule="exact"/>
      </w:pPr>
      <w:r>
        <w:rPr>
          <w:rFonts w:ascii="Times New Roman" w:hAnsi="Times New Roman" w:eastAsia="仿宋"/>
          <w:b w:val="0"/>
          <w:sz w:val="20"/>
        </w:rPr>
        <w:t>IBS-SERV (2024). Ifo business survey service sector 10/2004-12/2024. Dataset.</w:t>
      </w:r>
    </w:p>
    <w:p>
      <w:pPr>
        <w:spacing w:line="400" w:lineRule="exact"/>
      </w:pPr>
      <w:r>
        <w:rPr>
          <w:rFonts w:ascii="Times New Roman" w:hAnsi="Times New Roman" w:eastAsia="仿宋"/>
          <w:b w:val="0"/>
          <w:sz w:val="20"/>
        </w:rPr>
        <w:t>IBS-TRA (2024). Ifo business survey trade 1/1990 – 12/2024. Dataset.</w:t>
      </w:r>
    </w:p>
    <w:p>
      <w:pPr>
        <w:spacing w:line="400" w:lineRule="exact"/>
      </w:pPr>
      <w:r>
        <w:rPr>
          <w:rFonts w:ascii="Times New Roman" w:hAnsi="Times New Roman" w:eastAsia="仿宋"/>
          <w:b w:val="0"/>
          <w:sz w:val="20"/>
        </w:rPr>
        <w:t>Jaroci´nski, M. and Karadi, P. (2020). Deconstructing monetary policy surprises—the role of infor-</w:t>
      </w:r>
    </w:p>
    <w:p>
      <w:pPr>
        <w:spacing w:line="400" w:lineRule="exact"/>
      </w:pPr>
      <w:r>
        <w:rPr>
          <w:rFonts w:ascii="Times New Roman" w:hAnsi="Times New Roman" w:eastAsia="仿宋"/>
          <w:b w:val="0"/>
          <w:sz w:val="20"/>
        </w:rPr>
        <w:t>mation shocks. American Economic Journal: Macroeconomics, 12(2):1–43.</w:t>
      </w:r>
    </w:p>
    <w:p>
      <w:pPr>
        <w:spacing w:line="400" w:lineRule="exact"/>
      </w:pPr>
      <w:r>
        <w:rPr>
          <w:rFonts w:ascii="Times New Roman" w:hAnsi="Times New Roman" w:eastAsia="仿宋"/>
          <w:b w:val="0"/>
          <w:sz w:val="20"/>
        </w:rPr>
        <w:t>Jord`a, `O. (2005). Estimation and inference of impulse responses by local projections. American</w:t>
      </w:r>
    </w:p>
    <w:p>
      <w:pPr>
        <w:spacing w:line="400" w:lineRule="exact"/>
      </w:pPr>
      <w:r>
        <w:rPr>
          <w:rFonts w:ascii="Times New Roman" w:hAnsi="Times New Roman" w:eastAsia="仿宋"/>
          <w:b w:val="0"/>
          <w:sz w:val="20"/>
        </w:rPr>
        <w:t>economic review, 95(1):161–182.</w:t>
      </w:r>
    </w:p>
    <w:p>
      <w:pPr>
        <w:spacing w:line="400" w:lineRule="exact"/>
      </w:pPr>
      <w:r>
        <w:rPr>
          <w:rFonts w:ascii="Times New Roman" w:hAnsi="Times New Roman" w:eastAsia="仿宋"/>
          <w:b w:val="0"/>
          <w:sz w:val="20"/>
        </w:rPr>
        <w:t>Lamla, M. J. and Vinogradov, D. V. (2019). Central bank announcements: Big news for little</w:t>
      </w:r>
    </w:p>
    <w:p>
      <w:pPr>
        <w:spacing w:line="400" w:lineRule="exact"/>
      </w:pPr>
      <w:r>
        <w:rPr>
          <w:rFonts w:ascii="Times New Roman" w:hAnsi="Times New Roman" w:eastAsia="仿宋"/>
          <w:b w:val="0"/>
          <w:sz w:val="20"/>
        </w:rPr>
        <w:t>people? Journal of Monetary Economics, 108:21–38.</w:t>
      </w:r>
    </w:p>
    <w:p>
      <w:pPr>
        <w:spacing w:line="400" w:lineRule="exact"/>
      </w:pPr>
      <w:r>
        <w:rPr>
          <w:rFonts w:ascii="Times New Roman" w:hAnsi="Times New Roman" w:eastAsia="仿宋"/>
          <w:b w:val="0"/>
          <w:sz w:val="20"/>
        </w:rPr>
        <w:t>Lechthaler, W., Merkl, C., and Snower, D. J. (2010). Monetary persistence and the labor market:</w:t>
      </w:r>
    </w:p>
    <w:p>
      <w:pPr>
        <w:spacing w:line="400" w:lineRule="exact"/>
      </w:pPr>
      <w:r>
        <w:rPr>
          <w:rFonts w:ascii="Times New Roman" w:hAnsi="Times New Roman" w:eastAsia="仿宋"/>
          <w:b w:val="0"/>
          <w:sz w:val="20"/>
        </w:rPr>
        <w:t>a new perspective. Journal of Economic Dynamics and Control, 34(5):968–983.</w:t>
      </w:r>
    </w:p>
    <w:p>
      <w:pPr>
        <w:spacing w:line="400" w:lineRule="exact"/>
      </w:pPr>
      <w:r>
        <w:rPr>
          <w:rFonts w:ascii="Times New Roman" w:hAnsi="Times New Roman" w:eastAsia="仿宋"/>
          <w:b w:val="0"/>
          <w:sz w:val="20"/>
        </w:rPr>
        <w:t>Link, S. (2020).Harmonization of the ifo business survey’s micro data.Jahrb¨ucher F¨ur Na-tional¨okonomie Und Statistik, 240(4):543–555.</w:t>
      </w:r>
    </w:p>
    <w:p>
      <w:pPr>
        <w:spacing w:line="400" w:lineRule="exact"/>
      </w:pPr>
      <w:r>
        <w:rPr>
          <w:rFonts w:ascii="Times New Roman" w:hAnsi="Times New Roman" w:eastAsia="仿宋"/>
          <w:b w:val="0"/>
          <w:sz w:val="20"/>
        </w:rPr>
        <w:t>Link, S. (2024). The price and employment response of firms to the introduction of minimum wages.</w:t>
      </w:r>
    </w:p>
    <w:p>
      <w:pPr>
        <w:spacing w:line="400" w:lineRule="exact"/>
      </w:pPr>
      <w:r>
        <w:rPr>
          <w:rFonts w:ascii="Times New Roman" w:hAnsi="Times New Roman" w:eastAsia="仿宋"/>
          <w:b w:val="0"/>
          <w:sz w:val="20"/>
        </w:rPr>
        <w:t>Journal of Public Economics, 239:105236.</w:t>
      </w:r>
    </w:p>
    <w:p>
      <w:pPr>
        <w:spacing w:line="400" w:lineRule="exact"/>
      </w:pPr>
      <w:r>
        <w:rPr>
          <w:rFonts w:ascii="Times New Roman" w:hAnsi="Times New Roman" w:eastAsia="仿宋"/>
          <w:b w:val="0"/>
          <w:sz w:val="20"/>
        </w:rPr>
        <w:t>Luck, S. and Zimmermann, T. (2020).Employment effects of unconventional monetary policy:Evidence from qe. Journal of Financial Economics, 135(3):678–703.</w:t>
      </w:r>
    </w:p>
    <w:p>
      <w:pPr>
        <w:spacing w:line="400" w:lineRule="exact"/>
      </w:pPr>
      <w:r>
        <w:rPr>
          <w:rFonts w:ascii="Times New Roman" w:hAnsi="Times New Roman" w:eastAsia="仿宋"/>
          <w:b w:val="0"/>
          <w:sz w:val="20"/>
        </w:rPr>
        <w:t>Ma´ckowiak, B. and Wiederholt, M. (2009). Optimal sticky prices under rational inattention. Amer-</w:t>
      </w:r>
    </w:p>
    <w:p>
      <w:pPr>
        <w:spacing w:line="400" w:lineRule="exact"/>
      </w:pPr>
      <w:r>
        <w:rPr>
          <w:rFonts w:ascii="Times New Roman" w:hAnsi="Times New Roman" w:eastAsia="仿宋"/>
          <w:b w:val="0"/>
          <w:sz w:val="20"/>
        </w:rPr>
        <w:t>ican Economic Review, 99(3):769–803.</w:t>
      </w:r>
    </w:p>
    <w:p>
      <w:pPr>
        <w:spacing w:line="400" w:lineRule="exact"/>
      </w:pPr>
      <w:r>
        <w:rPr>
          <w:rFonts w:ascii="Times New Roman" w:hAnsi="Times New Roman" w:eastAsia="仿宋"/>
          <w:b w:val="0"/>
          <w:sz w:val="20"/>
        </w:rPr>
        <w:t>Nerlove, M. (1983). Expectations, plans, and realizations in theory and practice. Econometrica:</w:t>
      </w:r>
    </w:p>
    <w:p>
      <w:pPr>
        <w:spacing w:line="400" w:lineRule="exact"/>
      </w:pPr>
      <w:r>
        <w:rPr>
          <w:rFonts w:ascii="Times New Roman" w:hAnsi="Times New Roman" w:eastAsia="仿宋"/>
          <w:b w:val="0"/>
          <w:sz w:val="20"/>
        </w:rPr>
        <w:t>Journal of the Econometric Society, pages 1251–1279.</w:t>
      </w:r>
    </w:p>
    <w:p>
      <w:pPr>
        <w:spacing w:line="400" w:lineRule="exact"/>
      </w:pPr>
      <w:r>
        <w:rPr>
          <w:rFonts w:ascii="Times New Roman" w:hAnsi="Times New Roman" w:eastAsia="仿宋"/>
          <w:b w:val="0"/>
          <w:sz w:val="20"/>
        </w:rPr>
        <w:t>Nickell, S. (1981).Biases in dynamic models with fixed effects.Econometrica: Journal of theeconometric society, pages 1417–1426.</w:t>
      </w:r>
    </w:p>
    <w:p>
      <w:pPr>
        <w:spacing w:line="400" w:lineRule="exact"/>
      </w:pPr>
      <w:r>
        <w:rPr>
          <w:rFonts w:ascii="Times New Roman" w:hAnsi="Times New Roman" w:eastAsia="仿宋"/>
          <w:b w:val="0"/>
          <w:sz w:val="20"/>
        </w:rPr>
        <w:t>Pellegrino, G. (2021). Uncertainty and monetary policy in the us: A journey into nonlinear territory.</w:t>
      </w:r>
    </w:p>
    <w:p>
      <w:pPr>
        <w:spacing w:line="400" w:lineRule="exact"/>
      </w:pPr>
      <w:r>
        <w:rPr>
          <w:rFonts w:ascii="Times New Roman" w:hAnsi="Times New Roman" w:eastAsia="仿宋"/>
          <w:b w:val="0"/>
          <w:sz w:val="20"/>
        </w:rPr>
        <w:t>Economic Inquiry, 59(3):1106–1128.</w:t>
      </w:r>
    </w:p>
    <w:p>
      <w:pPr>
        <w:spacing w:line="400" w:lineRule="exact"/>
      </w:pPr>
      <w:r>
        <w:rPr>
          <w:rFonts w:ascii="Times New Roman" w:hAnsi="Times New Roman" w:eastAsia="仿宋"/>
          <w:b w:val="0"/>
          <w:sz w:val="20"/>
        </w:rPr>
        <w:t>Sauer, S., Schasching, M., and Wohlrabe, K. (2023). Handbook of ifo Surveys. Number 100. ifo</w:t>
      </w:r>
    </w:p>
    <w:p>
      <w:pPr>
        <w:spacing w:line="400" w:lineRule="exact"/>
      </w:pPr>
      <w:r>
        <w:rPr>
          <w:rFonts w:ascii="Times New Roman" w:hAnsi="Times New Roman" w:eastAsia="仿宋"/>
          <w:b w:val="0"/>
          <w:sz w:val="20"/>
        </w:rPr>
        <w:t>Beitr¨age zur Wirtschaftsforschung.</w:t>
      </w:r>
    </w:p>
    <w:p>
      <w:pPr>
        <w:spacing w:line="400" w:lineRule="exact"/>
      </w:pPr>
      <w:r>
        <w:rPr>
          <w:rFonts w:ascii="Times New Roman" w:hAnsi="Times New Roman" w:eastAsia="仿宋"/>
          <w:b w:val="0"/>
          <w:sz w:val="20"/>
        </w:rPr>
        <w:t>Singh, A., Suda, J., and Zervou, A. (2023). Heterogeneous labor market response to monetary</w:t>
      </w:r>
    </w:p>
    <w:p>
      <w:pPr>
        <w:spacing w:line="400" w:lineRule="exact"/>
      </w:pPr>
      <w:r>
        <w:rPr>
          <w:rFonts w:ascii="Times New Roman" w:hAnsi="Times New Roman" w:eastAsia="仿宋"/>
          <w:b w:val="0"/>
          <w:sz w:val="20"/>
        </w:rPr>
        <w:t>policy: small versus large firms. Working Paper.</w:t>
      </w:r>
    </w:p>
    <w:p>
      <w:pPr>
        <w:spacing w:line="400" w:lineRule="exact"/>
      </w:pPr>
      <w:r>
        <w:rPr>
          <w:rFonts w:ascii="Times New Roman" w:hAnsi="Times New Roman" w:eastAsia="仿宋"/>
          <w:b w:val="0"/>
          <w:sz w:val="20"/>
        </w:rPr>
        <w:t>Tenreyro, S. and Thwaites, G. (2016). Pushing on a string: Us monetary policy is less powerful in</w:t>
      </w:r>
    </w:p>
    <w:p>
      <w:pPr>
        <w:spacing w:line="400" w:lineRule="exact"/>
      </w:pPr>
      <w:r>
        <w:rPr>
          <w:rFonts w:ascii="Times New Roman" w:hAnsi="Times New Roman" w:eastAsia="仿宋"/>
          <w:b w:val="0"/>
          <w:sz w:val="20"/>
        </w:rPr>
        <w:t>recessions. American Economic Journal: Macroeconomics, 8(4):43–74.</w:t>
      </w:r>
    </w:p>
    <w:p>
      <w:pPr>
        <w:spacing w:line="400" w:lineRule="exact"/>
      </w:pPr>
      <w:r>
        <w:rPr>
          <w:rFonts w:ascii="Times New Roman" w:hAnsi="Times New Roman" w:eastAsia="仿宋"/>
          <w:b w:val="0"/>
          <w:sz w:val="20"/>
        </w:rPr>
        <w:t>Woodford, M. (2003). Imperfect common knowledge and the effects of monetary policy. Knowl-</w:t>
      </w:r>
    </w:p>
    <w:p>
      <w:pPr>
        <w:spacing w:line="400" w:lineRule="exact"/>
      </w:pPr>
      <w:r>
        <w:rPr>
          <w:rFonts w:ascii="Times New Roman" w:hAnsi="Times New Roman" w:eastAsia="仿宋"/>
          <w:b w:val="0"/>
          <w:sz w:val="20"/>
        </w:rPr>
        <w:t>edge, information, and expectations in modern macroeconomics: In honor of Edmund S. Phelps,25(1):4.</w:t>
      </w:r>
    </w:p>
    <w:p>
      <w:pPr>
        <w:spacing w:line="400" w:lineRule="exact"/>
      </w:pPr>
      <w:r>
        <w:rPr>
          <w:rFonts w:ascii="Times New Roman" w:hAnsi="Times New Roman" w:eastAsia="仿宋"/>
          <w:b w:val="0"/>
          <w:sz w:val="20"/>
        </w:rPr>
        <w:t>Industrial productionIndustrial production index, Germany, calendar and seasonally adjustedBundesbank</w:t>
      </w:r>
    </w:p>
    <w:p>
      <w:pPr>
        <w:spacing w:line="400" w:lineRule="exact"/>
      </w:pPr>
      <w:r>
        <w:rPr>
          <w:rFonts w:ascii="Times New Roman" w:hAnsi="Times New Roman" w:eastAsia="仿宋"/>
          <w:b w:val="0"/>
          <w:sz w:val="20"/>
        </w:rPr>
        <w:t>Labour intensitySectoral ratio between employees and value added, 2-digit NACEEurostat</w:t>
      </w:r>
    </w:p>
    <w:p>
      <w:pPr>
        <w:spacing w:line="400" w:lineRule="exact"/>
      </w:pPr>
      <w:r>
        <w:rPr>
          <w:rFonts w:ascii="Times New Roman" w:hAnsi="Times New Roman" w:eastAsia="仿宋"/>
          <w:b w:val="0"/>
          <w:sz w:val="20"/>
        </w:rPr>
        <w:t>VariableDescriptionSource</w:t>
      </w:r>
    </w:p>
    <w:p>
      <w:pPr>
        <w:spacing w:line="400" w:lineRule="exact"/>
      </w:pPr>
      <w:r>
        <w:rPr>
          <w:rFonts w:ascii="Times New Roman" w:hAnsi="Times New Roman" w:eastAsia="仿宋"/>
          <w:b w:val="0"/>
          <w:sz w:val="20"/>
        </w:rPr>
        <w:t>- available since 2010IAB</w:t>
      </w:r>
    </w:p>
    <w:p>
      <w:pPr>
        <w:spacing w:line="400" w:lineRule="exact"/>
      </w:pPr>
      <w:r>
        <w:rPr>
          <w:rFonts w:ascii="Times New Roman" w:hAnsi="Times New Roman" w:eastAsia="仿宋"/>
          <w:b w:val="0"/>
          <w:sz w:val="20"/>
        </w:rPr>
        <w:t>Current business situationThe current state of business is: good, satisfiable, bad (1, 0, -1)IBS</w:t>
      </w:r>
    </w:p>
    <w:p>
      <w:pPr>
        <w:spacing w:line="400" w:lineRule="exact"/>
      </w:pPr>
      <w:r>
        <w:rPr>
          <w:rFonts w:ascii="Times New Roman" w:hAnsi="Times New Roman" w:eastAsia="仿宋"/>
          <w:b w:val="0"/>
          <w:sz w:val="20"/>
        </w:rPr>
        <w:t>ConstraintThe production is currently constrained (1, 0)IBS</w:t>
      </w:r>
    </w:p>
    <w:p>
      <w:pPr>
        <w:spacing w:line="400" w:lineRule="exact"/>
      </w:pPr>
      <w:r>
        <w:rPr>
          <w:rFonts w:ascii="Times New Roman" w:hAnsi="Times New Roman" w:eastAsia="仿宋"/>
          <w:b w:val="0"/>
          <w:sz w:val="20"/>
        </w:rPr>
        <w:t>Firm sizeFirm size category (1 = ¡50, 2 = 50-249, 3 = 250-999, 4¿1000)IBS</w:t>
      </w:r>
    </w:p>
    <w:p>
      <w:pPr>
        <w:spacing w:line="400" w:lineRule="exact"/>
      </w:pPr>
      <w:r>
        <w:rPr>
          <w:rFonts w:ascii="Times New Roman" w:hAnsi="Times New Roman" w:eastAsia="仿宋"/>
          <w:b w:val="0"/>
          <w:sz w:val="20"/>
        </w:rPr>
        <w:t>SectorEconomic sectors (# 79) - EBDC sector classificationIBS</w:t>
      </w:r>
    </w:p>
    <w:p>
      <w:pPr>
        <w:spacing w:line="400" w:lineRule="exact"/>
      </w:pPr>
      <w:r>
        <w:rPr>
          <w:rFonts w:ascii="Times New Roman" w:hAnsi="Times New Roman" w:eastAsia="仿宋"/>
          <w:b w:val="0"/>
          <w:sz w:val="20"/>
        </w:rPr>
        <w:t>monthsIBS</w:t>
      </w:r>
    </w:p>
    <w:p>
      <w:pPr>
        <w:spacing w:line="400" w:lineRule="exact"/>
      </w:pPr>
      <w:r>
        <w:rPr>
          <w:rFonts w:ascii="Times New Roman" w:hAnsi="Times New Roman" w:eastAsia="仿宋"/>
          <w:b w:val="0"/>
          <w:sz w:val="20"/>
        </w:rPr>
        <w:t>2018IBS</w:t>
      </w:r>
    </w:p>
    <w:p>
      <w:pPr>
        <w:spacing w:line="400" w:lineRule="exact"/>
      </w:pPr>
      <w:r>
        <w:rPr>
          <w:rFonts w:ascii="Times New Roman" w:hAnsi="Times New Roman" w:eastAsia="仿宋"/>
          <w:b w:val="0"/>
          <w:sz w:val="20"/>
        </w:rPr>
        <w:t>falling (1, 0, -1)IBS</w:t>
      </w:r>
    </w:p>
    <w:p>
      <w:pPr>
        <w:spacing w:line="400" w:lineRule="exact"/>
      </w:pPr>
      <w:r>
        <w:rPr>
          <w:rFonts w:ascii="Times New Roman" w:hAnsi="Times New Roman" w:eastAsia="仿宋"/>
          <w:b w:val="0"/>
          <w:sz w:val="20"/>
        </w:rPr>
        <w:t>months (1, 0, -1)IBS</w:t>
      </w:r>
    </w:p>
    <w:p>
      <w:pPr>
        <w:spacing w:line="400" w:lineRule="exact"/>
      </w:pPr>
      <w:r>
        <w:rPr>
          <w:rFonts w:ascii="Times New Roman" w:hAnsi="Times New Roman" w:eastAsia="仿宋"/>
          <w:b w:val="0"/>
          <w:sz w:val="20"/>
        </w:rPr>
        <w:t>-1)IBS</w:t>
      </w:r>
    </w:p>
    <w:p>
      <w:pPr>
        <w:spacing w:line="400" w:lineRule="exact"/>
      </w:pPr>
      <w:r>
        <w:rPr>
          <w:rFonts w:ascii="Times New Roman" w:hAnsi="Times New Roman" w:eastAsia="仿宋"/>
          <w:b w:val="0"/>
          <w:sz w:val="20"/>
        </w:rPr>
        <w:t>2005-2017IBS</w:t>
      </w:r>
    </w:p>
    <w:p>
      <w:pPr>
        <w:spacing w:line="400" w:lineRule="exact"/>
      </w:pPr>
      <w:r>
        <w:rPr>
          <w:rFonts w:ascii="Times New Roman" w:hAnsi="Times New Roman" w:eastAsia="仿宋"/>
          <w:b w:val="0"/>
          <w:sz w:val="20"/>
        </w:rPr>
        <w:t>are unchanged or increasing (1, 0)IBS</w:t>
      </w:r>
    </w:p>
    <w:p>
      <w:pPr>
        <w:spacing w:line="400" w:lineRule="exact"/>
      </w:pPr>
      <w:r>
        <w:rPr>
          <w:rFonts w:ascii="Times New Roman" w:hAnsi="Times New Roman" w:eastAsia="仿宋"/>
          <w:b w:val="0"/>
          <w:sz w:val="20"/>
        </w:rPr>
        <w:t>Employment expectationEmployment expectations for the next 3 months: increasing, stable, falling (1, 0, -1)IBS</w:t>
      </w:r>
    </w:p>
    <w:p>
      <w:pPr>
        <w:spacing w:line="400" w:lineRule="exact"/>
      </w:pPr>
      <w:r>
        <w:rPr>
          <w:rFonts w:ascii="Times New Roman" w:hAnsi="Times New Roman" w:eastAsia="仿宋"/>
          <w:b w:val="0"/>
          <w:sz w:val="20"/>
        </w:rPr>
        <w:t>wage (1, 0) - asked 2015/16 and 2022IBS</w:t>
      </w:r>
    </w:p>
    <w:p>
      <w:pPr>
        <w:spacing w:line="400" w:lineRule="exact"/>
      </w:pPr>
      <w:r>
        <w:rPr>
          <w:rFonts w:ascii="Times New Roman" w:hAnsi="Times New Roman" w:eastAsia="仿宋"/>
          <w:b w:val="0"/>
          <w:sz w:val="20"/>
        </w:rPr>
        <w:t>struction), services (incl. trade or other services)IBS</w:t>
      </w:r>
    </w:p>
    <w:p>
      <w:pPr>
        <w:spacing w:line="400" w:lineRule="exact"/>
      </w:pPr>
      <w:r>
        <w:rPr>
          <w:rFonts w:ascii="Times New Roman" w:hAnsi="Times New Roman" w:eastAsia="仿宋"/>
          <w:b w:val="0"/>
          <w:sz w:val="20"/>
        </w:rPr>
        <w:t>100 (high) - available since 2017IBS</w:t>
      </w:r>
    </w:p>
    <w:p>
      <w:pPr>
        <w:spacing w:line="400" w:lineRule="exact"/>
      </w:pPr>
      <w:r>
        <w:rPr>
          <w:rFonts w:ascii="Times New Roman" w:hAnsi="Times New Roman" w:eastAsia="仿宋"/>
          <w:b w:val="0"/>
          <w:sz w:val="20"/>
        </w:rPr>
        <w:t>Financial difficultyThe production is currently constrained by difficulties of financing (1, 0)IBS</w:t>
      </w:r>
    </w:p>
    <w:p>
      <w:pPr>
        <w:spacing w:line="400" w:lineRule="exact"/>
      </w:pPr>
      <w:r>
        <w:rPr>
          <w:rFonts w:ascii="Times New Roman" w:hAnsi="Times New Roman" w:eastAsia="仿宋"/>
          <w:b w:val="0"/>
          <w:sz w:val="20"/>
        </w:rPr>
        <w:t>adjustedifo</w:t>
      </w:r>
    </w:p>
    <w:p>
      <w:pPr>
        <w:spacing w:line="400" w:lineRule="exact"/>
      </w:pPr>
      <w:r>
        <w:rPr>
          <w:rFonts w:ascii="Times New Roman" w:hAnsi="Times New Roman" w:eastAsia="仿宋"/>
          <w:b w:val="0"/>
          <w:sz w:val="20"/>
        </w:rPr>
        <w:t>Credit accessCurrent willingness of banks to grant loans: accommodating, normal, reserved (1, 0, -1) - available</w:t>
      </w:r>
    </w:p>
    <w:p>
      <w:pPr>
        <w:spacing w:line="400" w:lineRule="exact"/>
      </w:pPr>
      <w:r>
        <w:rPr>
          <w:rFonts w:ascii="Times New Roman" w:hAnsi="Times New Roman" w:eastAsia="仿宋"/>
          <w:b w:val="0"/>
          <w:sz w:val="20"/>
        </w:rPr>
        <w:t>Minimum wageThe firm is (expected to be) affected by the introduction or increase in the statutory minimum</w:t>
      </w:r>
    </w:p>
    <w:p>
      <w:pPr>
        <w:spacing w:line="400" w:lineRule="exact"/>
      </w:pPr>
      <w:r>
        <w:rPr>
          <w:rFonts w:ascii="Times New Roman" w:hAnsi="Times New Roman" w:eastAsia="仿宋"/>
          <w:b w:val="0"/>
          <w:sz w:val="20"/>
        </w:rPr>
        <w:t>Business expectationThe business situation for the next 6 months will be: favourable, not changing, unfavourable (1, 0,</w:t>
      </w:r>
    </w:p>
    <w:p>
      <w:pPr>
        <w:spacing w:line="400" w:lineRule="exact"/>
      </w:pPr>
      <w:r>
        <w:rPr>
          <w:rFonts w:ascii="Times New Roman" w:hAnsi="Times New Roman" w:eastAsia="仿宋"/>
          <w:b w:val="0"/>
          <w:sz w:val="20"/>
        </w:rPr>
        <w:t>BS uncertaintyUncertainty with respect to commercial operations in the next 6 months on a scale from 0 (low) to</w:t>
      </w:r>
    </w:p>
    <w:p>
      <w:pPr>
        <w:spacing w:line="400" w:lineRule="exact"/>
      </w:pPr>
      <w:r>
        <w:rPr>
          <w:rFonts w:ascii="Times New Roman" w:hAnsi="Times New Roman" w:eastAsia="仿宋"/>
          <w:b w:val="0"/>
          <w:sz w:val="20"/>
        </w:rPr>
        <w:t>Production expectationProduction (construction, orders, demand) expectations for the next 3 months: increasing, stable,</w:t>
      </w:r>
    </w:p>
    <w:p>
      <w:pPr>
        <w:spacing w:line="400" w:lineRule="exact"/>
      </w:pPr>
      <w:r>
        <w:rPr>
          <w:rFonts w:ascii="Times New Roman" w:hAnsi="Times New Roman" w:eastAsia="仿宋"/>
          <w:b w:val="0"/>
          <w:sz w:val="20"/>
        </w:rPr>
        <w:t>Past employment changeEmployment in the previous month has increased, not changed, decreased (1, 0, -1) - available since</w:t>
      </w:r>
    </w:p>
    <w:p>
      <w:pPr>
        <w:spacing w:line="400" w:lineRule="exact"/>
      </w:pPr>
      <w:r>
        <w:rPr>
          <w:rFonts w:ascii="Times New Roman" w:hAnsi="Times New Roman" w:eastAsia="仿宋"/>
          <w:b w:val="0"/>
          <w:sz w:val="20"/>
        </w:rPr>
        <w:t>SurveyIndication in which IBS survey (sector) the firm takes part: industry (incl. manufacturing, con-</w:t>
      </w:r>
    </w:p>
    <w:p>
      <w:pPr>
        <w:spacing w:line="400" w:lineRule="exact"/>
      </w:pPr>
      <w:r>
        <w:rPr>
          <w:rFonts w:ascii="Times New Roman" w:hAnsi="Times New Roman" w:eastAsia="仿宋"/>
          <w:b w:val="0"/>
          <w:sz w:val="20"/>
        </w:rPr>
        <w:t>CBC shareSectoral collective bargaining agreement share, wage coverage related to trade unions negotiations</w:t>
      </w:r>
    </w:p>
    <w:p>
      <w:pPr>
        <w:spacing w:line="400" w:lineRule="exact"/>
      </w:pPr>
      <w:r>
        <w:rPr>
          <w:rFonts w:ascii="Times New Roman" w:hAnsi="Times New Roman" w:eastAsia="仿宋"/>
          <w:b w:val="0"/>
          <w:sz w:val="20"/>
        </w:rPr>
        <w:t>Price expectationPrices of own product/services are expected to increase, be unchanged, fall, during the next 3</w:t>
      </w:r>
    </w:p>
    <w:p>
      <w:pPr>
        <w:spacing w:line="400" w:lineRule="exact"/>
      </w:pPr>
      <w:r>
        <w:rPr>
          <w:rFonts w:ascii="Times New Roman" w:hAnsi="Times New Roman" w:eastAsia="仿宋"/>
          <w:b w:val="0"/>
          <w:sz w:val="20"/>
        </w:rPr>
        <w:t>HoardingIndicator for labour hoarding if production expectations are negative and employment expectations</w:t>
      </w:r>
    </w:p>
    <w:p>
      <w:pPr>
        <w:spacing w:line="400" w:lineRule="exact"/>
      </w:pPr>
      <w:r>
        <w:rPr>
          <w:rFonts w:ascii="Times New Roman" w:hAnsi="Times New Roman" w:eastAsia="仿宋"/>
          <w:b w:val="0"/>
          <w:sz w:val="20"/>
        </w:rPr>
        <w:t>ifo indexBusiness climate index, current business situation and expectations combined, all surveys, seasonally</w:t>
      </w:r>
    </w:p>
    <w:p>
      <w:pPr>
        <w:spacing w:line="400" w:lineRule="exact"/>
      </w:pPr>
      <w:r>
        <w:rPr>
          <w:rFonts w:ascii="Times New Roman" w:hAnsi="Times New Roman" w:eastAsia="仿宋"/>
          <w:b w:val="0"/>
          <w:sz w:val="20"/>
        </w:rPr>
        <w:t>EmploymentNumber of employees, reported once a year (October or November), forwarded to following 11</w:t>
      </w:r>
    </w:p>
    <w:p>
      <w:pPr>
        <w:spacing w:line="400" w:lineRule="exact"/>
      </w:pPr>
      <w:r>
        <w:rPr>
          <w:rFonts w:ascii="Times New Roman" w:hAnsi="Times New Roman" w:eastAsia="仿宋"/>
          <w:b w:val="0"/>
          <w:sz w:val="20"/>
        </w:rPr>
        <w:t>Table A.1: Variable description</w:t>
      </w:r>
    </w:p>
    <w:p>
      <w:pPr>
        <w:spacing w:line="400" w:lineRule="exact"/>
      </w:pPr>
      <w:r>
        <w:rPr>
          <w:rFonts w:ascii="Times New Roman" w:hAnsi="Times New Roman" w:eastAsia="仿宋"/>
          <w:b w:val="0"/>
          <w:sz w:val="20"/>
        </w:rPr>
        <w:t>Appendix</w:t>
      </w:r>
    </w:p>
    <w:p>
      <w:pPr>
        <w:spacing w:line="400" w:lineRule="exact"/>
      </w:pPr>
      <w:r>
        <w:rPr>
          <w:rFonts w:ascii="Times New Roman" w:hAnsi="Times New Roman" w:eastAsia="仿宋"/>
          <w:b w:val="0"/>
          <w:sz w:val="20"/>
        </w:rPr>
        <w:t>AData</w:t>
      </w:r>
    </w:p>
    <w:p>
      <w:pPr>
        <w:spacing w:line="400" w:lineRule="exact"/>
      </w:pPr>
      <w:r>
        <w:rPr>
          <w:rFonts w:ascii="Times New Roman" w:hAnsi="Times New Roman" w:eastAsia="仿宋"/>
          <w:b w:val="0"/>
          <w:sz w:val="20"/>
        </w:rPr>
        <w:t>Unemployment rateUnemployment registered in Germany, rate, calendar and seasonally adjustedBundesbank</w:t>
      </w:r>
    </w:p>
    <w:p>
      <w:pPr>
        <w:spacing w:line="400" w:lineRule="exact"/>
      </w:pPr>
      <w:r>
        <w:rPr>
          <w:rFonts w:ascii="Times New Roman" w:hAnsi="Times New Roman" w:eastAsia="仿宋"/>
          <w:b w:val="0"/>
          <w:sz w:val="20"/>
        </w:rPr>
        <w:t>VacanciesRegistered vacancies in Germany, calendar and seasonally adjustedBundesbank</w:t>
      </w:r>
    </w:p>
    <w:p>
      <w:pPr>
        <w:spacing w:line="400" w:lineRule="exact"/>
      </w:pPr>
      <w:r>
        <w:rPr>
          <w:rFonts w:ascii="Times New Roman" w:hAnsi="Times New Roman" w:eastAsia="仿宋"/>
          <w:b w:val="0"/>
          <w:sz w:val="20"/>
        </w:rPr>
        <w:t>MRO rateMain refinancing operations rate - ECB policy rateBundesbank</w:t>
      </w:r>
    </w:p>
    <w:p>
      <w:pPr>
        <w:spacing w:line="400" w:lineRule="exact"/>
      </w:pPr>
      <w:r>
        <w:rPr>
          <w:rFonts w:ascii="Times New Roman" w:hAnsi="Times New Roman" w:eastAsia="仿宋"/>
          <w:b w:val="0"/>
          <w:sz w:val="20"/>
        </w:rPr>
        <w:t>EmployeesNumber of employees subject to social security, calendar and seasonally adjustedBundesbank</w:t>
      </w:r>
    </w:p>
    <w:p>
      <w:pPr>
        <w:spacing w:line="400" w:lineRule="exact"/>
      </w:pPr>
      <w:r>
        <w:rPr>
          <w:rFonts w:ascii="Times New Roman" w:hAnsi="Times New Roman" w:eastAsia="仿宋"/>
          <w:b w:val="0"/>
          <w:sz w:val="20"/>
        </w:rPr>
        <w:t>CPIConsumer Price Index Germany, calendar and seasonally adjustedBundesbank</w:t>
      </w:r>
    </w:p>
    <w:p>
      <w:pPr>
        <w:spacing w:line="400" w:lineRule="exact"/>
      </w:pPr>
      <w:r>
        <w:rPr>
          <w:rFonts w:ascii="Times New Roman" w:hAnsi="Times New Roman" w:eastAsia="仿宋"/>
          <w:b w:val="0"/>
          <w:sz w:val="20"/>
        </w:rPr>
        <w:t>VariableDescriptionSource</w:t>
      </w:r>
    </w:p>
    <w:p>
      <w:pPr>
        <w:spacing w:line="400" w:lineRule="exact"/>
      </w:pPr>
      <w:r>
        <w:rPr>
          <w:rFonts w:ascii="Times New Roman" w:hAnsi="Times New Roman" w:eastAsia="仿宋"/>
          <w:b w:val="0"/>
          <w:sz w:val="20"/>
        </w:rPr>
        <w:t>Note: IBS = ifo Business Survey, covering the period January 2005 to December 2024 if not other stated, IAB = Establishment Panel</w:t>
      </w:r>
    </w:p>
    <w:p>
      <w:pPr>
        <w:spacing w:line="400" w:lineRule="exact"/>
      </w:pPr>
      <w:r>
        <w:rPr>
          <w:rFonts w:ascii="Times New Roman" w:hAnsi="Times New Roman" w:eastAsia="仿宋"/>
          <w:b w:val="0"/>
          <w:sz w:val="20"/>
        </w:rPr>
        <w:t>Table A.1: Variable description</w:t>
      </w:r>
    </w:p>
    <w:p>
      <w:pPr>
        <w:spacing w:line="400" w:lineRule="exact"/>
      </w:pPr>
      <w:r>
        <w:rPr>
          <w:rFonts w:ascii="Times New Roman" w:hAnsi="Times New Roman" w:eastAsia="仿宋"/>
          <w:b w:val="0"/>
          <w:sz w:val="20"/>
        </w:rPr>
        <w:t>A.1Variable harmonisation</w:t>
      </w:r>
    </w:p>
    <w:p>
      <w:pPr>
        <w:spacing w:line="400" w:lineRule="exact"/>
      </w:pPr>
      <w:r>
        <w:rPr>
          <w:rFonts w:ascii="Times New Roman" w:hAnsi="Times New Roman" w:eastAsia="仿宋"/>
          <w:b w:val="0"/>
          <w:sz w:val="20"/>
        </w:rPr>
        <w:t>While the ifo Business surveys for industry (incl. manufacturing, construction), and services (incl.trade and other services) are all provided by the ifo institute and have a lot in common, there arealso differences. Link (2020) provides a good overview about these differences and how to accountfor them. Here we want to give an overview about the questions (variables) used in our analysisand how they differ across sector (and time).</w:t>
      </w:r>
    </w:p>
    <w:p>
      <w:pPr>
        <w:spacing w:line="400" w:lineRule="exact"/>
      </w:pPr>
      <w:r>
        <w:rPr>
          <w:rFonts w:ascii="Times New Roman" w:hAnsi="Times New Roman" w:eastAsia="仿宋"/>
          <w:b w:val="0"/>
          <w:sz w:val="20"/>
        </w:rPr>
        <w:t>Employment expectation:</w:t>
      </w:r>
    </w:p>
    <w:p>
      <w:pPr>
        <w:spacing w:line="400" w:lineRule="exact"/>
      </w:pPr>
      <w:r>
        <w:rPr>
          <w:rFonts w:ascii="Times New Roman" w:hAnsi="Times New Roman" w:eastAsia="仿宋"/>
          <w:b w:val="0"/>
          <w:sz w:val="20"/>
        </w:rPr>
        <w:t>• Industry: (a) manufacturing: expectations for the next 3 months - The number of employeesassigned to the production of XY will be increasing, not changing, or decreasing. (01/2002-06/2018)Plans and Expectations for the next 3 months - The number of employees will be increasing,not changing, or decreasing. (since 07/2018)(b) construction: During the next 3-4 months the number of our employees will be increasing,not changing or decreasing.</w:t>
      </w:r>
    </w:p>
    <w:p>
      <w:pPr>
        <w:spacing w:line="400" w:lineRule="exact"/>
      </w:pPr>
      <w:r>
        <w:rPr>
          <w:rFonts w:ascii="Times New Roman" w:hAnsi="Times New Roman" w:eastAsia="仿宋"/>
          <w:b w:val="0"/>
          <w:sz w:val="20"/>
        </w:rPr>
        <w:t>• Services: (a) trade: plans and expectations for 3 months - Under elimination of seasonalfluctuations our number of employees will raise, not change, or fall. (03/2002-01/2007)Plans and expectations for the next 3 months - Under elimination of seasonal fluctuations ournumber of employees will raise, not change or fall. (02/2007-06/2018)Plans and expectations for the next 3 months - The number of our employees is expected toraise, not change, or fall. (07/2018-10/2018)The number of our employees is expected to raise, not change or fall. (since 11/2018)(b) other services: The number of employees will be increasing, not changing, or decreasingover the next 2-3 months. (10/2004-06/2018)Plans and expectations for the next 3 months - the number of our employees will presumablyraise, not change or fall. (since 07/2018)</w:t>
      </w:r>
    </w:p>
    <w:p>
      <w:pPr>
        <w:spacing w:line="400" w:lineRule="exact"/>
      </w:pPr>
      <w:r>
        <w:rPr>
          <w:rFonts w:ascii="Times New Roman" w:hAnsi="Times New Roman" w:eastAsia="仿宋"/>
          <w:b w:val="0"/>
          <w:sz w:val="20"/>
        </w:rPr>
        <w:t>Employment (annual):</w:t>
      </w:r>
    </w:p>
    <w:p>
      <w:pPr>
        <w:spacing w:line="400" w:lineRule="exact"/>
      </w:pPr>
      <w:r>
        <w:rPr>
          <w:rFonts w:ascii="Times New Roman" w:hAnsi="Times New Roman" w:eastAsia="仿宋"/>
          <w:b w:val="0"/>
          <w:sz w:val="20"/>
        </w:rPr>
        <w:t>• Industry: (a) manufacturing: number of employees - We occupy [. . . ] persons in the wholecompany (domestic companies only).Thereof .....are assigned to the production of XY.(10/1999-02/2018)Number of employees - We employ [...] people throughout the company (domestic operationsonly). Of which the following are attributable to the product area. (since 02/2019)(b) construction: In year 20WW the average number of our employees altogether was....(12/2002-12/2017) In year 20WW the average number of our employees was...... (since 2018)</w:t>
      </w:r>
    </w:p>
    <w:p>
      <w:pPr>
        <w:spacing w:line="400" w:lineRule="exact"/>
      </w:pPr>
      <w:r>
        <w:rPr>
          <w:rFonts w:ascii="Times New Roman" w:hAnsi="Times New Roman" w:eastAsia="仿宋"/>
          <w:b w:val="0"/>
          <w:sz w:val="20"/>
        </w:rPr>
        <w:t>• Services: (a) trade: We occupy about .... persons in our company. (10/2000-02/2018)Number of persons employed - We employ in our company approx .... persons. (since 02/2019)(b) other services: Number of persons employed ....</w:t>
      </w:r>
    </w:p>
    <w:p>
      <w:pPr>
        <w:spacing w:line="400" w:lineRule="exact"/>
      </w:pPr>
      <w:r>
        <w:rPr>
          <w:rFonts w:ascii="Times New Roman" w:hAnsi="Times New Roman" w:eastAsia="仿宋"/>
          <w:b w:val="0"/>
          <w:sz w:val="20"/>
        </w:rPr>
        <w:t>Production expectation:</w:t>
      </w:r>
    </w:p>
    <w:p>
      <w:pPr>
        <w:spacing w:line="400" w:lineRule="exact"/>
      </w:pPr>
      <w:r>
        <w:rPr>
          <w:rFonts w:ascii="Times New Roman" w:hAnsi="Times New Roman" w:eastAsia="仿宋"/>
          <w:b w:val="0"/>
          <w:sz w:val="20"/>
        </w:rPr>
        <w:t>• Industry: (a) manufacturing: expectations for the next 3 months - Our domestic productionsof XY is expected to be increasing, not changing, decreasing or no production. (01/2002-06/2018)Plans and Expectations for the next 3 months - Our production is expected to be increasing,not changing, decreasing, or no production. (since 07/2018)(b) construction: During the next 3 months we will presumably build more, as much or lessthan/as in the last 3 months. (01/1991-06/2018)We will presumably build more, as much or less than in the past 3 months. (07/2018-10/2018)Our construction activities is presumably going to increase, stay roughly the same or decrease.(since 11/2018)</w:t>
      </w:r>
    </w:p>
    <w:p>
      <w:pPr>
        <w:spacing w:line="400" w:lineRule="exact"/>
      </w:pPr>
      <w:r>
        <w:rPr>
          <w:rFonts w:ascii="Times New Roman" w:hAnsi="Times New Roman" w:eastAsia="仿宋"/>
          <w:b w:val="0"/>
          <w:sz w:val="20"/>
        </w:rPr>
        <w:t>• Services: (a) trade: plans and expectations for 3 months - Compared to the same period oftime of previous year, our orders will likely be raising, not changing, or falling. (03/2002-01/2007)Plans and expectations for the next 3 months - Compared to the same period of time of pre-vious year, our orders will likely be raising, not changing, or falling. (02/2007-10/2018)Plans and expectations for the next 3 months - Our orders will likely be raising, not changing,falling. (since 11/2018)(b) other services: plans and expectations - the demand for our services/our turnover is ex-pected to increase, not change, decrease in the next 2-3 months. (10/2004-06/2018)Plans and expectations for the next 3 months - Our turnover will likely be raising, not chang-ing, falling. (since 07/2018)</w:t>
      </w:r>
    </w:p>
    <w:p>
      <w:pPr>
        <w:spacing w:line="400" w:lineRule="exact"/>
      </w:pPr>
      <w:r>
        <w:rPr>
          <w:rFonts w:ascii="Times New Roman" w:hAnsi="Times New Roman" w:eastAsia="仿宋"/>
          <w:b w:val="0"/>
          <w:sz w:val="20"/>
        </w:rPr>
        <w:t>Table A.2: Summary statics - expectations</w:t>
      </w:r>
    </w:p>
    <w:p>
      <w:pPr>
        <w:spacing w:line="400" w:lineRule="exact"/>
      </w:pPr>
      <w:r>
        <w:rPr>
          <w:rFonts w:ascii="Times New Roman" w:hAnsi="Times New Roman" w:eastAsia="仿宋"/>
          <w:b w:val="0"/>
          <w:sz w:val="20"/>
        </w:rPr>
        <w:t>Offline surveyOnline survey</w:t>
      </w:r>
    </w:p>
    <w:p>
      <w:pPr>
        <w:spacing w:line="400" w:lineRule="exact"/>
      </w:pPr>
      <w:r>
        <w:rPr>
          <w:rFonts w:ascii="Times New Roman" w:hAnsi="Times New Roman" w:eastAsia="仿宋"/>
          <w:b w:val="0"/>
          <w:sz w:val="20"/>
        </w:rPr>
        <w:t>DeclineUnchangedIncreaseDeclineUnchangedIncrease</w:t>
      </w:r>
    </w:p>
    <w:p>
      <w:pPr>
        <w:spacing w:line="400" w:lineRule="exact"/>
      </w:pPr>
      <w:r>
        <w:rPr>
          <w:rFonts w:ascii="Times New Roman" w:hAnsi="Times New Roman" w:eastAsia="仿宋"/>
          <w:b w:val="0"/>
          <w:sz w:val="20"/>
        </w:rPr>
        <w:t>Employment expectation0.120.750.120.120.740.13Past employment0.100.800.100.100.800.10Production expectation0.200.600.200.200.590.21Past production0.230.540.230.230.540.24Price expectation0.090.700.210.090.680.23Past prices0.110.750.140.090.750.16Credit access0.260.630.110.240.640.12</w:t>
      </w:r>
    </w:p>
    <w:p>
      <w:pPr>
        <w:spacing w:line="400" w:lineRule="exact"/>
      </w:pPr>
      <w:r>
        <w:rPr>
          <w:rFonts w:ascii="Times New Roman" w:hAnsi="Times New Roman" w:eastAsia="仿宋"/>
          <w:b w:val="0"/>
          <w:sz w:val="20"/>
        </w:rPr>
        <w:t>Untreated firmsTreated firms</w:t>
      </w:r>
    </w:p>
    <w:p>
      <w:pPr>
        <w:spacing w:line="400" w:lineRule="exact"/>
      </w:pPr>
      <w:r>
        <w:rPr>
          <w:rFonts w:ascii="Times New Roman" w:hAnsi="Times New Roman" w:eastAsia="仿宋"/>
          <w:b w:val="0"/>
          <w:sz w:val="20"/>
        </w:rPr>
        <w:t>DeclineUnchangedIncreaseDeclineUnchangedIncrease</w:t>
      </w:r>
    </w:p>
    <w:p>
      <w:pPr>
        <w:spacing w:line="400" w:lineRule="exact"/>
      </w:pPr>
      <w:r>
        <w:rPr>
          <w:rFonts w:ascii="Times New Roman" w:hAnsi="Times New Roman" w:eastAsia="仿宋"/>
          <w:b w:val="0"/>
          <w:sz w:val="20"/>
        </w:rPr>
        <w:t>Employment expectation0.110.750.140.120.750.13Past employment0.090.800.110.100.800.10Production expectation0.180.600.220.180.600.22Past production0.210.550.240.220.540.24Price expectation0.070.690.230.090.720.20Past prices0.080.760.160.100.770.14Credit access0.240.640.120.240.640.12</w:t>
      </w:r>
    </w:p>
    <w:p>
      <w:pPr>
        <w:spacing w:line="400" w:lineRule="exact"/>
      </w:pPr>
      <w:r>
        <w:rPr>
          <w:rFonts w:ascii="Times New Roman" w:hAnsi="Times New Roman" w:eastAsia="仿宋"/>
          <w:b w:val="0"/>
          <w:sz w:val="20"/>
        </w:rPr>
        <w:t>+/- 2 day windowout of window</w:t>
      </w:r>
    </w:p>
    <w:p>
      <w:pPr>
        <w:spacing w:line="400" w:lineRule="exact"/>
      </w:pPr>
      <w:r>
        <w:rPr>
          <w:rFonts w:ascii="Times New Roman" w:hAnsi="Times New Roman" w:eastAsia="仿宋"/>
          <w:b w:val="0"/>
          <w:sz w:val="20"/>
        </w:rPr>
        <w:t>DeclineUnchangedIncreaseDeclineUnchangedIncrease</w:t>
      </w:r>
    </w:p>
    <w:p>
      <w:pPr>
        <w:spacing w:line="400" w:lineRule="exact"/>
      </w:pPr>
      <w:r>
        <w:rPr>
          <w:rFonts w:ascii="Times New Roman" w:hAnsi="Times New Roman" w:eastAsia="仿宋"/>
          <w:b w:val="0"/>
          <w:sz w:val="20"/>
        </w:rPr>
        <w:t>Employment expectation0.120.750.140.130.750.12Past employment0.090.800.100.100.800.10Production expectation0.180.600.220.200.600.20Past production0.210.540.240.230.540.23Price expectation0.080.700.210.100.700.21Past prices0.090.760.150.110.750.14Credit access0.240.640.120.260.630.11</w:t>
      </w:r>
    </w:p>
    <w:p>
      <w:pPr>
        <w:spacing w:line="400" w:lineRule="exact"/>
      </w:pPr>
      <w:r>
        <w:rPr>
          <w:rFonts w:ascii="Times New Roman" w:hAnsi="Times New Roman" w:eastAsia="仿宋"/>
          <w:b w:val="0"/>
          <w:sz w:val="20"/>
        </w:rPr>
        <w:t>Note: Descriptive statistics based on the ifo Business Survey, comparing the expectations of firmsresponding online or offline (telephone, fax), the expectations of treated (Friday-Monday after apolicy announcement) versus untreated (Tuesday-Wednesday before a policy announcement) firms,and the expectations of firms within the +/- 2 working day window or out of the window.</w:t>
      </w:r>
    </w:p>
    <w:p>
      <w:pPr>
        <w:spacing w:line="400" w:lineRule="exact"/>
      </w:pPr>
      <w:r>
        <w:rPr>
          <w:rFonts w:ascii="Times New Roman" w:hAnsi="Times New Roman" w:eastAsia="仿宋"/>
          <w:b w:val="0"/>
          <w:sz w:val="20"/>
        </w:rPr>
        <w:t>Table A.3: Summary statics - size and sector</w:t>
      </w:r>
    </w:p>
    <w:p>
      <w:pPr>
        <w:spacing w:line="400" w:lineRule="exact"/>
      </w:pPr>
      <w:r>
        <w:rPr>
          <w:rFonts w:ascii="Times New Roman" w:hAnsi="Times New Roman" w:eastAsia="仿宋"/>
          <w:b w:val="0"/>
          <w:sz w:val="20"/>
        </w:rPr>
        <w:t>Untreated firmsTreated firms</w:t>
      </w:r>
    </w:p>
    <w:p>
      <w:pPr>
        <w:spacing w:line="400" w:lineRule="exact"/>
      </w:pPr>
      <w:r>
        <w:rPr>
          <w:rFonts w:ascii="Times New Roman" w:hAnsi="Times New Roman" w:eastAsia="仿宋"/>
          <w:b w:val="0"/>
          <w:sz w:val="20"/>
        </w:rPr>
        <w:t>ConstrServiceTradeManufConstrServiceTradeManuf</w:t>
      </w:r>
    </w:p>
    <w:p>
      <w:pPr>
        <w:spacing w:line="400" w:lineRule="exact"/>
      </w:pPr>
      <w:r>
        <w:rPr>
          <w:rFonts w:ascii="Times New Roman" w:hAnsi="Times New Roman" w:eastAsia="仿宋"/>
          <w:b w:val="0"/>
          <w:sz w:val="20"/>
        </w:rPr>
        <w:t>&lt;50 employees11,96115,60212,75112,58711,65311,38815,05210,09950-249 employees11,0205,9194,19621,00611,2574,4155,27418,311250-999 employees1,8851,62197210,0721,9991,2871,4999,919&gt;999 employees3477523964,2474375875384,511Total25,21323,89418,31547,91225,34617,67722,36342,840</w:t>
      </w:r>
    </w:p>
    <w:p>
      <w:pPr>
        <w:spacing w:line="400" w:lineRule="exact"/>
      </w:pPr>
      <w:r>
        <w:rPr>
          <w:rFonts w:ascii="Times New Roman" w:hAnsi="Times New Roman" w:eastAsia="仿宋"/>
          <w:b w:val="0"/>
          <w:sz w:val="20"/>
        </w:rPr>
        <w:t>Note: The table shows the number of firms in each survey to size-class cell and compares treated(Friday-Monday after a policy announcement) to untreated (Tuesday-Wednesday before a policyannouncement) firms.</w:t>
      </w:r>
    </w:p>
    <w:p>
      <w:pPr>
        <w:spacing w:line="400" w:lineRule="exact"/>
      </w:pPr>
      <w:r>
        <w:rPr>
          <w:rFonts w:ascii="Times New Roman" w:hAnsi="Times New Roman" w:eastAsia="仿宋"/>
          <w:b w:val="0"/>
          <w:sz w:val="20"/>
        </w:rPr>
        <w:t>Table A.4: Summary statics - hiring vs layoff (2023-2024)</w:t>
      </w:r>
    </w:p>
    <w:p>
      <w:pPr>
        <w:spacing w:line="400" w:lineRule="exact"/>
      </w:pPr>
      <w:r>
        <w:rPr>
          <w:rFonts w:ascii="Times New Roman" w:hAnsi="Times New Roman" w:eastAsia="仿宋"/>
          <w:b w:val="0"/>
          <w:sz w:val="20"/>
        </w:rPr>
        <w:t>meanSDperc 10perc 25medianperc 75perc 90N</w:t>
      </w:r>
    </w:p>
    <w:p>
      <w:pPr>
        <w:spacing w:line="400" w:lineRule="exact"/>
      </w:pPr>
      <w:r>
        <w:rPr>
          <w:rFonts w:ascii="Times New Roman" w:hAnsi="Times New Roman" w:eastAsia="仿宋"/>
          <w:b w:val="0"/>
          <w:sz w:val="20"/>
        </w:rPr>
        <w:t>Hiring next 3 months5.5876.190013733,017Hiring last 3 months6.3247.6200131027,697Layoffs next 3 months4.6141.770013532,975Layoffs last 3 months5.5440.840013827,660</w:t>
      </w:r>
    </w:p>
    <w:p>
      <w:pPr>
        <w:spacing w:line="400" w:lineRule="exact"/>
      </w:pPr>
      <w:r>
        <w:rPr>
          <w:rFonts w:ascii="Times New Roman" w:hAnsi="Times New Roman" w:eastAsia="仿宋"/>
          <w:b w:val="0"/>
          <w:sz w:val="20"/>
        </w:rPr>
        <w:t>Note: Descriptive statistics based on the ifo Business Survey, comparing the hiring and layoff expectationsof firms with the realised hiring and layoff in the last 3 months. Questions are only available quarterlysince 2023.</w:t>
      </w:r>
    </w:p>
    <w:p>
      <w:pPr>
        <w:spacing w:line="400" w:lineRule="exact"/>
      </w:pPr>
      <w:r>
        <w:rPr>
          <w:rFonts w:ascii="Times New Roman" w:hAnsi="Times New Roman" w:eastAsia="仿宋"/>
          <w:b w:val="0"/>
          <w:sz w:val="20"/>
        </w:rPr>
        <w:t>BIdentification</w:t>
      </w:r>
    </w:p>
    <w:p>
      <w:pPr>
        <w:spacing w:line="400" w:lineRule="exact"/>
      </w:pPr>
      <w:r>
        <w:rPr>
          <w:rFonts w:ascii="Times New Roman" w:hAnsi="Times New Roman" w:eastAsia="仿宋"/>
          <w:b w:val="0"/>
          <w:sz w:val="20"/>
        </w:rPr>
        <w:t>Figure B.1: ifo survey - responses</w:t>
      </w:r>
    </w:p>
    <w:p>
      <w:pPr>
        <w:spacing w:line="400" w:lineRule="exact"/>
      </w:pPr>
      <w:r>
        <w:rPr>
          <w:rFonts w:ascii="Times New Roman" w:hAnsi="Times New Roman" w:eastAsia="仿宋"/>
          <w:b w:val="0"/>
          <w:sz w:val="20"/>
        </w:rPr>
        <w:t>a) Responses per day of weekb) Responses per day of month</w:t>
      </w:r>
    </w:p>
    <w:p>
      <w:pPr>
        <w:spacing w:line="400" w:lineRule="exact"/>
      </w:pPr>
      <w:r>
        <w:rPr>
          <w:rFonts w:ascii="Times New Roman" w:hAnsi="Times New Roman" w:eastAsia="仿宋"/>
          <w:b w:val="0"/>
          <w:sz w:val="20"/>
        </w:rPr>
        <w:t>150000</w:t>
      </w:r>
    </w:p>
    <w:p>
      <w:pPr>
        <w:spacing w:line="400" w:lineRule="exact"/>
      </w:pPr>
      <w:r>
        <w:rPr>
          <w:rFonts w:ascii="Times New Roman" w:hAnsi="Times New Roman" w:eastAsia="仿宋"/>
          <w:b w:val="0"/>
          <w:sz w:val="20"/>
        </w:rPr>
        <w:t>industryconstructiontradeservices</w:t>
      </w:r>
    </w:p>
    <w:p>
      <w:pPr>
        <w:spacing w:line="400" w:lineRule="exact"/>
      </w:pPr>
      <w:r>
        <w:rPr>
          <w:rFonts w:ascii="Times New Roman" w:hAnsi="Times New Roman" w:eastAsia="仿宋"/>
          <w:b w:val="0"/>
          <w:sz w:val="20"/>
        </w:rPr>
        <w:t>300000</w:t>
      </w:r>
    </w:p>
    <w:p>
      <w:pPr>
        <w:spacing w:line="400" w:lineRule="exact"/>
      </w:pPr>
      <w:r>
        <w:rPr>
          <w:rFonts w:ascii="Times New Roman" w:hAnsi="Times New Roman" w:eastAsia="仿宋"/>
          <w:b w:val="0"/>
          <w:sz w:val="20"/>
        </w:rPr>
        <w:t>100000</w:t>
      </w:r>
    </w:p>
    <w:p>
      <w:pPr>
        <w:spacing w:line="400" w:lineRule="exact"/>
      </w:pPr>
      <w:r>
        <w:rPr>
          <w:rFonts w:ascii="Times New Roman" w:hAnsi="Times New Roman" w:eastAsia="仿宋"/>
          <w:b w:val="0"/>
          <w:sz w:val="20"/>
        </w:rPr>
        <w:t>200000</w:t>
      </w:r>
    </w:p>
    <w:p>
      <w:pPr>
        <w:spacing w:line="400" w:lineRule="exact"/>
      </w:pPr>
      <w:r>
        <w:rPr>
          <w:rFonts w:ascii="Times New Roman" w:hAnsi="Times New Roman" w:eastAsia="仿宋"/>
          <w:b w:val="0"/>
          <w:sz w:val="20"/>
        </w:rPr>
        <w:t>observations</w:t>
      </w:r>
    </w:p>
    <w:p>
      <w:pPr>
        <w:spacing w:line="400" w:lineRule="exact"/>
      </w:pPr>
      <w:r>
        <w:rPr>
          <w:rFonts w:ascii="Times New Roman" w:hAnsi="Times New Roman" w:eastAsia="仿宋"/>
          <w:b w:val="0"/>
          <w:sz w:val="20"/>
        </w:rPr>
        <w:t>observations</w:t>
      </w:r>
    </w:p>
    <w:p>
      <w:pPr>
        <w:spacing w:line="400" w:lineRule="exact"/>
      </w:pPr>
      <w:r>
        <w:rPr>
          <w:rFonts w:ascii="Times New Roman" w:hAnsi="Times New Roman" w:eastAsia="仿宋"/>
          <w:b w:val="0"/>
          <w:sz w:val="20"/>
        </w:rPr>
        <w:t>100000</w:t>
      </w:r>
    </w:p>
    <w:p>
      <w:pPr>
        <w:spacing w:line="400" w:lineRule="exact"/>
      </w:pPr>
      <w:r>
        <w:rPr>
          <w:rFonts w:ascii="Times New Roman" w:hAnsi="Times New Roman" w:eastAsia="仿宋"/>
          <w:b w:val="0"/>
          <w:sz w:val="20"/>
        </w:rPr>
        <w:t>50,000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MondayTuesday WednesdayThursdayFridaySaturdaySunday0</w:t>
      </w:r>
    </w:p>
    <w:p>
      <w:pPr>
        <w:spacing w:line="400" w:lineRule="exact"/>
      </w:pPr>
      <w:r>
        <w:rPr>
          <w:rFonts w:ascii="Times New Roman" w:hAnsi="Times New Roman" w:eastAsia="仿宋"/>
          <w:b w:val="0"/>
          <w:sz w:val="20"/>
        </w:rPr>
        <w:t>1 2 3 4 5 6 7 8 9 10111213141516171819202122232425262728293031</w:t>
      </w:r>
    </w:p>
    <w:p>
      <w:pPr>
        <w:spacing w:line="400" w:lineRule="exact"/>
      </w:pPr>
      <w:r>
        <w:rPr>
          <w:rFonts w:ascii="Times New Roman" w:hAnsi="Times New Roman" w:eastAsia="仿宋"/>
          <w:b w:val="0"/>
          <w:sz w:val="20"/>
        </w:rPr>
        <w:t>Notes: Descriptive statistics based on the ifo Business Survey. Panel a) shows the number of survey responses handed-in per day of the week. Panel b) shows the number of survey responses per day of the month, decomposed by thesurvey sector.</w:t>
      </w:r>
    </w:p>
    <w:p>
      <w:pPr>
        <w:spacing w:line="400" w:lineRule="exact"/>
      </w:pPr>
      <w:r>
        <w:rPr>
          <w:rFonts w:ascii="Times New Roman" w:hAnsi="Times New Roman" w:eastAsia="仿宋"/>
          <w:b w:val="0"/>
          <w:sz w:val="20"/>
        </w:rPr>
        <w:t>Table B.1: Exogeneity - monetary policy shocks</w:t>
      </w:r>
    </w:p>
    <w:p>
      <w:pPr>
        <w:spacing w:line="400" w:lineRule="exact"/>
      </w:pPr>
      <w:r>
        <w:rPr>
          <w:rFonts w:ascii="Times New Roman" w:hAnsi="Times New Roman" w:eastAsia="仿宋"/>
          <w:b w:val="0"/>
          <w:sz w:val="20"/>
        </w:rPr>
        <w:t>Dependent variable:</w:t>
      </w:r>
    </w:p>
    <w:p>
      <w:pPr>
        <w:spacing w:line="400" w:lineRule="exact"/>
      </w:pPr>
      <w:r>
        <w:rPr>
          <w:rFonts w:ascii="Times New Roman" w:hAnsi="Times New Roman" w:eastAsia="仿宋"/>
          <w:b w:val="0"/>
          <w:sz w:val="20"/>
        </w:rPr>
        <w:t>Target Rate ShockForward Guidance Shock</w:t>
      </w:r>
    </w:p>
    <w:p>
      <w:pPr>
        <w:spacing w:line="400" w:lineRule="exact"/>
      </w:pPr>
      <w:r>
        <w:rPr>
          <w:rFonts w:ascii="Times New Roman" w:hAnsi="Times New Roman" w:eastAsia="仿宋"/>
          <w:b w:val="0"/>
          <w:sz w:val="20"/>
        </w:rPr>
        <w:t>autocorrfinancialautocorrfinancial</w:t>
      </w:r>
    </w:p>
    <w:p>
      <w:pPr>
        <w:spacing w:line="400" w:lineRule="exact"/>
      </w:pPr>
      <w:r>
        <w:rPr>
          <w:rFonts w:ascii="Times New Roman" w:hAnsi="Times New Roman" w:eastAsia="仿宋"/>
          <w:b w:val="0"/>
          <w:sz w:val="20"/>
        </w:rPr>
        <w:t>Policy Shock, t-1-0.0805-0.3400***(0.0721)(0.0721)Policy Shock, t-2-0.0389-0.1475*(0.0723)(0.0767)Policy Shock, t-30.0329-0.0116(0.0723)(0.0765)Policy Shock, t-40.02540.0292(0.0721)(0.0723)∆DAX-0.02600.0037(0.0164)(0.0245)∆German yield curve-0.17360.4716(0.5176)(0.7742)∆US 3m gov bond yield0.1168-0.7963*(0.2689)(0.4022)∆FX GER-US0.86652.7436(1.8222)(2.7254)∆CISS1.1707-1.4006(0.8529)(1.2757)Constant-0.0376-0.2186-0.05060.2774(0.1439)(0.2403)(0.2048)(0.3595)</w:t>
      </w:r>
    </w:p>
    <w:p>
      <w:pPr>
        <w:spacing w:line="400" w:lineRule="exact"/>
      </w:pPr>
      <w:r>
        <w:rPr>
          <w:rFonts w:ascii="Times New Roman" w:hAnsi="Times New Roman" w:eastAsia="仿宋"/>
          <w:b w:val="0"/>
          <w:sz w:val="20"/>
        </w:rPr>
        <w:t>Observations200200200200R20.0090.0550.1070.033</w:t>
      </w:r>
    </w:p>
    <w:p>
      <w:pPr>
        <w:spacing w:line="400" w:lineRule="exact"/>
      </w:pPr>
      <w:r>
        <w:rPr>
          <w:rFonts w:ascii="Times New Roman" w:hAnsi="Times New Roman" w:eastAsia="仿宋"/>
          <w:b w:val="0"/>
          <w:sz w:val="20"/>
        </w:rPr>
        <w:t>Notes: ∆= t −1 to t −90, frequency = daily.∗p&lt;0.1; ∗∗p&lt;0.05; ∗∗∗p&lt;0.01.</w:t>
      </w:r>
    </w:p>
    <w:p>
      <w:pPr>
        <w:spacing w:line="400" w:lineRule="exact"/>
      </w:pPr>
      <w:r>
        <w:rPr>
          <w:rFonts w:ascii="Times New Roman" w:hAnsi="Times New Roman" w:eastAsia="仿宋"/>
          <w:b w:val="0"/>
          <w:sz w:val="20"/>
        </w:rPr>
        <w:t>CAggregate dynamics</w:t>
      </w:r>
    </w:p>
    <w:p>
      <w:pPr>
        <w:spacing w:line="400" w:lineRule="exact"/>
      </w:pPr>
      <w:r>
        <w:rPr>
          <w:rFonts w:ascii="Times New Roman" w:hAnsi="Times New Roman" w:eastAsia="仿宋"/>
          <w:b w:val="0"/>
          <w:sz w:val="20"/>
        </w:rPr>
        <w:t>To show the consistency of our empirical framework with the existing literature and to link ourfirm-specific findings on employment expectations to aggregate labour market outcomes, we showaggregate dynamic responses to monetary policy changes. We are doing so by estimating impulseresponse functions (IRF) using a local projection (LP) framework (Jord`a, 2005). At the aggregatelevel we estimate:</w:t>
      </w:r>
    </w:p>
    <w:p>
      <w:pPr>
        <w:spacing w:line="400" w:lineRule="exact"/>
      </w:pPr>
      <w:r>
        <w:rPr>
          <w:rFonts w:ascii="Times New Roman" w:hAnsi="Times New Roman" w:eastAsia="仿宋"/>
          <w:b w:val="0"/>
          <w:sz w:val="20"/>
        </w:rPr>
        <w:t>s=6X</w:t>
      </w:r>
    </w:p>
    <w:p>
      <w:pPr>
        <w:spacing w:line="400" w:lineRule="exact"/>
      </w:pPr>
      <w:r>
        <w:rPr>
          <w:rFonts w:ascii="Times New Roman" w:hAnsi="Times New Roman" w:eastAsia="仿宋"/>
          <w:b w:val="0"/>
          <w:sz w:val="20"/>
        </w:rPr>
        <w:t>yt+h = αh + βhεp</w:t>
      </w:r>
    </w:p>
    <w:p>
      <w:pPr>
        <w:spacing w:line="400" w:lineRule="exact"/>
      </w:pPr>
      <w:r>
        <w:rPr>
          <w:rFonts w:ascii="Times New Roman" w:hAnsi="Times New Roman" w:eastAsia="仿宋"/>
          <w:b w:val="0"/>
          <w:sz w:val="20"/>
        </w:rPr>
        <w:t>t +</w:t>
      </w:r>
    </w:p>
    <w:p>
      <w:pPr>
        <w:spacing w:line="400" w:lineRule="exact"/>
      </w:pPr>
      <w:r>
        <w:rPr>
          <w:rFonts w:ascii="Times New Roman" w:hAnsi="Times New Roman" w:eastAsia="仿宋"/>
          <w:b w:val="0"/>
          <w:sz w:val="20"/>
        </w:rPr>
        <w:t>γhyt−s + ΓhZt−1 + ut,h = 0, ..., 24(4)</w:t>
      </w:r>
    </w:p>
    <w:p>
      <w:pPr>
        <w:spacing w:line="400" w:lineRule="exact"/>
      </w:pPr>
      <w:r>
        <w:rPr>
          <w:rFonts w:ascii="Times New Roman" w:hAnsi="Times New Roman" w:eastAsia="仿宋"/>
          <w:b w:val="0"/>
          <w:sz w:val="20"/>
        </w:rPr>
        <w:t>s=1</w:t>
      </w:r>
    </w:p>
    <w:p>
      <w:pPr>
        <w:spacing w:line="400" w:lineRule="exact"/>
      </w:pPr>
      <w:r>
        <w:rPr>
          <w:rFonts w:ascii="Times New Roman" w:hAnsi="Times New Roman" w:eastAsia="仿宋"/>
          <w:b w:val="0"/>
          <w:sz w:val="20"/>
        </w:rPr>
        <w:t>where yt+h is our labour market variable of interest at horizon h. εp</w:t>
      </w:r>
    </w:p>
    <w:p>
      <w:pPr>
        <w:spacing w:line="400" w:lineRule="exact"/>
      </w:pPr>
      <w:r>
        <w:rPr>
          <w:rFonts w:ascii="Times New Roman" w:hAnsi="Times New Roman" w:eastAsia="仿宋"/>
          <w:b w:val="0"/>
          <w:sz w:val="20"/>
        </w:rPr>
        <w:t>t captures our high-frequencymonetary policy shocks, either the Target Rate shock or the Forward Guidance shock. αh is theintercept and Zt−1 includes both lagged policy shocks (and further macro controls for robustnesschecks). We also include six lags of the dependent variable to control for the persistence in theseaggregate indicators. We calculate heteroskedasticity and autocorrelation robust Newey-West stan-dard errors to represent the uncertainty around our estimates.</w:t>
      </w:r>
    </w:p>
    <w:p>
      <w:pPr>
        <w:spacing w:line="400" w:lineRule="exact"/>
      </w:pPr>
      <w:r>
        <w:rPr>
          <w:rFonts w:ascii="Times New Roman" w:hAnsi="Times New Roman" w:eastAsia="仿宋"/>
          <w:b w:val="0"/>
          <w:sz w:val="20"/>
        </w:rPr>
        <w:t>The upper row of Figure C.1 shows the responses of the industry production index, the ifobusiness climate index and the consumer price index of Germany to a 25 basis point point increaseto the conventional Target Rate shock. In line with theory and the existing literature, we see asignificant decline in the real economy and a weak but negative effect on inflation (e.g. Jaroci´nski andKaradi, 2020). More related to our analysis are the aggregate monetary policy effects to Germanlabour market variables.While vacancies and, with a bit delay, employees decline following acontractionary monetary policy shocks, the unemployment rate increases up to one percentagepoint.</w:t>
      </w:r>
    </w:p>
    <w:p>
      <w:pPr>
        <w:spacing w:line="400" w:lineRule="exact"/>
      </w:pPr>
      <w:r>
        <w:rPr>
          <w:rFonts w:ascii="Times New Roman" w:hAnsi="Times New Roman" w:eastAsia="仿宋"/>
          <w:b w:val="0"/>
          <w:sz w:val="20"/>
        </w:rPr>
        <w:t>Figure C.1: Aggregate responses to monetary policy shocks</w:t>
      </w:r>
    </w:p>
    <w:p>
      <w:pPr>
        <w:spacing w:line="400" w:lineRule="exact"/>
      </w:pPr>
      <w:r>
        <w:rPr>
          <w:rFonts w:ascii="Times New Roman" w:hAnsi="Times New Roman" w:eastAsia="仿宋"/>
          <w:b w:val="0"/>
          <w:sz w:val="20"/>
        </w:rPr>
        <w:t>Industry production</w:t>
      </w:r>
    </w:p>
    <w:p>
      <w:pPr>
        <w:spacing w:line="400" w:lineRule="exact"/>
      </w:pPr>
      <w:r>
        <w:rPr>
          <w:rFonts w:ascii="Times New Roman" w:hAnsi="Times New Roman" w:eastAsia="仿宋"/>
          <w:b w:val="0"/>
          <w:sz w:val="20"/>
        </w:rPr>
        <w:t>ifo index</w:t>
      </w:r>
    </w:p>
    <w:p>
      <w:pPr>
        <w:spacing w:line="400" w:lineRule="exact"/>
      </w:pPr>
      <w:r>
        <w:rPr>
          <w:rFonts w:ascii="Times New Roman" w:hAnsi="Times New Roman" w:eastAsia="仿宋"/>
          <w:b w:val="0"/>
          <w:sz w:val="20"/>
        </w:rPr>
        <w:t>Consumer price index</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.02</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Cumulative change</w:t>
      </w:r>
    </w:p>
    <w:p>
      <w:pPr>
        <w:spacing w:line="400" w:lineRule="exact"/>
      </w:pPr>
      <w:r>
        <w:rPr>
          <w:rFonts w:ascii="Times New Roman" w:hAnsi="Times New Roman" w:eastAsia="仿宋"/>
          <w:b w:val="0"/>
          <w:sz w:val="20"/>
        </w:rPr>
        <w:t>Cumulative change</w:t>
      </w:r>
    </w:p>
    <w:p>
      <w:pPr>
        <w:spacing w:line="400" w:lineRule="exact"/>
      </w:pPr>
      <w:r>
        <w:rPr>
          <w:rFonts w:ascii="Times New Roman" w:hAnsi="Times New Roman" w:eastAsia="仿宋"/>
          <w:b w:val="0"/>
          <w:sz w:val="20"/>
        </w:rPr>
        <w:t>Cumulative change</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−.04</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−.3</w:t>
      </w:r>
    </w:p>
    <w:p>
      <w:pPr>
        <w:spacing w:line="400" w:lineRule="exact"/>
      </w:pPr>
      <w:r>
        <w:rPr>
          <w:rFonts w:ascii="Times New Roman" w:hAnsi="Times New Roman" w:eastAsia="仿宋"/>
          <w:b w:val="0"/>
          <w:sz w:val="20"/>
        </w:rPr>
        <w:t>−.06</w:t>
      </w:r>
    </w:p>
    <w:p>
      <w:pPr>
        <w:spacing w:line="400" w:lineRule="exact"/>
      </w:pPr>
      <w:r>
        <w:rPr>
          <w:rFonts w:ascii="Times New Roman" w:hAnsi="Times New Roman" w:eastAsia="仿宋"/>
          <w:b w:val="0"/>
          <w:sz w:val="20"/>
        </w:rPr>
        <w:t>06121824</w:t>
      </w:r>
    </w:p>
    <w:p>
      <w:pPr>
        <w:spacing w:line="400" w:lineRule="exact"/>
      </w:pPr>
      <w:r>
        <w:rPr>
          <w:rFonts w:ascii="Times New Roman" w:hAnsi="Times New Roman" w:eastAsia="仿宋"/>
          <w:b w:val="0"/>
          <w:sz w:val="20"/>
        </w:rPr>
        <w:t>06121824</w:t>
      </w:r>
    </w:p>
    <w:p>
      <w:pPr>
        <w:spacing w:line="400" w:lineRule="exact"/>
      </w:pPr>
      <w:r>
        <w:rPr>
          <w:rFonts w:ascii="Times New Roman" w:hAnsi="Times New Roman" w:eastAsia="仿宋"/>
          <w:b w:val="0"/>
          <w:sz w:val="20"/>
        </w:rPr>
        <w:t>06121824</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Vacancies</w:t>
      </w:r>
    </w:p>
    <w:p>
      <w:pPr>
        <w:spacing w:line="400" w:lineRule="exact"/>
      </w:pPr>
      <w:r>
        <w:rPr>
          <w:rFonts w:ascii="Times New Roman" w:hAnsi="Times New Roman" w:eastAsia="仿宋"/>
          <w:b w:val="0"/>
          <w:sz w:val="20"/>
        </w:rPr>
        <w:t>Employees</w:t>
      </w:r>
    </w:p>
    <w:p>
      <w:pPr>
        <w:spacing w:line="400" w:lineRule="exact"/>
      </w:pPr>
      <w:r>
        <w:rPr>
          <w:rFonts w:ascii="Times New Roman" w:hAnsi="Times New Roman" w:eastAsia="仿宋"/>
          <w:b w:val="0"/>
          <w:sz w:val="20"/>
        </w:rPr>
        <w:t>Unemployment rate</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Cumulative change (pp)</w:t>
      </w:r>
    </w:p>
    <w:p>
      <w:pPr>
        <w:spacing w:line="400" w:lineRule="exact"/>
      </w:pPr>
      <w:r>
        <w:rPr>
          <w:rFonts w:ascii="Times New Roman" w:hAnsi="Times New Roman" w:eastAsia="仿宋"/>
          <w:b w:val="0"/>
          <w:sz w:val="20"/>
        </w:rPr>
        <w:t>1.5</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Cumulative change</w:t>
      </w:r>
    </w:p>
    <w:p>
      <w:pPr>
        <w:spacing w:line="400" w:lineRule="exact"/>
      </w:pPr>
      <w:r>
        <w:rPr>
          <w:rFonts w:ascii="Times New Roman" w:hAnsi="Times New Roman" w:eastAsia="仿宋"/>
          <w:b w:val="0"/>
          <w:sz w:val="20"/>
        </w:rPr>
        <w:t>Cumulative change</w:t>
      </w:r>
    </w:p>
    <w:p>
      <w:pPr>
        <w:spacing w:line="400" w:lineRule="exact"/>
      </w:pPr>
      <w:r>
        <w:rPr>
          <w:rFonts w:ascii="Times New Roman" w:hAnsi="Times New Roman" w:eastAsia="仿宋"/>
          <w:b w:val="0"/>
          <w:sz w:val="20"/>
        </w:rPr>
        <w:t>−.01</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−.02</w:t>
      </w:r>
    </w:p>
    <w:p>
      <w:pPr>
        <w:spacing w:line="400" w:lineRule="exact"/>
      </w:pPr>
      <w:r>
        <w:rPr>
          <w:rFonts w:ascii="Times New Roman" w:hAnsi="Times New Roman" w:eastAsia="仿宋"/>
          <w:b w:val="0"/>
          <w:sz w:val="20"/>
        </w:rPr>
        <w:t>.5</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−.03</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−.04</w:t>
      </w:r>
    </w:p>
    <w:p>
      <w:pPr>
        <w:spacing w:line="400" w:lineRule="exact"/>
      </w:pPr>
      <w:r>
        <w:rPr>
          <w:rFonts w:ascii="Times New Roman" w:hAnsi="Times New Roman" w:eastAsia="仿宋"/>
          <w:b w:val="0"/>
          <w:sz w:val="20"/>
        </w:rPr>
        <w:t>06121824</w:t>
      </w:r>
    </w:p>
    <w:p>
      <w:pPr>
        <w:spacing w:line="400" w:lineRule="exact"/>
      </w:pPr>
      <w:r>
        <w:rPr>
          <w:rFonts w:ascii="Times New Roman" w:hAnsi="Times New Roman" w:eastAsia="仿宋"/>
          <w:b w:val="0"/>
          <w:sz w:val="20"/>
        </w:rPr>
        <w:t>06121824</w:t>
      </w:r>
    </w:p>
    <w:p>
      <w:pPr>
        <w:spacing w:line="400" w:lineRule="exact"/>
      </w:pPr>
      <w:r>
        <w:rPr>
          <w:rFonts w:ascii="Times New Roman" w:hAnsi="Times New Roman" w:eastAsia="仿宋"/>
          <w:b w:val="0"/>
          <w:sz w:val="20"/>
        </w:rPr>
        <w:t>06121824</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Notes: This figure shows the impulse responses of aggregate macro indicators to a 25 basis point Target Rate shock.It depicts the relative cumulative growth in percent over the period 2005-2024 (change in unemployment rate inpercentage points). The shaded areas depict the 68% and 90% confidence bands, based on Newey-West standarderrors.</w:t>
      </w:r>
    </w:p>
    <w:p>
      <w:pPr>
        <w:spacing w:line="400" w:lineRule="exact"/>
      </w:pPr>
      <w:r>
        <w:rPr>
          <w:rFonts w:ascii="Times New Roman" w:hAnsi="Times New Roman" w:eastAsia="仿宋"/>
          <w:b w:val="0"/>
          <w:sz w:val="20"/>
        </w:rPr>
        <w:t>DMonetary Policy Effects - Robustness</w:t>
      </w:r>
    </w:p>
    <w:p>
      <w:pPr>
        <w:spacing w:line="400" w:lineRule="exact"/>
      </w:pPr>
      <w:r>
        <w:rPr>
          <w:rFonts w:ascii="Times New Roman" w:hAnsi="Times New Roman" w:eastAsia="仿宋"/>
          <w:b w:val="0"/>
          <w:sz w:val="20"/>
        </w:rPr>
        <w:t>Table D.1: Immediate expectation responses - Labour hoarding</w:t>
      </w:r>
    </w:p>
    <w:p>
      <w:pPr>
        <w:spacing w:line="400" w:lineRule="exact"/>
      </w:pPr>
      <w:r>
        <w:rPr>
          <w:rFonts w:ascii="Times New Roman" w:hAnsi="Times New Roman" w:eastAsia="仿宋"/>
          <w:b w:val="0"/>
          <w:sz w:val="20"/>
        </w:rPr>
        <w:t>labour hoardingemployment expproduction exp(production - employment gap)(standardised)(standardised)(1)(2)(3)(4)(5)TR shock × post0.1148∗∗∗0.1353∗∗∗0.1536∗∗∗-0.2512∗∗∗-0.4791∗∗∗</w:t>
      </w:r>
    </w:p>
    <w:p>
      <w:pPr>
        <w:spacing w:line="400" w:lineRule="exact"/>
      </w:pPr>
      <w:r>
        <w:rPr>
          <w:rFonts w:ascii="Times New Roman" w:hAnsi="Times New Roman" w:eastAsia="仿宋"/>
          <w:b w:val="0"/>
          <w:sz w:val="20"/>
        </w:rPr>
        <w:t>(0.0114)(0.0102)(0.0102)(0.0239)(0.0268)Post dummy0.0067∗∗∗0.0064∗∗∗0.0060∗∗∗0.0005-0.0228∗∗∗</w:t>
      </w:r>
    </w:p>
    <w:p>
      <w:pPr>
        <w:spacing w:line="400" w:lineRule="exact"/>
      </w:pPr>
      <w:r>
        <w:rPr>
          <w:rFonts w:ascii="Times New Roman" w:hAnsi="Times New Roman" w:eastAsia="仿宋"/>
          <w:b w:val="0"/>
          <w:sz w:val="20"/>
        </w:rPr>
        <w:t>(0.0009)(0.0006)(0.0007)(0.0020)(0.0022)Expectation employment (t-1)0.1434∗∗∗0.0514∗∗∗0.0568∗∗∗0.4766∗∗∗</w:t>
      </w:r>
    </w:p>
    <w:p>
      <w:pPr>
        <w:spacing w:line="400" w:lineRule="exact"/>
      </w:pPr>
      <w:r>
        <w:rPr>
          <w:rFonts w:ascii="Times New Roman" w:hAnsi="Times New Roman" w:eastAsia="仿宋"/>
          <w:b w:val="0"/>
          <w:sz w:val="20"/>
        </w:rPr>
        <w:t>(0.0008)(0.0006)(0.0006)(0.0012)Expectation production (t-1)0.3468∗∗∗</w:t>
      </w:r>
    </w:p>
    <w:p>
      <w:pPr>
        <w:spacing w:line="400" w:lineRule="exact"/>
      </w:pPr>
      <w:r>
        <w:rPr>
          <w:rFonts w:ascii="Times New Roman" w:hAnsi="Times New Roman" w:eastAsia="仿宋"/>
          <w:b w:val="0"/>
          <w:sz w:val="20"/>
        </w:rPr>
        <w:t>(0.0013)Expectation business situation (t-1)-0.0410∗∗∗-0.0363∗∗∗-0.0366∗∗∗0.1131∗∗∗0.2508∗∗∗</w:t>
      </w:r>
    </w:p>
    <w:p>
      <w:pPr>
        <w:spacing w:line="400" w:lineRule="exact"/>
      </w:pPr>
      <w:r>
        <w:rPr>
          <w:rFonts w:ascii="Times New Roman" w:hAnsi="Times New Roman" w:eastAsia="仿宋"/>
          <w:b w:val="0"/>
          <w:sz w:val="20"/>
        </w:rPr>
        <w:t>(0.0007)(0.0006)(0.0006)(0.0016)(0.0020)Constant0.1450∗∗∗0.0944∗∗∗0.0980∗∗∗0.0879∗∗∗0.1363∗∗∗</w:t>
      </w:r>
    </w:p>
    <w:p>
      <w:pPr>
        <w:spacing w:line="400" w:lineRule="exact"/>
      </w:pPr>
      <w:r>
        <w:rPr>
          <w:rFonts w:ascii="Times New Roman" w:hAnsi="Times New Roman" w:eastAsia="仿宋"/>
          <w:b w:val="0"/>
          <w:sz w:val="20"/>
        </w:rPr>
        <w:t>(0.0005)(0.0005)(0.0005)(0.0013)(0.0014)Firm FEyesyesyesyesyesMeeting FEyesyesyesyesyesObservations205,342205,342205,342209,399209,799R20.24160.24500.25030.51980.4481Number of Meetings200200200200200</w:t>
      </w:r>
    </w:p>
    <w:p>
      <w:pPr>
        <w:spacing w:line="400" w:lineRule="exact"/>
      </w:pPr>
      <w:r>
        <w:rPr>
          <w:rFonts w:ascii="Times New Roman" w:hAnsi="Times New Roman" w:eastAsia="仿宋"/>
          <w:b w:val="0"/>
          <w:sz w:val="20"/>
        </w:rPr>
        <w:t>Notes: OLS regressions showing the monetary policy effect of treated (=post) vs non-treated firms on labourhoarding indicators. (1) 1 if increasing/unchanged employment expectations and decreasing production ex-pectations or increasing employment expectations and unchanged production expectations, (2) 1 if unchangedemployment expectations and negative production expectations, (3) 1 if increasing/unchanged employmentexpectations and decreasing production expectations. (4) standardised employment expectations, (5) stan-dardised production expectations. Heteroskedasticity robust standard errors in the parenthesis. TR=TargetRate.* p&lt;0.10, ** p&lt;0.05, *** p&lt;0.001</w:t>
      </w:r>
    </w:p>
    <w:p>
      <w:pPr>
        <w:spacing w:line="400" w:lineRule="exact"/>
      </w:pPr>
      <w:r>
        <w:rPr>
          <w:rFonts w:ascii="Times New Roman" w:hAnsi="Times New Roman" w:eastAsia="仿宋"/>
          <w:b w:val="0"/>
          <w:sz w:val="20"/>
        </w:rPr>
        <w:t>Table D.2: Production expectation responses - nonlinearity and information effects</w:t>
      </w:r>
    </w:p>
    <w:p>
      <w:pPr>
        <w:spacing w:line="400" w:lineRule="exact"/>
      </w:pPr>
      <w:r>
        <w:rPr>
          <w:rFonts w:ascii="Times New Roman" w:hAnsi="Times New Roman" w:eastAsia="仿宋"/>
          <w:b w:val="0"/>
          <w:sz w:val="20"/>
        </w:rPr>
        <w:t>production expectation(1)(2)(3)(4)(5)TR shock × post0.0189(0.0313)Cubic TR shock × post-2.4234∗∗∗</w:t>
      </w:r>
    </w:p>
    <w:p>
      <w:pPr>
        <w:spacing w:line="400" w:lineRule="exact"/>
      </w:pPr>
      <w:r>
        <w:rPr>
          <w:rFonts w:ascii="Times New Roman" w:hAnsi="Times New Roman" w:eastAsia="仿宋"/>
          <w:b w:val="0"/>
          <w:sz w:val="20"/>
        </w:rPr>
        <w:t>(0.2221)JK monetary shock × post-0.3072∗∗∗</w:t>
      </w:r>
    </w:p>
    <w:p>
      <w:pPr>
        <w:spacing w:line="400" w:lineRule="exact"/>
      </w:pPr>
      <w:r>
        <w:rPr>
          <w:rFonts w:ascii="Times New Roman" w:hAnsi="Times New Roman" w:eastAsia="仿宋"/>
          <w:b w:val="0"/>
          <w:sz w:val="20"/>
        </w:rPr>
        <w:t>(0.0348)JK info shock × post0.0835∗</w:t>
      </w:r>
    </w:p>
    <w:p>
      <w:pPr>
        <w:spacing w:line="400" w:lineRule="exact"/>
      </w:pPr>
      <w:r>
        <w:rPr>
          <w:rFonts w:ascii="Times New Roman" w:hAnsi="Times New Roman" w:eastAsia="仿宋"/>
          <w:b w:val="0"/>
          <w:sz w:val="20"/>
        </w:rPr>
        <w:t>(0.0451)Positive TR shock × post-0.3297∗∗∗</w:t>
      </w:r>
    </w:p>
    <w:p>
      <w:pPr>
        <w:spacing w:line="400" w:lineRule="exact"/>
      </w:pPr>
      <w:r>
        <w:rPr>
          <w:rFonts w:ascii="Times New Roman" w:hAnsi="Times New Roman" w:eastAsia="仿宋"/>
          <w:b w:val="0"/>
          <w:sz w:val="20"/>
        </w:rPr>
        <w:t>(0.0180)Negative TR shock × post-0.0236(0.0450)Policy rate change × post-0.3656∗∗</w:t>
      </w:r>
    </w:p>
    <w:p>
      <w:pPr>
        <w:spacing w:line="400" w:lineRule="exact"/>
      </w:pPr>
      <w:r>
        <w:rPr>
          <w:rFonts w:ascii="Times New Roman" w:hAnsi="Times New Roman" w:eastAsia="仿宋"/>
          <w:b w:val="0"/>
          <w:sz w:val="20"/>
        </w:rPr>
        <w:t>(0.1805)FG shock × post-0.0146(0.0108)Firm FEyesyesyesyesyesMeeting FEyesyesyesyesyesObservations209,799193,015209,799209,799209,799R20.44810.44530.44720.44790.4479Number of Meetings200188200200200</w:t>
      </w:r>
    </w:p>
    <w:p>
      <w:pPr>
        <w:spacing w:line="400" w:lineRule="exact"/>
      </w:pPr>
      <w:r>
        <w:rPr>
          <w:rFonts w:ascii="Times New Roman" w:hAnsi="Times New Roman" w:eastAsia="仿宋"/>
          <w:b w:val="0"/>
          <w:sz w:val="20"/>
        </w:rPr>
        <w:t>Notes:OLS regressions showing the monetary policy effect of treated (=post) vs non-treatedfirms on production expectations.Heteroskedasticity robust standard errors in the parenthe-sis. (1) cubic effects, (2) Jaroci´nski and Karadi (2020) policy surprises, (3) asymmetric effects,(4) policy rate change, (5) forward guidance shocks. TR=Target Rate, FG=Forward Guidance,JK=Jarocinski/Karadi.* p&lt;0.10, ** p&lt;0.05, *** p&lt;0.001.</w:t>
      </w:r>
    </w:p>
    <w:p>
      <w:pPr>
        <w:spacing w:line="400" w:lineRule="exact"/>
      </w:pPr>
      <w:r>
        <w:rPr>
          <w:rFonts w:ascii="Times New Roman" w:hAnsi="Times New Roman" w:eastAsia="仿宋"/>
          <w:b w:val="0"/>
          <w:sz w:val="20"/>
        </w:rPr>
        <w:t>Table D.3: Production expectation responses - Robustness</w:t>
      </w:r>
    </w:p>
    <w:p>
      <w:pPr>
        <w:spacing w:line="400" w:lineRule="exact"/>
      </w:pPr>
      <w:r>
        <w:rPr>
          <w:rFonts w:ascii="Times New Roman" w:hAnsi="Times New Roman" w:eastAsia="仿宋"/>
          <w:b w:val="0"/>
          <w:sz w:val="20"/>
        </w:rPr>
        <w:t>production expectation(1)(2)(3)(4)(increase)(decrease)Target Rate shock × post-0.4041∗∗∗-0.2903∗∗∗-0.3176∗∗∗-0.1548∗∗∗-0.3905∗∗∗1.3921∗∗∗</w:t>
      </w:r>
    </w:p>
    <w:p>
      <w:pPr>
        <w:spacing w:line="400" w:lineRule="exact"/>
      </w:pPr>
      <w:r>
        <w:rPr>
          <w:rFonts w:ascii="Times New Roman" w:hAnsi="Times New Roman" w:eastAsia="仿宋"/>
          <w:b w:val="0"/>
          <w:sz w:val="20"/>
        </w:rPr>
        <w:t>(0.0301)(0.0162)(0.0492)(0.0383)(0.0937)(0.0875)</w:t>
      </w:r>
    </w:p>
    <w:p>
      <w:pPr>
        <w:spacing w:line="400" w:lineRule="exact"/>
      </w:pPr>
      <w:r>
        <w:rPr>
          <w:rFonts w:ascii="Times New Roman" w:hAnsi="Times New Roman" w:eastAsia="仿宋"/>
          <w:b w:val="0"/>
          <w:sz w:val="20"/>
        </w:rPr>
        <w:t>Further controlsnonoyesnononoFirm FEyesyesyesyesyesyesMeeting FEyesyesyesyesyesyesObservations312,484209,799119,297209,799209,799209,799R20.34700.44810.47560.3537Number of Meetings200200200200200200</w:t>
      </w:r>
    </w:p>
    <w:p>
      <w:pPr>
        <w:spacing w:line="400" w:lineRule="exact"/>
      </w:pPr>
      <w:r>
        <w:rPr>
          <w:rFonts w:ascii="Times New Roman" w:hAnsi="Times New Roman" w:eastAsia="仿宋"/>
          <w:b w:val="0"/>
          <w:sz w:val="20"/>
        </w:rPr>
        <w:t>Notes: OLS regressions showing the monetary policy effect of treated (=post) vs non-treated firms onproduction expectations. Heteroskedasticity robust standard errors in the parenthesis. Further controlsinclude five additional lags in the respective expectation variable, current state of the business and numberof employees (in log). (1) +/- 4 working day window, (2) set largest +/- shock to zero, (3) extra controls, (4)not weighted by firm-size, (5) multinomial logit: increase (vs unchanged), (6) multinomial logit: decrease(vs unchanged). TR=Target Rate.* p&lt;0.10, ** p&lt;0.05, *** p&lt;0.001.</w:t>
      </w:r>
    </w:p>
    <w:p>
      <w:pPr>
        <w:spacing w:line="400" w:lineRule="exact"/>
      </w:pPr>
      <w:r>
        <w:rPr>
          <w:rFonts w:ascii="Times New Roman" w:hAnsi="Times New Roman" w:eastAsia="仿宋"/>
          <w:b w:val="0"/>
          <w:sz w:val="20"/>
        </w:rPr>
        <w:t>Figure D.1: Dynamic expectation responses - Split-panel jackknife</w:t>
      </w:r>
    </w:p>
    <w:p>
      <w:pPr>
        <w:spacing w:line="400" w:lineRule="exact"/>
      </w:pPr>
      <w:r>
        <w:rPr>
          <w:rFonts w:ascii="Times New Roman" w:hAnsi="Times New Roman" w:eastAsia="仿宋"/>
          <w:b w:val="0"/>
          <w:sz w:val="20"/>
        </w:rPr>
        <w:t>a) employment expectationsb) production expectations</w:t>
      </w:r>
    </w:p>
    <w:p>
      <w:pPr>
        <w:spacing w:line="400" w:lineRule="exact"/>
      </w:pPr>
      <w:r>
        <w:rPr>
          <w:rFonts w:ascii="Times New Roman" w:hAnsi="Times New Roman" w:eastAsia="仿宋"/>
          <w:b w:val="0"/>
          <w:sz w:val="20"/>
        </w:rPr>
        <w:t>−.8−.6−.4−.20.2.4Cumulative change (net balance)</w:t>
      </w:r>
    </w:p>
    <w:p>
      <w:pPr>
        <w:spacing w:line="400" w:lineRule="exact"/>
      </w:pPr>
      <w:r>
        <w:rPr>
          <w:rFonts w:ascii="Times New Roman" w:hAnsi="Times New Roman" w:eastAsia="仿宋"/>
          <w:b w:val="0"/>
          <w:sz w:val="20"/>
        </w:rPr>
        <w:t>−.8−.6−.4−.20.2.4Cumulative change (net balance)</w:t>
      </w:r>
    </w:p>
    <w:p>
      <w:pPr>
        <w:spacing w:line="400" w:lineRule="exact"/>
      </w:pPr>
      <w:r>
        <w:rPr>
          <w:rFonts w:ascii="Times New Roman" w:hAnsi="Times New Roman" w:eastAsia="仿宋"/>
          <w:b w:val="0"/>
          <w:sz w:val="20"/>
        </w:rPr>
        <w:t>06121824Month</w:t>
      </w:r>
    </w:p>
    <w:p>
      <w:pPr>
        <w:spacing w:line="400" w:lineRule="exact"/>
      </w:pPr>
      <w:r>
        <w:rPr>
          <w:rFonts w:ascii="Times New Roman" w:hAnsi="Times New Roman" w:eastAsia="仿宋"/>
          <w:b w:val="0"/>
          <w:sz w:val="20"/>
        </w:rPr>
        <w:t>06121824Month</w:t>
      </w:r>
    </w:p>
    <w:p>
      <w:pPr>
        <w:spacing w:line="400" w:lineRule="exact"/>
      </w:pPr>
      <w:r>
        <w:rPr>
          <w:rFonts w:ascii="Times New Roman" w:hAnsi="Times New Roman" w:eastAsia="仿宋"/>
          <w:b w:val="0"/>
          <w:sz w:val="20"/>
        </w:rPr>
        <w:t>Notes: This figure shows the responses of firm-specific employment expectations (left) and production expectations(negative) to a 25 basis point Target Rate shock. The blue line depicts the OLS estimation, while the green linedepicts the split-panel jackknife estimator. The shaded areas depict the 68% and 90% confidence bands, based onfirm and time cluster robust standard errors.</w:t>
      </w:r>
    </w:p>
    <w:p>
      <w:pPr>
        <w:spacing w:line="400" w:lineRule="exact"/>
      </w:pPr>
      <w:r>
        <w:rPr>
          <w:rFonts w:ascii="Times New Roman" w:hAnsi="Times New Roman" w:eastAsia="仿宋"/>
          <w:b w:val="0"/>
          <w:sz w:val="20"/>
        </w:rPr>
        <w:t>Figure D.2: Dynamic expectation responses - Driscoll and Kraay (1998) SE</w:t>
      </w:r>
    </w:p>
    <w:p>
      <w:pPr>
        <w:spacing w:line="400" w:lineRule="exact"/>
      </w:pPr>
      <w:r>
        <w:rPr>
          <w:rFonts w:ascii="Times New Roman" w:hAnsi="Times New Roman" w:eastAsia="仿宋"/>
          <w:b w:val="0"/>
          <w:sz w:val="20"/>
        </w:rPr>
        <w:t>a) employment expectationsb) production expectations</w:t>
      </w:r>
    </w:p>
    <w:p>
      <w:pPr>
        <w:spacing w:line="400" w:lineRule="exact"/>
      </w:pPr>
      <w:r>
        <w:rPr>
          <w:rFonts w:ascii="Times New Roman" w:hAnsi="Times New Roman" w:eastAsia="仿宋"/>
          <w:b w:val="0"/>
          <w:sz w:val="20"/>
        </w:rPr>
        <w:t>−.8−.6−.4−.20.2.4Cumulative change (net balance)</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Cumulative change (net balance)</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−.6</w:t>
      </w:r>
    </w:p>
    <w:p>
      <w:pPr>
        <w:spacing w:line="400" w:lineRule="exact"/>
      </w:pPr>
      <w:r>
        <w:rPr>
          <w:rFonts w:ascii="Times New Roman" w:hAnsi="Times New Roman" w:eastAsia="仿宋"/>
          <w:b w:val="0"/>
          <w:sz w:val="20"/>
        </w:rPr>
        <w:t>−.8</w:t>
      </w:r>
    </w:p>
    <w:p>
      <w:pPr>
        <w:spacing w:line="400" w:lineRule="exact"/>
      </w:pPr>
      <w:r>
        <w:rPr>
          <w:rFonts w:ascii="Times New Roman" w:hAnsi="Times New Roman" w:eastAsia="仿宋"/>
          <w:b w:val="0"/>
          <w:sz w:val="20"/>
        </w:rPr>
        <w:t>03691215182124Month</w:t>
      </w:r>
    </w:p>
    <w:p>
      <w:pPr>
        <w:spacing w:line="400" w:lineRule="exact"/>
      </w:pPr>
      <w:r>
        <w:rPr>
          <w:rFonts w:ascii="Times New Roman" w:hAnsi="Times New Roman" w:eastAsia="仿宋"/>
          <w:b w:val="0"/>
          <w:sz w:val="20"/>
        </w:rPr>
        <w:t>03691215182124</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Notes: This figure shows the responses of firm-specific employment expectations (left) and production expectations(negative) to a 25 basis point Target Rate shock. The shaded areas depict the 68% and 90% confidence bands, basedon Driscoll and Kraay (1998) standard errors.</w:t>
      </w:r>
    </w:p>
    <w:p>
      <w:pPr>
        <w:spacing w:line="400" w:lineRule="exact"/>
      </w:pPr>
      <w:r>
        <w:rPr>
          <w:rFonts w:ascii="Times New Roman" w:hAnsi="Times New Roman" w:eastAsia="仿宋"/>
          <w:b w:val="0"/>
          <w:sz w:val="20"/>
        </w:rPr>
        <w:t>Figure D.3: Dynamic expectation responses - Jaroci´nski and Karadi (2020)</w:t>
      </w:r>
    </w:p>
    <w:p>
      <w:pPr>
        <w:spacing w:line="400" w:lineRule="exact"/>
      </w:pPr>
      <w:r>
        <w:rPr>
          <w:rFonts w:ascii="Times New Roman" w:hAnsi="Times New Roman" w:eastAsia="仿宋"/>
          <w:b w:val="0"/>
          <w:sz w:val="20"/>
        </w:rPr>
        <w:t>a) employment expectationsb) production expectations</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Cumulative change (net balance)</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Cumulative change</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−.6</w:t>
      </w:r>
    </w:p>
    <w:p>
      <w:pPr>
        <w:spacing w:line="400" w:lineRule="exact"/>
      </w:pPr>
      <w:r>
        <w:rPr>
          <w:rFonts w:ascii="Times New Roman" w:hAnsi="Times New Roman" w:eastAsia="仿宋"/>
          <w:b w:val="0"/>
          <w:sz w:val="20"/>
        </w:rPr>
        <w:t>−.6</w:t>
      </w:r>
    </w:p>
    <w:p>
      <w:pPr>
        <w:spacing w:line="400" w:lineRule="exact"/>
      </w:pPr>
      <w:r>
        <w:rPr>
          <w:rFonts w:ascii="Times New Roman" w:hAnsi="Times New Roman" w:eastAsia="仿宋"/>
          <w:b w:val="0"/>
          <w:sz w:val="20"/>
        </w:rPr>
        <w:t>−.8</w:t>
      </w:r>
    </w:p>
    <w:p>
      <w:pPr>
        <w:spacing w:line="400" w:lineRule="exact"/>
      </w:pPr>
      <w:r>
        <w:rPr>
          <w:rFonts w:ascii="Times New Roman" w:hAnsi="Times New Roman" w:eastAsia="仿宋"/>
          <w:b w:val="0"/>
          <w:sz w:val="20"/>
        </w:rPr>
        <w:t>−.8</w:t>
      </w:r>
    </w:p>
    <w:p>
      <w:pPr>
        <w:spacing w:line="400" w:lineRule="exact"/>
      </w:pPr>
      <w:r>
        <w:rPr>
          <w:rFonts w:ascii="Times New Roman" w:hAnsi="Times New Roman" w:eastAsia="仿宋"/>
          <w:b w:val="0"/>
          <w:sz w:val="20"/>
        </w:rPr>
        <w:t>03691215182124</w:t>
      </w:r>
    </w:p>
    <w:p>
      <w:pPr>
        <w:spacing w:line="400" w:lineRule="exact"/>
      </w:pPr>
      <w:r>
        <w:rPr>
          <w:rFonts w:ascii="Times New Roman" w:hAnsi="Times New Roman" w:eastAsia="仿宋"/>
          <w:b w:val="0"/>
          <w:sz w:val="20"/>
        </w:rPr>
        <w:t>03691215182124</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Notes: This figure shows the responses of firm-specific employment expectations (left) and production expectations(negative) to a 25 basis point pure monetary policy shock (Jaroci´nski and Karadi, 2020). The shaded areas depictthe 68% and 90% confidence bands, based on firm and time cluster robust standard errors.</w:t>
      </w:r>
    </w:p>
    <w:p>
      <w:pPr>
        <w:spacing w:line="400" w:lineRule="exact"/>
      </w:pPr>
      <w:r>
        <w:rPr>
          <w:rFonts w:ascii="Times New Roman" w:hAnsi="Times New Roman" w:eastAsia="仿宋"/>
          <w:b w:val="0"/>
          <w:sz w:val="20"/>
        </w:rPr>
        <w:t>Figure D.4: Dynamic expectation responses - Forwarding controls</w:t>
      </w:r>
    </w:p>
    <w:p>
      <w:pPr>
        <w:spacing w:line="400" w:lineRule="exact"/>
      </w:pPr>
      <w:r>
        <w:rPr>
          <w:rFonts w:ascii="Times New Roman" w:hAnsi="Times New Roman" w:eastAsia="仿宋"/>
          <w:b w:val="0"/>
          <w:sz w:val="20"/>
        </w:rPr>
        <w:t>a) Employment expectationsb) Production expectations</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Cumulative change (net balance)</w:t>
      </w:r>
    </w:p>
    <w:p>
      <w:pPr>
        <w:spacing w:line="400" w:lineRule="exact"/>
      </w:pPr>
      <w:r>
        <w:rPr>
          <w:rFonts w:ascii="Times New Roman" w:hAnsi="Times New Roman" w:eastAsia="仿宋"/>
          <w:b w:val="0"/>
          <w:sz w:val="20"/>
        </w:rPr>
        <w:t>Cumulative change (net balance)</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−.6</w:t>
      </w:r>
    </w:p>
    <w:p>
      <w:pPr>
        <w:spacing w:line="400" w:lineRule="exact"/>
      </w:pPr>
      <w:r>
        <w:rPr>
          <w:rFonts w:ascii="Times New Roman" w:hAnsi="Times New Roman" w:eastAsia="仿宋"/>
          <w:b w:val="0"/>
          <w:sz w:val="20"/>
        </w:rPr>
        <w:t>−.6</w:t>
      </w:r>
    </w:p>
    <w:p>
      <w:pPr>
        <w:spacing w:line="400" w:lineRule="exact"/>
      </w:pPr>
      <w:r>
        <w:rPr>
          <w:rFonts w:ascii="Times New Roman" w:hAnsi="Times New Roman" w:eastAsia="仿宋"/>
          <w:b w:val="0"/>
          <w:sz w:val="20"/>
        </w:rPr>
        <w:t>−.8</w:t>
      </w:r>
    </w:p>
    <w:p>
      <w:pPr>
        <w:spacing w:line="400" w:lineRule="exact"/>
      </w:pPr>
      <w:r>
        <w:rPr>
          <w:rFonts w:ascii="Times New Roman" w:hAnsi="Times New Roman" w:eastAsia="仿宋"/>
          <w:b w:val="0"/>
          <w:sz w:val="20"/>
        </w:rPr>
        <w:t>−.8</w:t>
      </w:r>
    </w:p>
    <w:p>
      <w:pPr>
        <w:spacing w:line="400" w:lineRule="exact"/>
      </w:pPr>
      <w:r>
        <w:rPr>
          <w:rFonts w:ascii="Times New Roman" w:hAnsi="Times New Roman" w:eastAsia="仿宋"/>
          <w:b w:val="0"/>
          <w:sz w:val="20"/>
        </w:rPr>
        <w:t>03691215182124</w:t>
      </w:r>
    </w:p>
    <w:p>
      <w:pPr>
        <w:spacing w:line="400" w:lineRule="exact"/>
      </w:pPr>
      <w:r>
        <w:rPr>
          <w:rFonts w:ascii="Times New Roman" w:hAnsi="Times New Roman" w:eastAsia="仿宋"/>
          <w:b w:val="0"/>
          <w:sz w:val="20"/>
        </w:rPr>
        <w:t>03691215182124</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Notes: This figure shows the impulse responses of firm-specific employment expectation (left) and production expec-tations (right) to a 25 bp Target Rate shock. Additional (t+h-1) forwarded expectations are added to control thepersistence in the expectation variables. The shaded areas depict the 68% and 90% confidence bands, based on firmand time cluster robust standard errors.</w:t>
      </w:r>
    </w:p>
    <w:p>
      <w:pPr>
        <w:spacing w:line="400" w:lineRule="exact"/>
      </w:pPr>
      <w:r>
        <w:rPr>
          <w:rFonts w:ascii="Times New Roman" w:hAnsi="Times New Roman" w:eastAsia="仿宋"/>
          <w:b w:val="0"/>
          <w:sz w:val="20"/>
        </w:rPr>
        <w:t>Figure D.5: Dynamic expectation responses - production</w:t>
      </w:r>
    </w:p>
    <w:p>
      <w:pPr>
        <w:spacing w:line="400" w:lineRule="exact"/>
      </w:pPr>
      <w:r>
        <w:rPr>
          <w:rFonts w:ascii="Times New Roman" w:hAnsi="Times New Roman" w:eastAsia="仿宋"/>
          <w:b w:val="0"/>
          <w:sz w:val="20"/>
        </w:rPr>
        <w:t>a) Positive expectationsb) Negative expectations</w:t>
      </w:r>
    </w:p>
    <w:p>
      <w:pPr>
        <w:spacing w:line="400" w:lineRule="exact"/>
      </w:pPr>
      <w:r>
        <w:rPr>
          <w:rFonts w:ascii="Times New Roman" w:hAnsi="Times New Roman" w:eastAsia="仿宋"/>
          <w:b w:val="0"/>
          <w:sz w:val="20"/>
        </w:rPr>
        <w:t>.6</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Cumulative change (percent)</w:t>
      </w:r>
    </w:p>
    <w:p>
      <w:pPr>
        <w:spacing w:line="400" w:lineRule="exact"/>
      </w:pPr>
      <w:r>
        <w:rPr>
          <w:rFonts w:ascii="Times New Roman" w:hAnsi="Times New Roman" w:eastAsia="仿宋"/>
          <w:b w:val="0"/>
          <w:sz w:val="20"/>
        </w:rPr>
        <w:t>Cumulative change (percent)</w:t>
      </w:r>
    </w:p>
    <w:p>
      <w:pPr>
        <w:spacing w:line="400" w:lineRule="exact"/>
      </w:pPr>
      <w:r>
        <w:rPr>
          <w:rFonts w:ascii="Times New Roman" w:hAnsi="Times New Roman" w:eastAsia="仿宋"/>
          <w:b w:val="0"/>
          <w:sz w:val="20"/>
        </w:rPr>
        <w:t>.4</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−.1</w:t>
      </w:r>
    </w:p>
    <w:p>
      <w:pPr>
        <w:spacing w:line="400" w:lineRule="exact"/>
      </w:pPr>
      <w:r>
        <w:rPr>
          <w:rFonts w:ascii="Times New Roman" w:hAnsi="Times New Roman" w:eastAsia="仿宋"/>
          <w:b w:val="0"/>
          <w:sz w:val="20"/>
        </w:rPr>
        <w:t>0</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−.2</w:t>
      </w:r>
    </w:p>
    <w:p>
      <w:pPr>
        <w:spacing w:line="400" w:lineRule="exact"/>
      </w:pPr>
      <w:r>
        <w:rPr>
          <w:rFonts w:ascii="Times New Roman" w:hAnsi="Times New Roman" w:eastAsia="仿宋"/>
          <w:b w:val="0"/>
          <w:sz w:val="20"/>
        </w:rPr>
        <w:t>03691215182124</w:t>
      </w:r>
    </w:p>
    <w:p>
      <w:pPr>
        <w:spacing w:line="400" w:lineRule="exact"/>
      </w:pPr>
      <w:r>
        <w:rPr>
          <w:rFonts w:ascii="Times New Roman" w:hAnsi="Times New Roman" w:eastAsia="仿宋"/>
          <w:b w:val="0"/>
          <w:sz w:val="20"/>
        </w:rPr>
        <w:t>03691215182124</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Month</w:t>
      </w:r>
    </w:p>
    <w:p>
      <w:pPr>
        <w:spacing w:line="400" w:lineRule="exact"/>
      </w:pPr>
      <w:r>
        <w:rPr>
          <w:rFonts w:ascii="Times New Roman" w:hAnsi="Times New Roman" w:eastAsia="仿宋"/>
          <w:b w:val="0"/>
          <w:sz w:val="20"/>
        </w:rPr>
        <w:t>Notes: This figure shows the responses of firm-specific positive production expectations (left) and negative productionexpectations (negative) to a 25 basis point Target Rate shock. The shaded areas depict the 68% and 90% confidencebands, based on firm and time cluster robust standard errors.</w:t>
      </w:r>
    </w:p>
    <w:p>
      <w:pPr>
        <w:spacing w:line="400" w:lineRule="exact"/>
      </w:pPr>
      <w:r>
        <w:rPr>
          <w:rFonts w:ascii="Times New Roman" w:hAnsi="Times New Roman" w:eastAsia="仿宋"/>
          <w:b w:val="0"/>
          <w:sz w:val="20"/>
        </w:rPr>
        <w:t>Table D.4: Production expectations - Financial and Labour Market rigidities</w:t>
      </w:r>
    </w:p>
    <w:p>
      <w:pPr>
        <w:spacing w:line="400" w:lineRule="exact"/>
      </w:pPr>
      <w:r>
        <w:rPr>
          <w:rFonts w:ascii="Times New Roman" w:hAnsi="Times New Roman" w:eastAsia="仿宋"/>
          <w:b w:val="0"/>
          <w:sz w:val="20"/>
        </w:rPr>
        <w:t>production expectation(1)(2)(3)(4)(5)TR × post-0.3176∗∗∗-0.0054∗∗-0.1935∗∗∗-0.6604∗∗∗-0.3192∗∗∗</w:t>
      </w:r>
    </w:p>
    <w:p>
      <w:pPr>
        <w:spacing w:line="400" w:lineRule="exact"/>
      </w:pPr>
      <w:r>
        <w:rPr>
          <w:rFonts w:ascii="Times New Roman" w:hAnsi="Times New Roman" w:eastAsia="仿宋"/>
          <w:b w:val="0"/>
          <w:sz w:val="20"/>
        </w:rPr>
        <w:t>(0.0167)(0.0023)(0.0519)(0.0363)(0.0436)TR × post × Financial difficulties (t-1)-0.0163∗∗∗</w:t>
      </w:r>
    </w:p>
    <w:p>
      <w:pPr>
        <w:spacing w:line="400" w:lineRule="exact"/>
      </w:pPr>
      <w:r>
        <w:rPr>
          <w:rFonts w:ascii="Times New Roman" w:hAnsi="Times New Roman" w:eastAsia="仿宋"/>
          <w:b w:val="0"/>
          <w:sz w:val="20"/>
        </w:rPr>
        <w:t>(0.0059)TR × post × Good credit access (t-3)-0.1199∗∗</w:t>
      </w:r>
    </w:p>
    <w:p>
      <w:pPr>
        <w:spacing w:line="400" w:lineRule="exact"/>
      </w:pPr>
      <w:r>
        <w:rPr>
          <w:rFonts w:ascii="Times New Roman" w:hAnsi="Times New Roman" w:eastAsia="仿宋"/>
          <w:b w:val="0"/>
          <w:sz w:val="20"/>
        </w:rPr>
        <w:t>(0.0544)TR × post × Reserved credit access (t-3)-0.2055∗∗∗</w:t>
      </w:r>
    </w:p>
    <w:p>
      <w:pPr>
        <w:spacing w:line="400" w:lineRule="exact"/>
      </w:pPr>
      <w:r>
        <w:rPr>
          <w:rFonts w:ascii="Times New Roman" w:hAnsi="Times New Roman" w:eastAsia="仿宋"/>
          <w:b w:val="0"/>
          <w:sz w:val="20"/>
        </w:rPr>
        <w:t>(0.0471)TR × post × 50 −249 empl0.0455(0.0690)TR × post × 250 −999 empl0.0104(0.0909)TR × post × &gt; 1000 empl0.0429(0.1329)TR × post × sectoral CBC share0.0126∗∗∗</w:t>
      </w:r>
    </w:p>
    <w:p>
      <w:pPr>
        <w:spacing w:line="400" w:lineRule="exact"/>
      </w:pPr>
      <w:r>
        <w:rPr>
          <w:rFonts w:ascii="Times New Roman" w:hAnsi="Times New Roman" w:eastAsia="仿宋"/>
          <w:b w:val="0"/>
          <w:sz w:val="20"/>
        </w:rPr>
        <w:t>(0.0013)TR × post × Minimum Wage-0.4326∗∗∗</w:t>
      </w:r>
    </w:p>
    <w:p>
      <w:pPr>
        <w:spacing w:line="400" w:lineRule="exact"/>
      </w:pPr>
      <w:r>
        <w:rPr>
          <w:rFonts w:ascii="Times New Roman" w:hAnsi="Times New Roman" w:eastAsia="仿宋"/>
          <w:b w:val="0"/>
          <w:sz w:val="20"/>
        </w:rPr>
        <w:t>(0.1393)Baseline controlsyesyesyesyesyesFirm &amp; Meeting FEyesyesyesyesyesObservations201,70283,884180,863167,49926,927R20.44820.44600.44100.45230.5810Number of Meetings20013620014028</w:t>
      </w:r>
    </w:p>
    <w:p>
      <w:pPr>
        <w:spacing w:line="400" w:lineRule="exact"/>
      </w:pPr>
      <w:r>
        <w:rPr>
          <w:rFonts w:ascii="Times New Roman" w:hAnsi="Times New Roman" w:eastAsia="仿宋"/>
          <w:b w:val="0"/>
          <w:sz w:val="20"/>
        </w:rPr>
        <w:t>Notes: OLS regressions showing the monetary policy effect of treated (=post) vs non-treated firms on pro-duction expectations. Heteroskedasticity robust standard errors in the parenthesis. Baseline category: (1) nofinancial difficulties, (2) normal credit access, (3) small firms (&lt; 50 employees), (4) no collective bargainingcoverage, (5) not affected by minimum wage, TR=Target Rate, CBC=collective bargaining coverage.*p&lt;0.10, ** p&lt;0.05, *** p&lt;0.001.</w:t>
      </w:r>
    </w:p>
    <w:p>
      <w:pPr>
        <w:spacing w:line="400" w:lineRule="exact"/>
      </w:pPr>
      <w:r>
        <w:rPr>
          <w:rFonts w:ascii="Times New Roman" w:hAnsi="Times New Roman" w:eastAsia="仿宋"/>
          <w:b w:val="0"/>
          <w:sz w:val="20"/>
        </w:rPr>
        <w:t>Table D.5: Production expectation - Constraints, labour hoarding and sectors</w:t>
      </w:r>
    </w:p>
    <w:p>
      <w:pPr>
        <w:spacing w:line="400" w:lineRule="exact"/>
      </w:pPr>
      <w:r>
        <w:rPr>
          <w:rFonts w:ascii="Times New Roman" w:hAnsi="Times New Roman" w:eastAsia="仿宋"/>
          <w:b w:val="0"/>
          <w:sz w:val="20"/>
        </w:rPr>
        <w:t>production expectation(1)(2)(3)(4)(5)TR shock × post-0.2691∗∗∗-0.3231∗∗∗-0.3283∗∗∗-0.1716∗∗∗-0.2148∗∗∗</w:t>
      </w:r>
    </w:p>
    <w:p>
      <w:pPr>
        <w:spacing w:line="400" w:lineRule="exact"/>
      </w:pPr>
      <w:r>
        <w:rPr>
          <w:rFonts w:ascii="Times New Roman" w:hAnsi="Times New Roman" w:eastAsia="仿宋"/>
          <w:b w:val="0"/>
          <w:sz w:val="20"/>
        </w:rPr>
        <w:t>(0.0195)(0.0323)(0.0200)(0.0149)(0.0780)TR × post × Services &amp; Trade-0.0065∗∗∗</w:t>
      </w:r>
    </w:p>
    <w:p>
      <w:pPr>
        <w:spacing w:line="400" w:lineRule="exact"/>
      </w:pPr>
      <w:r>
        <w:rPr>
          <w:rFonts w:ascii="Times New Roman" w:hAnsi="Times New Roman" w:eastAsia="仿宋"/>
          <w:b w:val="0"/>
          <w:sz w:val="20"/>
        </w:rPr>
        <w:t>(0.0022)TR × post × Sectoral labour intensity0.0017(0.0019)TR × post × Constraints-0.1069∗∗∗</w:t>
      </w:r>
    </w:p>
    <w:p>
      <w:pPr>
        <w:spacing w:line="400" w:lineRule="exact"/>
      </w:pPr>
      <w:r>
        <w:rPr>
          <w:rFonts w:ascii="Times New Roman" w:hAnsi="Times New Roman" w:eastAsia="仿宋"/>
          <w:b w:val="0"/>
          <w:sz w:val="20"/>
        </w:rPr>
        <w:t>(0.0198)TR × post × Hoarding (t-1)-0.1416∗∗∗</w:t>
      </w:r>
    </w:p>
    <w:p>
      <w:pPr>
        <w:spacing w:line="400" w:lineRule="exact"/>
      </w:pPr>
      <w:r>
        <w:rPr>
          <w:rFonts w:ascii="Times New Roman" w:hAnsi="Times New Roman" w:eastAsia="仿宋"/>
          <w:b w:val="0"/>
          <w:sz w:val="20"/>
        </w:rPr>
        <w:t>(0.0244)TR × post × Bus. state uncertainty (t-1)-0.0051∗∗∗</w:t>
      </w:r>
    </w:p>
    <w:p>
      <w:pPr>
        <w:spacing w:line="400" w:lineRule="exact"/>
      </w:pPr>
      <w:r>
        <w:rPr>
          <w:rFonts w:ascii="Times New Roman" w:hAnsi="Times New Roman" w:eastAsia="仿宋"/>
          <w:b w:val="0"/>
          <w:sz w:val="20"/>
        </w:rPr>
        <w:t>(0.0010)Baseline controlsyesyesyesyesyesFirm &amp; Meeting FEyesyesyesyesyesObservations209,799198,027205,245207,09053,667R20.44810.44600.44830.58000.5158Number of Meetings20020020020060</w:t>
      </w:r>
    </w:p>
    <w:p>
      <w:pPr>
        <w:spacing w:line="400" w:lineRule="exact"/>
      </w:pPr>
      <w:r>
        <w:rPr>
          <w:rFonts w:ascii="Times New Roman" w:hAnsi="Times New Roman" w:eastAsia="仿宋"/>
          <w:b w:val="0"/>
          <w:sz w:val="20"/>
        </w:rPr>
        <w:t>Notes: OLS regressions showing the monetary policy effect of treated (=post) vs non-treated firms on pro-duction expectations. Heteroskedasticity robust standard errors in the parenthesis. Baseline category: (1)industry, (2) low labour intensity, (3) no constraints, (4) no hoarding, (5) low uncertainty, TR=Target Rate.* p&lt;0.10, ** p&lt;0.05, *** p&lt;0.001.</w:t>
      </w:r>
    </w:p>
    <w:p>
      <w:pPr>
        <w:spacing w:line="400" w:lineRule="exact"/>
      </w:pPr>
      <w:r>
        <w:rPr>
          <w:rFonts w:ascii="Times New Roman" w:hAnsi="Times New Roman" w:eastAsia="仿宋"/>
          <w:b w:val="0"/>
          <w:sz w:val="20"/>
        </w:rPr>
        <w:t>Acknowledgements</w:t>
      </w:r>
    </w:p>
    <w:p>
      <w:pPr>
        <w:spacing w:line="400" w:lineRule="exact"/>
      </w:pPr>
      <w:r>
        <w:rPr>
          <w:rFonts w:ascii="Times New Roman" w:hAnsi="Times New Roman" w:eastAsia="仿宋"/>
          <w:b w:val="0"/>
          <w:sz w:val="20"/>
        </w:rPr>
        <w:t>We thank Federic Holm-Hadulla, Michael Lamla, Philip Lane, Paloma Lopez-Garcia, Christofer Schroeder, Ralph Setzer, the participants of an ECB seminar and an anonymous referee for helpful comments, and the staff of the EBDC for their data support. The views expressed in this paper are those of the authors and do not necessarily reflect those of the European Central Bank (ECB).  Martin Groiss University of Duisburg-Essen, Essen, Germany; email: martin.groiss@uni-due.de  David Sondermann European Central Bank, Frankfurt am Main, Germany; email: david.sondermann@ecb.europa.eu</w:t>
      </w:r>
    </w:p>
    <w:p>
      <w:pPr>
        <w:spacing w:line="400" w:lineRule="exact"/>
      </w:pPr>
      <w:r>
        <w:rPr>
          <w:rFonts w:ascii="Times New Roman" w:hAnsi="Times New Roman" w:eastAsia="仿宋"/>
          <w:b w:val="0"/>
          <w:sz w:val="20"/>
        </w:rPr>
        <w:t>© European Central Bank, 2026</w:t>
      </w:r>
    </w:p>
    <w:p>
      <w:pPr>
        <w:spacing w:line="400" w:lineRule="exact"/>
      </w:pPr>
      <w:r>
        <w:rPr>
          <w:rFonts w:ascii="Times New Roman" w:hAnsi="Times New Roman" w:eastAsia="仿宋"/>
          <w:b w:val="0"/>
          <w:sz w:val="20"/>
        </w:rPr>
        <w:t>Postal address 60640 Frankfurt am Main, Germany Telephone +49 69 1344 0 Website www.ecb.europa.eu</w:t>
      </w:r>
    </w:p>
    <w:p>
      <w:pPr>
        <w:spacing w:line="400" w:lineRule="exact"/>
      </w:pPr>
      <w:r>
        <w:rPr>
          <w:rFonts w:ascii="Times New Roman" w:hAnsi="Times New Roman" w:eastAsia="仿宋"/>
          <w:b w:val="0"/>
          <w:sz w:val="20"/>
        </w:rPr>
        <w:t>All rights reserved. Any reproduction, publication and reprint in the form of a different publication, whether printed or produced electronically, in whole or in part, is permitted only with the explicit written authorisation of the ECB or the authors.</w:t>
      </w:r>
    </w:p>
    <w:p>
      <w:pPr>
        <w:spacing w:line="400" w:lineRule="exact"/>
      </w:pPr>
      <w:r>
        <w:rPr>
          <w:rFonts w:ascii="Times New Roman" w:hAnsi="Times New Roman" w:eastAsia="仿宋"/>
          <w:b w:val="0"/>
          <w:sz w:val="20"/>
        </w:rPr>
        <w:t>This paper can be downloaded without charge from www.ecb.europa.eu, from the Social Science Research Network electronic library or from RePEc: Research Papers in Economics. Information on all of the papers published in the ECB Working Paper Series can be found on the ECB’s website.</w:t>
      </w:r>
    </w:p>
    <w:p>
      <w:pPr>
        <w:spacing w:line="400" w:lineRule="exact"/>
      </w:pPr>
      <w:r>
        <w:rPr>
          <w:rFonts w:ascii="Times New Roman" w:hAnsi="Times New Roman" w:eastAsia="仿宋"/>
          <w:b w:val="0"/>
          <w:sz w:val="20"/>
        </w:rPr>
        <w:t>PDF ISBN 978-92-899-8003-6 ISSN 1725-2806 doi:10.2866/9958305 QB-01-26-200-EN-N</w:t>
      </w:r>
    </w:p>
    <w:p>
      <w:pPr>
        <w:spacing w:before="240"/>
      </w:pPr>
      <w:r>
        <w:rPr>
          <w:rFonts w:ascii="Times New Roman" w:hAnsi="Times New Roman" w:eastAsia="仿宋"/>
          <w:b w:val="0"/>
          <w:sz w:val="18"/>
        </w:rPr>
        <w:t>技术说明：本译文由 AI 自动翻译，仅供参考；正文图注已译中文，表格与参考文献保留英文原文。原文见 https://www.ecb.europa.eu//pub/pdf/scpwps/ecb.wp3272~c97e29895d.en.pdf</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