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日本央行缩减日本国债购买对日本国债市场的影响</w:t>
      </w:r>
    </w:p>
    <w:p>
      <w:pPr>
        <w:jc w:val="center"/>
      </w:pPr>
      <w:r>
        <w:rPr>
          <w:rFonts w:ascii="Times New Roman" w:hAnsi="Times New Roman" w:eastAsia="仿宋"/>
          <w:b w:val="0"/>
          <w:sz w:val="22"/>
        </w:rPr>
        <w:t>2026-08-13 · Bank of Japan · 发布于 2026-08-04</w:t>
      </w:r>
    </w:p>
    <w:p>
      <w:pPr>
        <w:spacing w:line="480" w:lineRule="exact"/>
        <w:ind w:firstLine="420"/>
      </w:pPr>
      <w:r>
        <w:rPr>
          <w:rFonts w:ascii="Times New Roman" w:hAnsi="Times New Roman" w:eastAsia="仿宋"/>
          <w:b w:val="0"/>
          <w:sz w:val="24"/>
        </w:rPr>
        <w:t>日本银行评论 2026-E-10</w:t>
      </w:r>
    </w:p>
    <w:p>
      <w:pPr>
        <w:spacing w:line="480" w:lineRule="exact"/>
        <w:ind w:firstLine="420"/>
      </w:pPr>
      <w:r>
        <w:rPr>
          <w:rFonts w:ascii="Times New Roman" w:hAnsi="Times New Roman" w:eastAsia="仿宋"/>
          <w:b w:val="0"/>
          <w:sz w:val="24"/>
        </w:rPr>
        <w:t>日本银行减少日本国债购买对日本国债市场的影响</w:t>
      </w:r>
    </w:p>
    <w:p>
      <w:pPr>
        <w:jc w:val="center"/>
      </w:pPr>
      <w:r>
        <w:drawing>
          <wp:inline xmlns:a="http://schemas.openxmlformats.org/drawingml/2006/main" xmlns:pic="http://schemas.openxmlformats.org/drawingml/2006/picture">
            <wp:extent cx="5040000" cy="1944087"/>
            <wp:docPr id="1" name="Picture 1"/>
            <wp:cNvGraphicFramePr>
              <a:graphicFrameLocks noChangeAspect="1"/>
            </wp:cNvGraphicFramePr>
            <a:graphic>
              <a:graphicData uri="http://schemas.openxmlformats.org/drawingml/2006/picture">
                <pic:pic>
                  <pic:nvPicPr>
                    <pic:cNvPr id="0" name="fig_p00_1.png"/>
                    <pic:cNvPicPr/>
                  </pic:nvPicPr>
                  <pic:blipFill>
                    <a:blip r:embed="rId9"/>
                    <a:stretch>
                      <a:fillRect/>
                    </a:stretch>
                  </pic:blipFill>
                  <pic:spPr>
                    <a:xfrm>
                      <a:off x="0" y="0"/>
                      <a:ext cx="5040000" cy="1944087"/>
                    </a:xfrm>
                    <a:prstGeom prst="rect"/>
                  </pic:spPr>
                </pic:pic>
              </a:graphicData>
            </a:graphic>
          </wp:inline>
        </w:drawing>
      </w:r>
    </w:p>
    <w:p>
      <w:pPr>
        <w:spacing w:after="120"/>
        <w:jc w:val="center"/>
      </w:pPr>
      <w:r>
        <w:rPr>
          <w:rFonts w:ascii="Times New Roman" w:hAnsi="Times New Roman" w:eastAsia="黑体"/>
          <w:b w:val="0"/>
          <w:sz w:val="21"/>
        </w:rPr>
        <w:t>[Chart 1] The Bank's Purchase Amount of JGBs</w:t>
      </w:r>
    </w:p>
    <w:p>
      <w:pPr>
        <w:spacing w:line="480" w:lineRule="exact"/>
        <w:ind w:firstLine="420"/>
      </w:pPr>
      <w:r>
        <w:rPr>
          <w:rFonts w:ascii="Times New Roman" w:hAnsi="Times New Roman" w:eastAsia="仿宋"/>
          <w:b w:val="0"/>
          <w:sz w:val="24"/>
        </w:rPr>
        <w:t>货币事务部 金融市场部</w:t>
      </w:r>
    </w:p>
    <w:p>
      <w:pPr>
        <w:spacing w:line="480" w:lineRule="exact"/>
        <w:ind w:firstLine="420"/>
      </w:pPr>
      <w:r>
        <w:rPr>
          <w:rFonts w:ascii="Times New Roman" w:hAnsi="Times New Roman" w:eastAsia="仿宋"/>
          <w:b w:val="0"/>
          <w:sz w:val="24"/>
        </w:rPr>
        <w:t>年8月</w:t>
      </w:r>
    </w:p>
    <w:p>
      <w:pPr>
        <w:jc w:val="center"/>
      </w:pPr>
      <w:r>
        <w:drawing>
          <wp:inline xmlns:a="http://schemas.openxmlformats.org/drawingml/2006/main" xmlns:pic="http://schemas.openxmlformats.org/drawingml/2006/picture">
            <wp:extent cx="5040000" cy="3679034"/>
            <wp:docPr id="2" name="Picture 2"/>
            <wp:cNvGraphicFramePr>
              <a:graphicFrameLocks noChangeAspect="1"/>
            </wp:cNvGraphicFramePr>
            <a:graphic>
              <a:graphicData uri="http://schemas.openxmlformats.org/drawingml/2006/picture">
                <pic:pic>
                  <pic:nvPicPr>
                    <pic:cNvPr id="0" name="fig_p01_2.png"/>
                    <pic:cNvPicPr/>
                  </pic:nvPicPr>
                  <pic:blipFill>
                    <a:blip r:embed="rId10"/>
                    <a:stretch>
                      <a:fillRect/>
                    </a:stretch>
                  </pic:blipFill>
                  <pic:spPr>
                    <a:xfrm>
                      <a:off x="0" y="0"/>
                      <a:ext cx="5040000" cy="3679034"/>
                    </a:xfrm>
                    <a:prstGeom prst="rect"/>
                  </pic:spPr>
                </pic:pic>
              </a:graphicData>
            </a:graphic>
          </wp:inline>
        </w:drawing>
      </w:r>
    </w:p>
    <w:p>
      <w:pPr>
        <w:spacing w:after="120"/>
        <w:jc w:val="center"/>
      </w:pPr>
      <w:r>
        <w:rPr>
          <w:rFonts w:ascii="Times New Roman" w:hAnsi="Times New Roman" w:eastAsia="黑体"/>
          <w:b w:val="0"/>
          <w:sz w:val="21"/>
        </w:rPr>
        <w:t>[Chart 3] Decomposition of Long-Term Yields</w:t>
      </w:r>
    </w:p>
    <w:p>
      <w:pPr>
        <w:spacing w:line="480" w:lineRule="exact"/>
        <w:ind w:firstLine="420"/>
      </w:pPr>
      <w:r>
        <w:rPr>
          <w:rFonts w:ascii="Times New Roman" w:hAnsi="Times New Roman" w:eastAsia="仿宋"/>
          <w:b w:val="0"/>
          <w:sz w:val="24"/>
        </w:rPr>
        <w:t>进入因素</w:t>
      </w:r>
    </w:p>
    <w:p>
      <w:pPr>
        <w:jc w:val="center"/>
      </w:pPr>
      <w:r>
        <w:drawing>
          <wp:inline xmlns:a="http://schemas.openxmlformats.org/drawingml/2006/main" xmlns:pic="http://schemas.openxmlformats.org/drawingml/2006/picture">
            <wp:extent cx="5040000" cy="2860541"/>
            <wp:docPr id="3" name="Picture 3"/>
            <wp:cNvGraphicFramePr>
              <a:graphicFrameLocks noChangeAspect="1"/>
            </wp:cNvGraphicFramePr>
            <a:graphic>
              <a:graphicData uri="http://schemas.openxmlformats.org/drawingml/2006/picture">
                <pic:pic>
                  <pic:nvPicPr>
                    <pic:cNvPr id="0" name="fig_p01_1.png"/>
                    <pic:cNvPicPr/>
                  </pic:nvPicPr>
                  <pic:blipFill>
                    <a:blip r:embed="rId11"/>
                    <a:stretch>
                      <a:fillRect/>
                    </a:stretch>
                  </pic:blipFill>
                  <pic:spPr>
                    <a:xfrm>
                      <a:off x="0" y="0"/>
                      <a:ext cx="5040000" cy="2860541"/>
                    </a:xfrm>
                    <a:prstGeom prst="rect"/>
                  </pic:spPr>
                </pic:pic>
              </a:graphicData>
            </a:graphic>
          </wp:inline>
        </w:drawing>
      </w:r>
    </w:p>
    <w:p>
      <w:pPr>
        <w:spacing w:after="120"/>
        <w:jc w:val="center"/>
      </w:pPr>
      <w:r>
        <w:rPr>
          <w:rFonts w:ascii="Times New Roman" w:hAnsi="Times New Roman" w:eastAsia="黑体"/>
          <w:b w:val="0"/>
          <w:sz w:val="21"/>
        </w:rPr>
        <w:t>[Chart 2] Long-Term Yields in Japan</w:t>
      </w:r>
    </w:p>
    <w:p>
      <w:pPr>
        <w:spacing w:line="480" w:lineRule="exact"/>
        <w:ind w:firstLine="420"/>
      </w:pPr>
      <w:r>
        <w:rPr>
          <w:rFonts w:ascii="Times New Roman" w:hAnsi="Times New Roman" w:eastAsia="仿宋"/>
          <w:b w:val="0"/>
          <w:sz w:val="24"/>
        </w:rPr>
        <w:t>将长期收益率上升分解为预期短期利率成分上升与期限溢价扩张两个驱动因素后，估算显示，自2024年夏季日本央行开始减少日本国债购买以来至当前，两者的贡献大致相当（图3）。3 其中，预期短期利率的上升部分……</w:t>
      </w:r>
    </w:p>
    <w:p>
      <w:pPr>
        <w:spacing w:line="480" w:lineRule="exact"/>
        <w:ind w:firstLine="420"/>
      </w:pPr>
      <w:r>
        <w:rPr>
          <w:rFonts w:ascii="Times New Roman" w:hAnsi="Times New Roman" w:eastAsia="仿宋"/>
          <w:b w:val="0"/>
          <w:sz w:val="24"/>
        </w:rPr>
        <w:t>近年来，多项实证研究指出，存量效应对利率形成的影响更为持久。4 日本央行2024年12月发布的《从广泛视角审视货币政策》报告中的估算同样表明，自2013年引入量化质化宽松（QQE）以来，央行大规模日本国债购买对利率的下行压力逐步增强——主要受存量效应驱动——且自2016年引入收益率曲线控制（YCC）以来，其日本国债购买对利率的下行压力最高达约一个百分点。5 一个捕捉日本国债购买存量效应的变量（具体而言，即对央行日本国债持有份额的预测）在估算中统计显著。这表明，央行减少日本国债购买导致存量效应减弱，正通过期限溢价扩张影响长期利率（图4(1)）。</w:t>
      </w:r>
    </w:p>
    <w:p>
      <w:pPr>
        <w:jc w:val="center"/>
      </w:pPr>
      <w:r>
        <w:drawing>
          <wp:inline xmlns:a="http://schemas.openxmlformats.org/drawingml/2006/main" xmlns:pic="http://schemas.openxmlformats.org/drawingml/2006/picture">
            <wp:extent cx="5040000" cy="2635539"/>
            <wp:docPr id="4" name="Picture 4"/>
            <wp:cNvGraphicFramePr>
              <a:graphicFrameLocks noChangeAspect="1"/>
            </wp:cNvGraphicFramePr>
            <a:graphic>
              <a:graphicData uri="http://schemas.openxmlformats.org/drawingml/2006/picture">
                <pic:pic>
                  <pic:nvPicPr>
                    <pic:cNvPr id="0" name="fig_p02_1.png"/>
                    <pic:cNvPicPr/>
                  </pic:nvPicPr>
                  <pic:blipFill>
                    <a:blip r:embed="rId12"/>
                    <a:stretch>
                      <a:fillRect/>
                    </a:stretch>
                  </pic:blipFill>
                  <pic:spPr>
                    <a:xfrm>
                      <a:off x="0" y="0"/>
                      <a:ext cx="5040000" cy="2635539"/>
                    </a:xfrm>
                    <a:prstGeom prst="rect"/>
                  </pic:spPr>
                </pic:pic>
              </a:graphicData>
            </a:graphic>
          </wp:inline>
        </w:drawing>
      </w:r>
    </w:p>
    <w:p>
      <w:pPr>
        <w:spacing w:after="120"/>
        <w:jc w:val="center"/>
      </w:pPr>
      <w:r>
        <w:rPr>
          <w:rFonts w:ascii="Times New Roman" w:hAnsi="Times New Roman" w:eastAsia="黑体"/>
          <w:b w:val="0"/>
          <w:sz w:val="21"/>
        </w:rPr>
        <w:t>[Chart 4] Impact of the Bank's Purchase Reductions on Interest Rates</w:t>
      </w:r>
    </w:p>
    <w:p>
      <w:pPr>
        <w:spacing w:line="480" w:lineRule="exact"/>
        <w:ind w:firstLine="420"/>
      </w:pPr>
      <w:r>
        <w:rPr>
          <w:rFonts w:ascii="Times New Roman" w:hAnsi="Times New Roman" w:eastAsia="仿宋"/>
          <w:b w:val="0"/>
          <w:sz w:val="24"/>
        </w:rPr>
        <w:t>然而，就影响程度而言，估算自购买削减开始以来对长期利率上升的贡献，结果显示影响较为温和，约为10个基点（图4(2)左图）。7 有鉴于此，尽管自2024年夏季起日本国债购买逐步减少，但鉴于央行日本国债持有量仍相当可观，存量效应整体来看可能继续对期限溢价施加下行压力。</w:t>
      </w:r>
    </w:p>
    <w:p>
      <w:pPr>
        <w:jc w:val="center"/>
      </w:pPr>
      <w:r>
        <w:drawing>
          <wp:inline xmlns:a="http://schemas.openxmlformats.org/drawingml/2006/main" xmlns:pic="http://schemas.openxmlformats.org/drawingml/2006/picture">
            <wp:extent cx="5040000" cy="4086877"/>
            <wp:docPr id="5" name="Picture 5"/>
            <wp:cNvGraphicFramePr>
              <a:graphicFrameLocks noChangeAspect="1"/>
            </wp:cNvGraphicFramePr>
            <a:graphic>
              <a:graphicData uri="http://schemas.openxmlformats.org/drawingml/2006/picture">
                <pic:pic>
                  <pic:nvPicPr>
                    <pic:cNvPr id="0" name="fig_p03_2.png"/>
                    <pic:cNvPicPr/>
                  </pic:nvPicPr>
                  <pic:blipFill>
                    <a:blip r:embed="rId13"/>
                    <a:stretch>
                      <a:fillRect/>
                    </a:stretch>
                  </pic:blipFill>
                  <pic:spPr>
                    <a:xfrm>
                      <a:off x="0" y="0"/>
                      <a:ext cx="5040000" cy="4086877"/>
                    </a:xfrm>
                    <a:prstGeom prst="rect"/>
                  </pic:spPr>
                </pic:pic>
              </a:graphicData>
            </a:graphic>
          </wp:inline>
        </w:drawing>
      </w:r>
    </w:p>
    <w:p>
      <w:pPr>
        <w:spacing w:after="120"/>
        <w:jc w:val="center"/>
      </w:pPr>
      <w:r>
        <w:rPr>
          <w:rFonts w:ascii="Times New Roman" w:hAnsi="Times New Roman" w:eastAsia="黑体"/>
          <w:b w:val="0"/>
          <w:sz w:val="21"/>
        </w:rPr>
        <w:t>[Chart 5] Share of the Bank's JGB Holdings and</w:t>
      </w:r>
    </w:p>
    <w:p>
      <w:pPr>
        <w:spacing w:line="480" w:lineRule="exact"/>
        <w:ind w:firstLine="420"/>
      </w:pPr>
      <w:r>
        <w:rPr>
          <w:rFonts w:ascii="Times New Roman" w:hAnsi="Times New Roman" w:eastAsia="仿宋"/>
          <w:b w:val="0"/>
          <w:sz w:val="24"/>
        </w:rPr>
        <w:t>交易量</w:t>
      </w:r>
    </w:p>
    <w:p>
      <w:pPr>
        <w:spacing w:line="480" w:lineRule="exact"/>
        <w:ind w:firstLine="420"/>
      </w:pPr>
      <w:r>
        <w:rPr>
          <w:rFonts w:ascii="Times New Roman" w:hAnsi="Times New Roman" w:eastAsia="仿宋"/>
          <w:b w:val="0"/>
          <w:sz w:val="24"/>
        </w:rPr>
        <w:t>银行持有份额与现金日本国债交易量</w:t>
      </w:r>
    </w:p>
    <w:p>
      <w:pPr>
        <w:jc w:val="center"/>
      </w:pPr>
      <w:r>
        <w:drawing>
          <wp:inline xmlns:a="http://schemas.openxmlformats.org/drawingml/2006/main" xmlns:pic="http://schemas.openxmlformats.org/drawingml/2006/picture">
            <wp:extent cx="5040000" cy="3303624"/>
            <wp:docPr id="6" name="Picture 6"/>
            <wp:cNvGraphicFramePr>
              <a:graphicFrameLocks noChangeAspect="1"/>
            </wp:cNvGraphicFramePr>
            <a:graphic>
              <a:graphicData uri="http://schemas.openxmlformats.org/drawingml/2006/picture">
                <pic:pic>
                  <pic:nvPicPr>
                    <pic:cNvPr id="0" name="fig_p03_1.png"/>
                    <pic:cNvPicPr/>
                  </pic:nvPicPr>
                  <pic:blipFill>
                    <a:blip r:embed="rId14"/>
                    <a:stretch>
                      <a:fillRect/>
                    </a:stretch>
                  </pic:blipFill>
                  <pic:spPr>
                    <a:xfrm>
                      <a:off x="0" y="0"/>
                      <a:ext cx="5040000" cy="3303624"/>
                    </a:xfrm>
                    <a:prstGeom prst="rect"/>
                  </pic:spPr>
                </pic:pic>
              </a:graphicData>
            </a:graphic>
          </wp:inline>
        </w:drawing>
      </w:r>
    </w:p>
    <w:p>
      <w:pPr>
        <w:spacing w:after="120"/>
        <w:jc w:val="center"/>
      </w:pPr>
      <w:r>
        <w:rPr>
          <w:rFonts w:ascii="Times New Roman" w:hAnsi="Times New Roman" w:eastAsia="黑体"/>
          <w:b w:val="0"/>
          <w:sz w:val="21"/>
        </w:rPr>
        <w:t>[Chart 6] Shape of the Yield Curve in Japan</w:t>
      </w:r>
    </w:p>
    <w:p>
      <w:pPr>
        <w:spacing w:line="480" w:lineRule="exact"/>
        <w:ind w:firstLine="420"/>
      </w:pPr>
      <w:r>
        <w:rPr>
          <w:rFonts w:ascii="Times New Roman" w:hAnsi="Times New Roman" w:eastAsia="仿宋"/>
          <w:b w:val="0"/>
          <w:sz w:val="24"/>
        </w:rPr>
        <w:t>在具体估算时，考虑到这种不对称性，我们在前述回归模型中加入了捕捉流量效应的变量：模型I中为日本央行国债购买量占国债发行量的比例，模型II中为日本央行国债持有份额的环比变化。随后，我们针对日本央行国债持有余额增加和减少的两个阶段分别设置了虚拟变量。9 结果表明，在国债持有量增加的阶段，购买量的增加并未对期限溢价产生影响——流量效应在统计上不显著。然而，在国债持有量减少的阶段，购买量的减少推高了期限溢价——流量效应在统计上显著（见前述图表4(1)）。</w:t>
      </w:r>
    </w:p>
    <w:p>
      <w:pPr>
        <w:spacing w:line="480" w:lineRule="exact"/>
        <w:ind w:firstLine="420"/>
      </w:pPr>
      <w:r>
        <w:rPr>
          <w:rFonts w:ascii="Times New Roman" w:hAnsi="Times New Roman" w:eastAsia="仿宋"/>
          <w:b w:val="0"/>
          <w:sz w:val="24"/>
        </w:rPr>
        <w:t>即便如此，将这一流量效应与前述存量效应一并考虑，自减持开始以来对长期利率上升的贡献约为25个基点（见前述图表4(2)右图）。</w:t>
      </w:r>
    </w:p>
    <w:p>
      <w:pPr>
        <w:jc w:val="center"/>
      </w:pPr>
      <w:r>
        <w:drawing>
          <wp:inline xmlns:a="http://schemas.openxmlformats.org/drawingml/2006/main" xmlns:pic="http://schemas.openxmlformats.org/drawingml/2006/picture">
            <wp:extent cx="5040000" cy="3630905"/>
            <wp:docPr id="7" name="Picture 7"/>
            <wp:cNvGraphicFramePr>
              <a:graphicFrameLocks noChangeAspect="1"/>
            </wp:cNvGraphicFramePr>
            <a:graphic>
              <a:graphicData uri="http://schemas.openxmlformats.org/drawingml/2006/picture">
                <pic:pic>
                  <pic:nvPicPr>
                    <pic:cNvPr id="0" name="fig_p04_1.png"/>
                    <pic:cNvPicPr/>
                  </pic:nvPicPr>
                  <pic:blipFill>
                    <a:blip r:embed="rId15"/>
                    <a:stretch>
                      <a:fillRect/>
                    </a:stretch>
                  </pic:blipFill>
                  <pic:spPr>
                    <a:xfrm>
                      <a:off x="0" y="0"/>
                      <a:ext cx="5040000" cy="3630905"/>
                    </a:xfrm>
                    <a:prstGeom prst="rect"/>
                  </pic:spPr>
                </pic:pic>
              </a:graphicData>
            </a:graphic>
          </wp:inline>
        </w:drawing>
      </w:r>
    </w:p>
    <w:p>
      <w:pPr>
        <w:spacing w:after="120"/>
        <w:jc w:val="center"/>
      </w:pPr>
      <w:r>
        <w:rPr>
          <w:rFonts w:ascii="Times New Roman" w:hAnsi="Times New Roman" w:eastAsia="黑体"/>
          <w:b w:val="0"/>
          <w:sz w:val="21"/>
        </w:rPr>
        <w:t>[Chart 8] JGB Holdings by Investor Type</w:t>
      </w:r>
    </w:p>
    <w:p>
      <w:pPr>
        <w:jc w:val="center"/>
      </w:pPr>
      <w:r>
        <w:drawing>
          <wp:inline xmlns:a="http://schemas.openxmlformats.org/drawingml/2006/main" xmlns:pic="http://schemas.openxmlformats.org/drawingml/2006/picture">
            <wp:extent cx="5040000" cy="1884629"/>
            <wp:docPr id="8" name="Picture 8"/>
            <wp:cNvGraphicFramePr>
              <a:graphicFrameLocks noChangeAspect="1"/>
            </wp:cNvGraphicFramePr>
            <a:graphic>
              <a:graphicData uri="http://schemas.openxmlformats.org/drawingml/2006/picture">
                <pic:pic>
                  <pic:nvPicPr>
                    <pic:cNvPr id="0" name="fig_p04_2.png"/>
                    <pic:cNvPicPr/>
                  </pic:nvPicPr>
                  <pic:blipFill>
                    <a:blip r:embed="rId16"/>
                    <a:stretch>
                      <a:fillRect/>
                    </a:stretch>
                  </pic:blipFill>
                  <pic:spPr>
                    <a:xfrm>
                      <a:off x="0" y="0"/>
                      <a:ext cx="5040000" cy="1884629"/>
                    </a:xfrm>
                    <a:prstGeom prst="rect"/>
                  </pic:spPr>
                </pic:pic>
              </a:graphicData>
            </a:graphic>
          </wp:inline>
        </w:drawing>
      </w:r>
    </w:p>
    <w:p>
      <w:pPr>
        <w:spacing w:after="120"/>
        <w:jc w:val="center"/>
      </w:pPr>
      <w:r>
        <w:rPr>
          <w:rFonts w:ascii="Times New Roman" w:hAnsi="Times New Roman" w:eastAsia="黑体"/>
          <w:b w:val="0"/>
          <w:sz w:val="21"/>
        </w:rPr>
        <w:t>[Chart 7] Sensitivity of Bond Futures Prices</w:t>
      </w:r>
    </w:p>
    <w:p>
      <w:pPr>
        <w:spacing w:line="480" w:lineRule="exact"/>
        <w:ind w:firstLine="420"/>
      </w:pPr>
      <w:r>
        <w:rPr>
          <w:rFonts w:ascii="Times New Roman" w:hAnsi="Times New Roman" w:eastAsia="仿宋"/>
          <w:b w:val="0"/>
          <w:sz w:val="24"/>
        </w:rPr>
        <w:t>日本国债（JGB）投资者持有趋势</w:t>
      </w:r>
    </w:p>
    <w:p>
      <w:pPr>
        <w:spacing w:line="480" w:lineRule="exact"/>
        <w:ind w:firstLine="420"/>
      </w:pPr>
      <w:r>
        <w:rPr>
          <w:rFonts w:ascii="Times New Roman" w:hAnsi="Times New Roman" w:eastAsia="仿宋"/>
          <w:b w:val="0"/>
          <w:sz w:val="24"/>
        </w:rPr>
        <w:t>日本国债市场运行状况持续改善，但随着日本央行减少购债规模，市场参与者持有的日本国债数量将相应增加，市场稳定性问题值得关注。基于此，下文将考察过去几年日本国债投资者持有格局的变化。</w:t>
      </w:r>
    </w:p>
    <w:p>
      <w:pPr>
        <w:spacing w:line="480" w:lineRule="exact"/>
        <w:ind w:firstLine="420"/>
      </w:pPr>
      <w:r>
        <w:rPr>
          <w:rFonts w:ascii="Times New Roman" w:hAnsi="Times New Roman" w:eastAsia="仿宋"/>
          <w:b w:val="0"/>
          <w:sz w:val="24"/>
        </w:rPr>
        <w:t>在日本央行实施大规模日本国债购买期间，养老基金的日本国债持有量基本保持平稳，约为100万亿日元，但近期有所上升。总体而言，养老基金在管理资产时，从风险管理角度出发，维持着相对稳定的资产配置结构。上一财年，在股价大幅上涨的背景下，养老基金似乎加大了政府债券的购买力度，以进行所谓的再平衡操作——即卖出在投资组合中占比上升的股票，买入占比下降的日本国债。与此同时，人寿保险公司在2022财年至2024财年期间大幅增持超长期债券，以满足基于经济价值的偿付能力比率监管要求，16 但这些举措已基本完成。自上一财年以来，人寿保险公司对增持超长期债券持谨慎态度，其日本国债持有余额已较日本央行开始缩减购债前减少5万亿日元。</w:t>
      </w:r>
    </w:p>
    <w:p>
      <w:pPr>
        <w:spacing w:line="480" w:lineRule="exact"/>
        <w:ind w:firstLine="420"/>
      </w:pPr>
      <w:r>
        <w:rPr>
          <w:rFonts w:ascii="Times New Roman" w:hAnsi="Times New Roman" w:eastAsia="仿宋"/>
          <w:b w:val="0"/>
          <w:sz w:val="24"/>
        </w:rPr>
        <w:t>储蓄向投资转化的势头增强，日本国债作为安全且能产生收益的资产日益受到青睐，家庭部门最终可能成为这些工具的主要持有者。近期，设立包含日本国债的新投资信托的势头日益增强。政府也表示有意推进对面向零售投资者的日本国债产品特性的审查，今年《经济财政运营与改革基本方针》中提出了通过提升日本国债对零售投资者的吸引力来扩大国内投资者基础的计划。</w:t>
      </w:r>
    </w:p>
    <w:p>
      <w:pPr>
        <w:jc w:val="center"/>
      </w:pPr>
      <w:r>
        <w:drawing>
          <wp:inline xmlns:a="http://schemas.openxmlformats.org/drawingml/2006/main" xmlns:pic="http://schemas.openxmlformats.org/drawingml/2006/picture">
            <wp:extent cx="5040000" cy="3617752"/>
            <wp:docPr id="9" name="Picture 9"/>
            <wp:cNvGraphicFramePr>
              <a:graphicFrameLocks noChangeAspect="1"/>
            </wp:cNvGraphicFramePr>
            <a:graphic>
              <a:graphicData uri="http://schemas.openxmlformats.org/drawingml/2006/picture">
                <pic:pic>
                  <pic:nvPicPr>
                    <pic:cNvPr id="0" name="fig_p06_1.png"/>
                    <pic:cNvPicPr/>
                  </pic:nvPicPr>
                  <pic:blipFill>
                    <a:blip r:embed="rId17"/>
                    <a:stretch>
                      <a:fillRect/>
                    </a:stretch>
                  </pic:blipFill>
                  <pic:spPr>
                    <a:xfrm>
                      <a:off x="0" y="0"/>
                      <a:ext cx="5040000" cy="3617752"/>
                    </a:xfrm>
                    <a:prstGeom prst="rect"/>
                  </pic:spPr>
                </pic:pic>
              </a:graphicData>
            </a:graphic>
          </wp:inline>
        </w:drawing>
      </w:r>
    </w:p>
    <w:p>
      <w:pPr>
        <w:spacing w:after="120"/>
        <w:jc w:val="center"/>
      </w:pPr>
      <w:r>
        <w:rPr>
          <w:rFonts w:ascii="Times New Roman" w:hAnsi="Times New Roman" w:eastAsia="黑体"/>
          <w:b w:val="0"/>
          <w:sz w:val="21"/>
        </w:rPr>
        <w:t>[Chart 9] The Bank's JGB Holdings</w:t>
      </w:r>
    </w:p>
    <w:p>
      <w:pPr>
        <w:spacing w:line="480" w:lineRule="exact"/>
        <w:ind w:firstLine="420"/>
      </w:pPr>
      <w:r>
        <w:rPr>
          <w:rFonts w:ascii="Times New Roman" w:hAnsi="Times New Roman" w:eastAsia="仿宋"/>
          <w:b w:val="0"/>
          <w:sz w:val="24"/>
        </w:rPr>
        <w:t>日本银行将继续密切关注日本投资者调整投资组合的进展，以及由此产生的日本国债市场走势及运行状况。尽管日本银行不会对日本国债直接购买计划进行中期评估，但计划利用"债券市场小组"会议等场合，与市场参与者就其日本国债购买操作及其他相关事宜保持密切沟通。</w:t>
      </w:r>
    </w:p>
    <w:p>
      <w:pPr>
        <w:spacing w:line="480" w:lineRule="exact"/>
        <w:ind w:firstLine="420"/>
      </w:pPr>
      <w:r>
        <w:rPr>
          <w:rFonts w:ascii="Times New Roman" w:hAnsi="Times New Roman" w:eastAsia="仿宋"/>
          <w:b w:val="0"/>
          <w:sz w:val="24"/>
        </w:rPr>
        <w:t>关于减少购买对长期利率形成的影响，购买行为对利率形成的影响程度，假设市场参与者对未来两年内日本银行国债持有量进行预测。需注意，若市场参与者对日本银行国债持有量的预测期限更长，存量效应减弱的幅度可能会有所增大。</w:t>
      </w:r>
    </w:p>
    <w:p>
      <w:pPr>
        <w:spacing w:line="480" w:lineRule="exact"/>
        <w:ind w:firstLine="420"/>
      </w:pPr>
      <w:r>
        <w:rPr>
          <w:rFonts w:ascii="Times New Roman" w:hAnsi="Times New Roman" w:eastAsia="仿宋"/>
          <w:b w:val="0"/>
          <w:sz w:val="24"/>
        </w:rPr>
        <w:t>从广泛视角审视货币政策，若市场参与者预测日本银行国债持有量至未来两年，则上述影响评估适用。需指出，若预测期限延长，存量效应下降的程度可能更为显著。</w:t>
      </w:r>
    </w:p>
    <w:p>
      <w:pPr>
        <w:spacing w:line="480" w:lineRule="exact"/>
        <w:ind w:firstLine="420"/>
      </w:pPr>
      <w:r>
        <w:rPr>
          <w:rFonts w:ascii="Times New Roman" w:hAnsi="Times New Roman" w:eastAsia="仿宋"/>
          <w:b w:val="0"/>
          <w:sz w:val="24"/>
        </w:rPr>
        <w:t>根据2025年6月减少日本国债购买的新计划，日本银行决定，为平衡改善市场功能与支持日本国债市场稳定这两项需求，从2026年4月起，将每日历季度减少日本国债购买的速度从约4000亿日元放缓至约2000亿日元。</w:t>
      </w:r>
    </w:p>
    <w:p>
      <w:pPr>
        <w:spacing w:line="480" w:lineRule="exact"/>
        <w:ind w:firstLine="420"/>
      </w:pPr>
      <w:r>
        <w:rPr>
          <w:rFonts w:ascii="Times New Roman" w:hAnsi="Times New Roman" w:eastAsia="仿宋"/>
          <w:b w:val="0"/>
          <w:sz w:val="24"/>
        </w:rPr>
        <w:t>从利率风险规模看，当前水平与2010年代初期相当。根据银行账簿利率风险（IRRBB）监管规定，银行持有政府债券及其他证券所产生的利率风险，须控制在其资本的一定比例以内。目前该规定似乎并未显著限制银行对政府债券的持有，但需注意，若未来银行扩大政府债券持有规模，其相对于监管要求的持有能力可能收缩。</w:t>
      </w:r>
    </w:p>
    <w:p>
      <w:pPr>
        <w:spacing w:line="480" w:lineRule="exact"/>
        <w:ind w:firstLine="420"/>
      </w:pPr>
      <w:r>
        <w:rPr>
          <w:rFonts w:ascii="Times New Roman" w:hAnsi="Times New Roman" w:eastAsia="仿宋"/>
          <w:b w:val="0"/>
          <w:sz w:val="24"/>
        </w:rPr>
        <w:t>许多寿险公司预计2025财年将引入基于经济价值的偿付能力监管框架，为此通过缩短资产负债久期缺口来提升财务稳健性，并积极增持超长期债券，以匹配保险合同形式的长期负债。</w:t>
      </w:r>
    </w:p>
    <w:p>
      <w:pPr>
        <w:spacing w:before="240"/>
      </w:pPr>
      <w:r>
        <w:rPr>
          <w:rFonts w:ascii="Times New Roman" w:hAnsi="Times New Roman" w:eastAsia="仿宋"/>
          <w:b w:val="0"/>
          <w:sz w:val="18"/>
        </w:rPr>
        <w:t>技术说明：本译文由 AI 自动翻译，仅供参考；正文图注已译中文，表格与参考文献保留英文原文。原文见 https://www.boj.or.jp/en/research/wps_rev/rev_2026/data/rev26e10.pdf</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