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2"/>
        </w:rPr>
        <w:t>日本央行缩减日本国债购买对日本国债市场的影响</w:t>
      </w:r>
    </w:p>
    <w:p>
      <w:pPr>
        <w:jc w:val="center"/>
      </w:pPr>
      <w:r>
        <w:rPr>
          <w:rFonts w:ascii="Times New Roman" w:hAnsi="Times New Roman" w:eastAsia="仿宋"/>
          <w:b w:val="0"/>
          <w:sz w:val="22"/>
        </w:rPr>
        <w:t>2026-08-13 · Bank of Japan · 发布于 2026-08-04</w:t>
      </w:r>
    </w:p>
    <w:p>
      <w:pPr>
        <w:spacing w:line="480" w:lineRule="exact"/>
        <w:ind w:firstLine="420"/>
      </w:pPr>
      <w:r>
        <w:rPr>
          <w:rFonts w:ascii="Times New Roman" w:hAnsi="Times New Roman" w:eastAsia="仿宋"/>
          <w:b w:val="0"/>
          <w:sz w:val="24"/>
        </w:rPr>
        <w:t>日本银行评论 2026-E-10</w:t>
      </w:r>
    </w:p>
    <w:p>
      <w:pPr>
        <w:spacing w:line="480" w:lineRule="exact"/>
        <w:ind w:firstLine="420"/>
      </w:pPr>
      <w:r>
        <w:rPr>
          <w:rFonts w:ascii="Times New Roman" w:hAnsi="Times New Roman" w:eastAsia="仿宋"/>
          <w:b w:val="0"/>
          <w:sz w:val="24"/>
        </w:rPr>
        <w:t>[图1] 日本银行国债购买金额</w:t>
      </w:r>
    </w:p>
    <w:p>
      <w:pPr>
        <w:spacing w:line="480" w:lineRule="exact"/>
        <w:ind w:firstLine="420"/>
      </w:pPr>
      <w:r>
        <w:rPr>
          <w:rFonts w:ascii="Times New Roman" w:hAnsi="Times New Roman" w:eastAsia="仿宋"/>
          <w:b w:val="0"/>
          <w:sz w:val="24"/>
        </w:rPr>
        <w:t>央行购债缩减对利率形成的影响</w:t>
      </w:r>
    </w:p>
    <w:p>
      <w:pPr>
        <w:spacing w:line="480" w:lineRule="exact"/>
        <w:ind w:firstLine="420"/>
      </w:pPr>
      <w:r>
        <w:rPr>
          <w:rFonts w:ascii="Times New Roman" w:hAnsi="Times New Roman" w:eastAsia="仿宋"/>
          <w:b w:val="0"/>
          <w:sz w:val="24"/>
        </w:rPr>
        <w:t>好的，请提供需要润色的中文译文内容，我将按照您的要求进行处理。</w:t>
      </w:r>
    </w:p>
    <w:p>
      <w:pPr>
        <w:spacing w:line="480" w:lineRule="exact"/>
        <w:ind w:firstLine="420"/>
      </w:pPr>
      <w:r>
        <w:rPr>
          <w:rFonts w:ascii="Times New Roman" w:hAnsi="Times New Roman" w:eastAsia="仿宋"/>
          <w:b w:val="0"/>
          <w:sz w:val="24"/>
        </w:rPr>
        <w:t>关于购债缩减影响的估算</w:t>
      </w:r>
    </w:p>
    <w:p>
      <w:pPr>
        <w:spacing w:line="480" w:lineRule="exact"/>
        <w:ind w:firstLine="420"/>
      </w:pPr>
      <w:r>
        <w:rPr>
          <w:rFonts w:ascii="Times New Roman" w:hAnsi="Times New Roman" w:eastAsia="仿宋"/>
          <w:b w:val="0"/>
          <w:sz w:val="24"/>
        </w:rPr>
        <w:t>基于上述考虑，下一节将定量评估日本银行减少日本国债购买对近期长期利率上行的贡献程度。</w:t>
      </w:r>
    </w:p>
    <w:p>
      <w:pPr>
        <w:spacing w:line="480" w:lineRule="exact"/>
        <w:ind w:firstLine="420"/>
      </w:pPr>
      <w:r>
        <w:rPr>
          <w:rFonts w:ascii="Times New Roman" w:hAnsi="Times New Roman" w:eastAsia="仿宋"/>
          <w:b w:val="0"/>
          <w:sz w:val="24"/>
        </w:rPr>
        <w:t>（IV）期限溢价（其他因素）</w:t>
      </w:r>
    </w:p>
    <w:p>
      <w:pPr>
        <w:spacing w:line="480" w:lineRule="exact"/>
        <w:ind w:firstLine="420"/>
      </w:pPr>
      <w:r>
        <w:rPr>
          <w:rFonts w:ascii="Times New Roman" w:hAnsi="Times New Roman" w:eastAsia="仿宋"/>
          <w:b w:val="0"/>
          <w:sz w:val="24"/>
        </w:rPr>
        <w:t>万亿日元/月　1.2万亿日元/月　万亿日元</w:t>
      </w:r>
    </w:p>
    <w:p>
      <w:pPr>
        <w:spacing w:line="480" w:lineRule="exact"/>
        <w:ind w:firstLine="420"/>
      </w:pPr>
      <w:r>
        <w:rPr>
          <w:rFonts w:ascii="Times New Roman" w:hAnsi="Times New Roman" w:eastAsia="仿宋"/>
          <w:b w:val="0"/>
          <w:sz w:val="24"/>
        </w:rPr>
        <w:t>[图8] 按投资者类型划分的日本国债持有量（万亿日元）</w:t>
      </w:r>
    </w:p>
    <w:p>
      <w:pPr>
        <w:spacing w:line="480" w:lineRule="exact"/>
        <w:ind w:firstLine="420"/>
      </w:pPr>
      <w:r>
        <w:rPr>
          <w:rFonts w:ascii="Times New Roman" w:hAnsi="Times New Roman" w:eastAsia="仿宋"/>
          <w:b w:val="0"/>
          <w:sz w:val="24"/>
        </w:rPr>
        <w:t>资料来源：QUICK；彭博。</w:t>
      </w:r>
    </w:p>
    <w:p>
      <w:pPr>
        <w:spacing w:line="480" w:lineRule="exact"/>
        <w:ind w:firstLine="420"/>
      </w:pPr>
      <w:r>
        <w:rPr>
          <w:rFonts w:ascii="Times New Roman" w:hAnsi="Times New Roman" w:eastAsia="仿宋"/>
          <w:b w:val="0"/>
          <w:sz w:val="24"/>
        </w:rPr>
        <w:t>结论</w:t>
      </w:r>
    </w:p>
    <w:p>
      <w:pPr>
        <w:spacing w:line="480" w:lineRule="exact"/>
        <w:ind w:firstLine="420"/>
      </w:pPr>
      <w:r>
        <w:rPr>
          <w:rFonts w:ascii="Times New Roman" w:hAnsi="Times New Roman" w:eastAsia="仿宋"/>
          <w:b w:val="0"/>
          <w:sz w:val="24"/>
        </w:rPr>
        <w:t>与此同时，尽管规模不及其他投资者，家庭持有的日本国债（JGB）近期有所增加。目前，面向零售投资者的日本国债有三种类型：固定利率3年期和5年期债券，以及浮动利率10年期债券。近期利率上升带动面向零售投资者的固定利率日本国债销售大幅增长。因此，与日本央行开始缩减购债之前相比，家庭持有的日本国债增加了6万亿日元。目前，日本国债约占家庭金融资产总额（约2400万亿日元）的1%，而家庭持有的份额占已发行日本国债余额的不到2%。然而，展望未来，如果从</w:t>
      </w:r>
    </w:p>
    <w:p>
      <w:pPr>
        <w:spacing w:line="480" w:lineRule="exact"/>
        <w:ind w:firstLine="420"/>
      </w:pPr>
      <w:r>
        <w:rPr>
          <w:rFonts w:ascii="Times New Roman" w:hAnsi="Times New Roman" w:eastAsia="仿宋"/>
          <w:b w:val="0"/>
          <w:sz w:val="24"/>
        </w:rPr>
        <w:t>从更广阔的视角审视货币政策，假设市场参与者对未来两年内日本央行持有的日本国债规模进行预测。需指出的是，若市场参与者对日本央行国债持有量的预测期限更长，则存量效应减弱的程度可能更为显著。</w:t>
      </w:r>
    </w:p>
    <w:p>
      <w:pPr>
        <w:spacing w:line="480" w:lineRule="exact"/>
        <w:ind w:firstLine="420"/>
      </w:pPr>
      <w:r>
        <w:rPr>
          <w:rFonts w:ascii="Times New Roman" w:hAnsi="Times New Roman" w:eastAsia="仿宋"/>
          <w:b w:val="0"/>
          <w:sz w:val="24"/>
        </w:rPr>
        <w:t>关于长期收益率因子分解中所用期限结构模型的详细说明，请参见以下参考文献：Imakubo, K. 和 Nakajima, J. (2015)，"Estimating Inflation Risk Premia from Nominal and Real Yield Curves Using a Shadow-Rate Model," Bank of Japan Working Paper Series, No. 15-E-1。</w:t>
      </w:r>
    </w:p>
    <w:p>
      <w:pPr>
        <w:spacing w:line="480" w:lineRule="exact"/>
        <w:ind w:firstLine="420"/>
      </w:pPr>
      <w:r>
        <w:rPr>
          <w:rFonts w:ascii="Times New Roman" w:hAnsi="Times New Roman" w:eastAsia="仿宋"/>
          <w:b w:val="0"/>
          <w:sz w:val="24"/>
        </w:rPr>
        <w:t>临时且次要的来源。在SLF机制下减少日本国债回购金额，是一项允许金融机构在无法返还从央行借入的日本国债时以现金结算的措施。2025年6月，日本央行除其他事项外，决定扩大该措施适用的日本国债品种，以缓解非新发国债（央行持有比例显著较高）供需紧张的状况。详情请参见以下公告：日本银行金融市场局（2025），《关于证券借贷便利下央行回购金额减少处理方式的变更》（2025年6月17日）。</w:t>
      </w:r>
    </w:p>
    <w:p>
      <w:pPr>
        <w:spacing w:line="480" w:lineRule="exact"/>
        <w:ind w:firstLine="420"/>
      </w:pPr>
      <w:r>
        <w:rPr>
          <w:rFonts w:ascii="Times New Roman" w:hAnsi="Times New Roman" w:eastAsia="仿宋"/>
          <w:b w:val="0"/>
          <w:sz w:val="24"/>
        </w:rPr>
        <w:t>截至2026年6月末，日本央行资产负债表的规模约为名义GDP的95%，显著超过美国和欧洲的中央银行。然而，预计其将以与这些央行相当的速度稳步下降，例如，日本国债的月度赎回金额持续超过日本央行的月度购买金额。</w:t>
      </w:r>
    </w:p>
    <w:p>
      <w:pPr>
        <w:spacing w:before="240"/>
      </w:pPr>
      <w:r>
        <w:rPr>
          <w:rFonts w:ascii="Times New Roman" w:hAnsi="Times New Roman" w:eastAsia="仿宋"/>
          <w:b w:val="0"/>
          <w:sz w:val="18"/>
        </w:rPr>
        <w:t>技术说明：本译文由 AI 自动翻译，仅供参考；正文图注已译中文，表格与参考文献保留英文原文。原文见 https://www.boj.or.jp/en/research/wps_rev/rev_2026/rev26e10.htm</w:t>
      </w:r>
    </w:p>
    <w:sectPr w:rsidR="00FC693F" w:rsidRPr="0006063C" w:rsidSect="00034616">
      <w:pgSz w:w="12240" w:h="15840"/>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