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jc w:val="center"/>
      </w:pPr>
      <w:r>
        <w:rPr>
          <w:rFonts w:ascii="Times New Roman" w:hAnsi="Times New Roman" w:eastAsia="黑体"/>
          <w:b/>
          <w:sz w:val="32"/>
        </w:rPr>
        <w:t>国际货币政策文献每日简报</w:t>
      </w:r>
    </w:p>
    <w:p>
      <w:pPr>
        <w:spacing w:line="480" w:lineRule="exact" w:before="20" w:after="20"/>
      </w:pPr>
      <w:r>
        <w:rPr>
          <w:rFonts w:ascii="Times New Roman" w:hAnsi="Times New Roman" w:eastAsia="仿宋"/>
          <w:b w:val="0"/>
          <w:sz w:val="22"/>
        </w:rPr>
        <w:t>编制日期：2026年07月26日    覆盖机构：5家    文献总数：20篇</w:t>
      </w:r>
    </w:p>
    <w:p>
      <w:pPr>
        <w:spacing w:line="480" w:lineRule="exact" w:before="20" w:after="20"/>
      </w:pPr>
      <w:r>
        <w:rPr>
          <w:rFonts w:ascii="Times New Roman" w:hAnsi="Times New Roman" w:eastAsia="仿宋"/>
          <w:b w:val="0"/>
          <w:sz w:val="12"/>
        </w:rPr>
      </w:r>
    </w:p>
    <w:p>
      <w:pPr>
        <w:spacing w:before="160" w:after="80"/>
      </w:pPr>
      <w:r>
        <w:rPr>
          <w:rFonts w:ascii="Times New Roman" w:hAnsi="Times New Roman" w:eastAsia="黑体"/>
          <w:b/>
          <w:sz w:val="28"/>
        </w:rPr>
        <w:t>BIS Research Hub（2篇）</w:t>
      </w:r>
    </w:p>
    <w:p>
      <w:pPr>
        <w:spacing w:line="440" w:lineRule="exact" w:before="60" w:after="20"/>
      </w:pPr>
      <w:r>
        <w:rPr>
          <w:rFonts w:ascii="Times New Roman" w:hAnsi="Times New Roman" w:eastAsia="仿宋"/>
          <w:b/>
          <w:sz w:val="24"/>
        </w:rPr>
        <w:t>1. 条件预测密度正确设定的简单检验</w:t>
      </w:r>
      <w:hyperlink r:id="rId9">
        <w:r>
          <w:rPr>
            <w:color w:val="2563EB"/>
            <w:u w:val="single"/>
          </w:rPr>
          <w:t xml:space="preserve"> [原文]</w:t>
        </w:r>
      </w:hyperlink>
    </w:p>
    <w:p>
      <w:pPr>
        <w:spacing w:line="480" w:lineRule="exact" w:before="20" w:after="20"/>
      </w:pPr>
      <w:r>
        <w:rPr>
          <w:rFonts w:ascii="Times New Roman" w:hAnsi="Times New Roman" w:eastAsia="仿宋"/>
          <w:b w:val="0"/>
          <w:sz w:val="22"/>
        </w:rPr>
        <w:t xml:space="preserve">    Simple Tests for the Correct Specification of Conditional Predictive Densities</w:t>
      </w:r>
    </w:p>
    <w:p>
      <w:pPr>
        <w:spacing w:line="440" w:lineRule="exact" w:before="60" w:after="20"/>
      </w:pPr>
      <w:r>
        <w:rPr>
          <w:rFonts w:ascii="Times New Roman" w:hAnsi="Times New Roman" w:eastAsia="仿宋"/>
          <w:b/>
          <w:sz w:val="24"/>
        </w:rPr>
        <w:t>2. 基于规模、标签和经济约束的推断</w:t>
      </w:r>
      <w:hyperlink r:id="rId10">
        <w:r>
          <w:rPr>
            <w:color w:val="2563EB"/>
            <w:u w:val="single"/>
          </w:rPr>
          <w:t xml:space="preserve"> [原文]</w:t>
        </w:r>
      </w:hyperlink>
    </w:p>
    <w:p>
      <w:pPr>
        <w:spacing w:line="480" w:lineRule="exact" w:before="20" w:after="20"/>
      </w:pPr>
      <w:r>
        <w:rPr>
          <w:rFonts w:ascii="Times New Roman" w:hAnsi="Times New Roman" w:eastAsia="仿宋"/>
          <w:b w:val="0"/>
          <w:sz w:val="22"/>
        </w:rPr>
        <w:t xml:space="preserve">    Inference Based on Scale, Label, and Economic Restrictions · 2026-07-22</w:t>
      </w:r>
    </w:p>
    <w:p>
      <w:pPr>
        <w:spacing w:before="160" w:after="80"/>
      </w:pPr>
      <w:r>
        <w:rPr>
          <w:rFonts w:ascii="Times New Roman" w:hAnsi="Times New Roman" w:eastAsia="黑体"/>
          <w:b/>
          <w:sz w:val="28"/>
        </w:rPr>
        <w:t>Bank of Canada（5篇）</w:t>
      </w:r>
    </w:p>
    <w:p>
      <w:pPr>
        <w:spacing w:line="440" w:lineRule="exact" w:before="60" w:after="20"/>
      </w:pPr>
      <w:r>
        <w:rPr>
          <w:rFonts w:ascii="Times New Roman" w:hAnsi="Times New Roman" w:eastAsia="仿宋"/>
          <w:b/>
          <w:sz w:val="24"/>
        </w:rPr>
        <w:t>3. 从压力到策略：银行如何平衡天平</w:t>
      </w:r>
      <w:hyperlink r:id="rId11">
        <w:r>
          <w:rPr>
            <w:color w:val="2563EB"/>
            <w:u w:val="single"/>
          </w:rPr>
          <w:t xml:space="preserve"> [原文]</w:t>
        </w:r>
      </w:hyperlink>
    </w:p>
    <w:p>
      <w:pPr>
        <w:spacing w:line="480" w:lineRule="exact" w:before="20" w:after="20"/>
      </w:pPr>
      <w:r>
        <w:rPr>
          <w:rFonts w:ascii="Times New Roman" w:hAnsi="Times New Roman" w:eastAsia="仿宋"/>
          <w:b w:val="0"/>
          <w:sz w:val="22"/>
        </w:rPr>
        <w:t xml:space="preserve">    From Stress to Strategy: How Banks Balance the Scales · 2026-07-24</w:t>
      </w:r>
    </w:p>
    <w:p>
      <w:pPr>
        <w:spacing w:line="440" w:lineRule="exact" w:before="60" w:after="20"/>
      </w:pPr>
      <w:r>
        <w:rPr>
          <w:rFonts w:ascii="Times New Roman" w:hAnsi="Times New Roman" w:eastAsia="仿宋"/>
          <w:b/>
          <w:sz w:val="24"/>
        </w:rPr>
        <w:t>4. 时间不一致的管理者激励与资本形成</w:t>
      </w:r>
      <w:hyperlink r:id="rId12">
        <w:r>
          <w:rPr>
            <w:color w:val="2563EB"/>
            <w:u w:val="single"/>
          </w:rPr>
          <w:t xml:space="preserve"> [原文]</w:t>
        </w:r>
      </w:hyperlink>
    </w:p>
    <w:p>
      <w:pPr>
        <w:spacing w:line="480" w:lineRule="exact" w:before="20" w:after="20"/>
      </w:pPr>
      <w:r>
        <w:rPr>
          <w:rFonts w:ascii="Times New Roman" w:hAnsi="Times New Roman" w:eastAsia="仿宋"/>
          <w:b w:val="0"/>
          <w:sz w:val="22"/>
        </w:rPr>
        <w:t xml:space="preserve">    Time-Inconsistent Manager Incentives and Capital Formation · 2026-07-24</w:t>
      </w:r>
    </w:p>
    <w:p>
      <w:pPr>
        <w:spacing w:line="440" w:lineRule="exact" w:before="60" w:after="20"/>
      </w:pPr>
      <w:r>
        <w:rPr>
          <w:rFonts w:ascii="Times New Roman" w:hAnsi="Times New Roman" w:eastAsia="仿宋"/>
          <w:b/>
          <w:sz w:val="24"/>
        </w:rPr>
        <w:t>5. 平衡之举：货币政策对自然灾害的应对</w:t>
      </w:r>
      <w:hyperlink r:id="rId13">
        <w:r>
          <w:rPr>
            <w:color w:val="2563EB"/>
            <w:u w:val="single"/>
          </w:rPr>
          <w:t xml:space="preserve"> [原文]</w:t>
        </w:r>
      </w:hyperlink>
    </w:p>
    <w:p>
      <w:pPr>
        <w:spacing w:line="480" w:lineRule="exact" w:before="20" w:after="20"/>
      </w:pPr>
      <w:r>
        <w:rPr>
          <w:rFonts w:ascii="Times New Roman" w:hAnsi="Times New Roman" w:eastAsia="仿宋"/>
          <w:b w:val="0"/>
          <w:sz w:val="22"/>
        </w:rPr>
        <w:t xml:space="preserve">    Balancing Act: Monetary Policy Responses to Natural Disasters · 2026-07-24</w:t>
      </w:r>
    </w:p>
    <w:p>
      <w:pPr>
        <w:spacing w:line="440" w:lineRule="exact" w:before="20" w:after="80"/>
        <w:ind w:firstLine="420"/>
      </w:pPr>
      <w:r>
        <w:rPr>
          <w:rFonts w:ascii="Times New Roman" w:hAnsi="Times New Roman" w:eastAsia="仿宋"/>
          <w:b w:val="0"/>
          <w:sz w:val="22"/>
        </w:rPr>
        <w:t>自然灾害可能对资源丰富的小型开放经济体的货币政策构成重要挑战。通过使用校准至加拿大的DSGE模型，我们表明大多数灾害表现为不利的供给冲击，降低产出并推高通胀，从而为货币政策制造了权衡困境。</w:t>
      </w:r>
      <w:r>
        <w:rPr>
          <w:rFonts w:ascii="Times New Roman" w:hAnsi="Times New Roman" w:eastAsia="仿宋"/>
          <w:b/>
          <w:color w:val="CF1322"/>
          <w:sz w:val="20"/>
        </w:rPr>
        <w:t xml:space="preserve"> [货币政策]</w:t>
      </w:r>
    </w:p>
    <w:p>
      <w:pPr>
        <w:spacing w:line="440" w:lineRule="exact" w:before="60" w:after="20"/>
      </w:pPr>
      <w:r>
        <w:rPr>
          <w:rFonts w:ascii="Times New Roman" w:hAnsi="Times New Roman" w:eastAsia="仿宋"/>
          <w:b/>
          <w:sz w:val="24"/>
        </w:rPr>
        <w:t>6. AI驱动的双速经济中的货币政策</w:t>
      </w:r>
      <w:hyperlink r:id="rId14">
        <w:r>
          <w:rPr>
            <w:color w:val="2563EB"/>
            <w:u w:val="single"/>
          </w:rPr>
          <w:t xml:space="preserve"> [原文]</w:t>
        </w:r>
      </w:hyperlink>
    </w:p>
    <w:p>
      <w:pPr>
        <w:spacing w:line="480" w:lineRule="exact" w:before="20" w:after="20"/>
      </w:pPr>
      <w:r>
        <w:rPr>
          <w:rFonts w:ascii="Times New Roman" w:hAnsi="Times New Roman" w:eastAsia="仿宋"/>
          <w:b w:val="0"/>
          <w:sz w:val="22"/>
        </w:rPr>
        <w:t xml:space="preserve">    Monetary Policy in an AI-Driven Two-Speed Economy · 2026-07-24</w:t>
      </w:r>
    </w:p>
    <w:p>
      <w:pPr>
        <w:spacing w:line="440" w:lineRule="exact" w:before="20" w:after="80"/>
        <w:ind w:firstLine="420"/>
      </w:pPr>
      <w:r>
        <w:rPr>
          <w:rFonts w:ascii="Times New Roman" w:hAnsi="Times New Roman" w:eastAsia="仿宋"/>
          <w:b w:val="0"/>
          <w:sz w:val="22"/>
        </w:rPr>
        <w:t>我们在一个两部门新凯恩斯模型中分析了货币政策对人工智能的应对，区分了增强型和替代型两类人工智能。两者均减少劳动需求，需要宽松政策，但这会引发通胀权衡。替代型人工智能加剧了这一权衡。整体通胀取决于人工智能的形态与广度，使得政策稳定更加复杂，且总体数据可能具有误导性。</w:t>
      </w:r>
      <w:r>
        <w:rPr>
          <w:rFonts w:ascii="Times New Roman" w:hAnsi="Times New Roman" w:eastAsia="仿宋"/>
          <w:b/>
          <w:color w:val="CF1322"/>
          <w:sz w:val="20"/>
        </w:rPr>
        <w:t xml:space="preserve"> [货币政策]</w:t>
      </w:r>
    </w:p>
    <w:p>
      <w:pPr>
        <w:spacing w:line="440" w:lineRule="exact" w:before="60" w:after="20"/>
      </w:pPr>
      <w:r>
        <w:rPr>
          <w:rFonts w:ascii="Times New Roman" w:hAnsi="Times New Roman" w:eastAsia="仿宋"/>
          <w:b/>
          <w:sz w:val="24"/>
        </w:rPr>
        <w:t>7. 透过有色眼镜看经济：宏观预期中的党派偏见（而非微观预期）</w:t>
      </w:r>
      <w:hyperlink r:id="rId15">
        <w:r>
          <w:rPr>
            <w:color w:val="2563EB"/>
            <w:u w:val="single"/>
          </w:rPr>
          <w:t xml:space="preserve"> [原文]</w:t>
        </w:r>
      </w:hyperlink>
    </w:p>
    <w:p>
      <w:pPr>
        <w:spacing w:line="480" w:lineRule="exact" w:before="20" w:after="20"/>
      </w:pPr>
      <w:r>
        <w:rPr>
          <w:rFonts w:ascii="Times New Roman" w:hAnsi="Times New Roman" w:eastAsia="仿宋"/>
          <w:b w:val="0"/>
          <w:sz w:val="22"/>
        </w:rPr>
        <w:t xml:space="preserve">    Seeing the Economy through Colored Glasses: Partisanship in Macro and (not in) Micro Expectations · 2026-07-24</w:t>
      </w:r>
    </w:p>
    <w:p>
      <w:pPr>
        <w:spacing w:before="160" w:after="80"/>
      </w:pPr>
      <w:r>
        <w:rPr>
          <w:rFonts w:ascii="Times New Roman" w:hAnsi="Times New Roman" w:eastAsia="黑体"/>
          <w:b/>
          <w:sz w:val="28"/>
        </w:rPr>
        <w:t>Bank of Japan（1篇）</w:t>
      </w:r>
    </w:p>
    <w:p>
      <w:pPr>
        <w:spacing w:line="440" w:lineRule="exact" w:before="60" w:after="20"/>
      </w:pPr>
      <w:r>
        <w:rPr>
          <w:rFonts w:ascii="Times New Roman" w:hAnsi="Times New Roman" w:eastAsia="仿宋"/>
          <w:b/>
          <w:sz w:val="24"/>
        </w:rPr>
        <w:t>8. 日本央行参与下亚洲国际论坛的发展与强化</w:t>
      </w:r>
      <w:hyperlink r:id="rId16">
        <w:r>
          <w:rPr>
            <w:color w:val="2563EB"/>
            <w:u w:val="single"/>
          </w:rPr>
          <w:t xml:space="preserve"> [原文]</w:t>
        </w:r>
      </w:hyperlink>
    </w:p>
    <w:p>
      <w:pPr>
        <w:spacing w:line="480" w:lineRule="exact" w:before="20" w:after="20"/>
      </w:pPr>
      <w:r>
        <w:rPr>
          <w:rFonts w:ascii="Times New Roman" w:hAnsi="Times New Roman" w:eastAsia="仿宋"/>
          <w:b w:val="0"/>
          <w:sz w:val="22"/>
        </w:rPr>
        <w:t xml:space="preserve">    The Development and Strengthening of International Forums in Asia with the Participation of the Bank of Japan · KATAOKA Masahiko · 2026-07-22</w:t>
      </w:r>
    </w:p>
    <w:p>
      <w:pPr>
        <w:spacing w:before="160" w:after="80"/>
      </w:pPr>
      <w:r>
        <w:rPr>
          <w:rFonts w:ascii="Times New Roman" w:hAnsi="Times New Roman" w:eastAsia="黑体"/>
          <w:b/>
          <w:sz w:val="28"/>
        </w:rPr>
        <w:t>ECB（2篇）</w:t>
      </w:r>
    </w:p>
    <w:p>
      <w:pPr>
        <w:spacing w:line="440" w:lineRule="exact" w:before="60" w:after="20"/>
      </w:pPr>
      <w:r>
        <w:rPr>
          <w:rFonts w:ascii="Times New Roman" w:hAnsi="Times New Roman" w:eastAsia="仿宋"/>
          <w:b/>
          <w:sz w:val="24"/>
        </w:rPr>
        <w:t>9. 生产网络中的进口关税传导</w:t>
      </w:r>
      <w:hyperlink r:id="rId17">
        <w:r>
          <w:rPr>
            <w:color w:val="2563EB"/>
            <w:u w:val="single"/>
          </w:rPr>
          <w:t xml:space="preserve"> [原文]</w:t>
        </w:r>
      </w:hyperlink>
    </w:p>
    <w:p>
      <w:pPr>
        <w:spacing w:line="480" w:lineRule="exact" w:before="20" w:after="20"/>
      </w:pPr>
      <w:r>
        <w:rPr>
          <w:rFonts w:ascii="Times New Roman" w:hAnsi="Times New Roman" w:eastAsia="仿宋"/>
          <w:b w:val="0"/>
          <w:sz w:val="22"/>
        </w:rPr>
        <w:t xml:space="preserve">    Import tariff transmission in a production network · 2026-07-24</w:t>
      </w:r>
    </w:p>
    <w:p>
      <w:pPr>
        <w:spacing w:line="440" w:lineRule="exact" w:before="60" w:after="20"/>
      </w:pPr>
      <w:r>
        <w:rPr>
          <w:rFonts w:ascii="Times New Roman" w:hAnsi="Times New Roman" w:eastAsia="仿宋"/>
          <w:b/>
          <w:sz w:val="24"/>
        </w:rPr>
        <w:t>10. 细节中的魔鬼：基于简约主体框架评估可释放宏观审慎资本缓冲的状态依存尾部效应</w:t>
      </w:r>
      <w:hyperlink r:id="rId18">
        <w:r>
          <w:rPr>
            <w:color w:val="2563EB"/>
            <w:u w:val="single"/>
          </w:rPr>
          <w:t xml:space="preserve"> [原文]</w:t>
        </w:r>
      </w:hyperlink>
    </w:p>
    <w:p>
      <w:pPr>
        <w:spacing w:line="480" w:lineRule="exact" w:before="20" w:after="20"/>
      </w:pPr>
      <w:r>
        <w:rPr>
          <w:rFonts w:ascii="Times New Roman" w:hAnsi="Times New Roman" w:eastAsia="仿宋"/>
          <w:b w:val="0"/>
          <w:sz w:val="22"/>
        </w:rPr>
        <w:t xml:space="preserve">    The devil in the DeTail: assessing state-contingent tail effects of a releasable macroprudential capital buffer using a parsimonious agent-based framework · 2026-07-24</w:t>
      </w:r>
    </w:p>
    <w:p>
      <w:pPr>
        <w:spacing w:line="440" w:lineRule="exact" w:before="20" w:after="80"/>
        <w:ind w:firstLine="420"/>
      </w:pPr>
      <w:r>
        <w:rPr>
          <w:rFonts w:ascii="Times New Roman" w:hAnsi="Times New Roman" w:eastAsia="仿宋"/>
          <w:b w:val="0"/>
          <w:sz w:val="22"/>
        </w:rPr>
        <w:t>本文开发一个基于主体的框架(DeTail)，以评估可释放宏观审慎资本缓冲的状态依存尾部效应。该模型包含异质性企业、家庭和银行，以及单一中央银行，所有主体在一个完全整合、存量-流量一致的框架中互动，该框架内生生成信贷周期。利用该方法，我们评估时变资本要求如何影响信贷增长、企业和家庭违约率以及银行损失沿信贷周期的时变分布。政策实验表明，经济衰退期间释放资本缓冲通过改善风险性(下尾)信贷结果来保持信贷供给，减少家庭和企业违约，并通过限制银行尾部损失支持宏观金融韧性。同时，上行期积累资本缓冲成本极小，且不显著约束贷款。这些发现支持主动使用可释放缓冲以减轻系统性风险和平滑信贷周期，而不削弱银行体系。</w:t>
      </w:r>
      <w:r>
        <w:rPr>
          <w:rFonts w:ascii="Times New Roman" w:hAnsi="Times New Roman" w:eastAsia="仿宋"/>
          <w:b/>
          <w:color w:val="CF1322"/>
          <w:sz w:val="20"/>
        </w:rPr>
        <w:t xml:space="preserve"> [货币政策]</w:t>
      </w:r>
    </w:p>
    <w:p>
      <w:pPr>
        <w:spacing w:before="160" w:after="80"/>
      </w:pPr>
      <w:r>
        <w:rPr>
          <w:rFonts w:ascii="Times New Roman" w:hAnsi="Times New Roman" w:eastAsia="黑体"/>
          <w:b/>
          <w:sz w:val="28"/>
        </w:rPr>
        <w:t>NBER（10篇）</w:t>
      </w:r>
    </w:p>
    <w:p>
      <w:pPr>
        <w:spacing w:line="440" w:lineRule="exact" w:before="60" w:after="20"/>
      </w:pPr>
      <w:r>
        <w:rPr>
          <w:rFonts w:ascii="Times New Roman" w:hAnsi="Times New Roman" w:eastAsia="仿宋"/>
          <w:b/>
          <w:sz w:val="24"/>
        </w:rPr>
        <w:t>11. 意大利的认知老化与长期护理</w:t>
      </w:r>
      <w:hyperlink r:id="rId19">
        <w:r>
          <w:rPr>
            <w:color w:val="2563EB"/>
            <w:u w:val="single"/>
          </w:rPr>
          <w:t xml:space="preserve"> [原文]</w:t>
        </w:r>
      </w:hyperlink>
    </w:p>
    <w:p>
      <w:pPr>
        <w:spacing w:line="480" w:lineRule="exact" w:before="20" w:after="20"/>
      </w:pPr>
      <w:r>
        <w:rPr>
          <w:rFonts w:ascii="Times New Roman" w:hAnsi="Times New Roman" w:eastAsia="仿宋"/>
          <w:b w:val="0"/>
          <w:sz w:val="22"/>
        </w:rPr>
        <w:t xml:space="preserve">    Cognitive Aging and Long-Term Care in Italy · Agar Brugiavini, Ludovico Carrino, Gloria Moroni et al.</w:t>
      </w:r>
    </w:p>
    <w:p>
      <w:pPr>
        <w:spacing w:line="440" w:lineRule="exact" w:before="60" w:after="20"/>
      </w:pPr>
      <w:r>
        <w:rPr>
          <w:rFonts w:ascii="Times New Roman" w:hAnsi="Times New Roman" w:eastAsia="仿宋"/>
          <w:b/>
          <w:sz w:val="24"/>
        </w:rPr>
        <w:t>12. 德国的严重认知障碍与长期护理</w:t>
      </w:r>
      <w:hyperlink r:id="rId20">
        <w:r>
          <w:rPr>
            <w:color w:val="2563EB"/>
            <w:u w:val="single"/>
          </w:rPr>
          <w:t xml:space="preserve"> [原文]</w:t>
        </w:r>
      </w:hyperlink>
    </w:p>
    <w:p>
      <w:pPr>
        <w:spacing w:line="480" w:lineRule="exact" w:before="20" w:after="20"/>
      </w:pPr>
      <w:r>
        <w:rPr>
          <w:rFonts w:ascii="Times New Roman" w:hAnsi="Times New Roman" w:eastAsia="仿宋"/>
          <w:b w:val="0"/>
          <w:sz w:val="22"/>
        </w:rPr>
        <w:t xml:space="preserve">    Severe Cognitive Impairments and Long-term Care in Germany · Elsa Perdrix, Axel H. Börsch-Supan, Johannes Geyer et al.</w:t>
      </w:r>
    </w:p>
    <w:p>
      <w:pPr>
        <w:spacing w:line="440" w:lineRule="exact" w:before="60" w:after="20"/>
      </w:pPr>
      <w:r>
        <w:rPr>
          <w:rFonts w:ascii="Times New Roman" w:hAnsi="Times New Roman" w:eastAsia="仿宋"/>
          <w:b/>
          <w:sz w:val="24"/>
        </w:rPr>
        <w:t>13. 作为普雷斯顿曲线逆转的美国死亡率危机</w:t>
      </w:r>
      <w:hyperlink r:id="rId21">
        <w:r>
          <w:rPr>
            <w:color w:val="2563EB"/>
            <w:u w:val="single"/>
          </w:rPr>
          <w:t xml:space="preserve"> [原文]</w:t>
        </w:r>
      </w:hyperlink>
    </w:p>
    <w:p>
      <w:pPr>
        <w:spacing w:line="480" w:lineRule="exact" w:before="20" w:after="20"/>
      </w:pPr>
      <w:r>
        <w:rPr>
          <w:rFonts w:ascii="Times New Roman" w:hAnsi="Times New Roman" w:eastAsia="仿宋"/>
          <w:b w:val="0"/>
          <w:sz w:val="22"/>
        </w:rPr>
        <w:t xml:space="preserve">    The U.S. Mortality Crisis as a Preston Curve Reversal · Ritikaa Khanna, Rourke O'Brien, Andrew C. Stokes et al.</w:t>
      </w:r>
    </w:p>
    <w:p>
      <w:pPr>
        <w:spacing w:line="440" w:lineRule="exact" w:before="60" w:after="20"/>
      </w:pPr>
      <w:r>
        <w:rPr>
          <w:rFonts w:ascii="Times New Roman" w:hAnsi="Times New Roman" w:eastAsia="仿宋"/>
          <w:b/>
          <w:sz w:val="24"/>
        </w:rPr>
        <w:t>14. 带着过去的束缚前行：童年期暴露于1918年流感大流行与男性晚年死亡率</w:t>
      </w:r>
      <w:hyperlink r:id="rId22">
        <w:r>
          <w:rPr>
            <w:color w:val="2563EB"/>
            <w:u w:val="single"/>
          </w:rPr>
          <w:t xml:space="preserve"> [原文]</w:t>
        </w:r>
      </w:hyperlink>
    </w:p>
    <w:p>
      <w:pPr>
        <w:spacing w:line="480" w:lineRule="exact" w:before="20" w:after="20"/>
      </w:pPr>
      <w:r>
        <w:rPr>
          <w:rFonts w:ascii="Times New Roman" w:hAnsi="Times New Roman" w:eastAsia="仿宋"/>
          <w:b w:val="0"/>
          <w:sz w:val="22"/>
        </w:rPr>
        <w:t xml:space="preserve">    Walking with Feet Tied to the Past: Childhood Exposure to the 1918 Influenza Pandemic and Later-Life Male Mortality · Hamid Noghanibehambari, Jason Fletcher</w:t>
      </w:r>
    </w:p>
    <w:p>
      <w:pPr>
        <w:spacing w:line="440" w:lineRule="exact" w:before="60" w:after="20"/>
      </w:pPr>
      <w:r>
        <w:rPr>
          <w:rFonts w:ascii="Times New Roman" w:hAnsi="Times New Roman" w:eastAsia="仿宋"/>
          <w:b/>
          <w:sz w:val="24"/>
        </w:rPr>
        <w:t>15. 估计联邦资助研发的经济效应</w:t>
      </w:r>
      <w:hyperlink r:id="rId23">
        <w:r>
          <w:rPr>
            <w:color w:val="2563EB"/>
            <w:u w:val="single"/>
          </w:rPr>
          <w:t xml:space="preserve"> [原文]</w:t>
        </w:r>
      </w:hyperlink>
    </w:p>
    <w:p>
      <w:pPr>
        <w:spacing w:line="480" w:lineRule="exact" w:before="20" w:after="20"/>
      </w:pPr>
      <w:r>
        <w:rPr>
          <w:rFonts w:ascii="Times New Roman" w:hAnsi="Times New Roman" w:eastAsia="仿宋"/>
          <w:b w:val="0"/>
          <w:sz w:val="22"/>
        </w:rPr>
        <w:t xml:space="preserve">    Estimating the Economic Effects of Federally Funded R&amp;D · Sheila Campbell, Jaeger Nelson, Eli A. Schrag et al.</w:t>
      </w:r>
    </w:p>
    <w:p>
      <w:pPr>
        <w:spacing w:line="440" w:lineRule="exact" w:before="60" w:after="20"/>
      </w:pPr>
      <w:r>
        <w:rPr>
          <w:rFonts w:ascii="Times New Roman" w:hAnsi="Times New Roman" w:eastAsia="仿宋"/>
          <w:b/>
          <w:sz w:val="24"/>
        </w:rPr>
        <w:t>16. 大规模并购模拟评估</w:t>
      </w:r>
      <w:hyperlink r:id="rId24">
        <w:r>
          <w:rPr>
            <w:color w:val="2563EB"/>
            <w:u w:val="single"/>
          </w:rPr>
          <w:t xml:space="preserve"> [原文]</w:t>
        </w:r>
      </w:hyperlink>
    </w:p>
    <w:p>
      <w:pPr>
        <w:spacing w:line="480" w:lineRule="exact" w:before="20" w:after="20"/>
      </w:pPr>
      <w:r>
        <w:rPr>
          <w:rFonts w:ascii="Times New Roman" w:hAnsi="Times New Roman" w:eastAsia="仿宋"/>
          <w:b w:val="0"/>
          <w:sz w:val="22"/>
        </w:rPr>
        <w:t xml:space="preserve">    A Large-Scale Evaluation of Merger Simulations · Vivek Bhattacharya, Gastón Illanes, Avner A. Kreps et al.</w:t>
      </w:r>
    </w:p>
    <w:p>
      <w:pPr>
        <w:spacing w:line="440" w:lineRule="exact" w:before="60" w:after="20"/>
      </w:pPr>
      <w:r>
        <w:rPr>
          <w:rFonts w:ascii="Times New Roman" w:hAnsi="Times New Roman" w:eastAsia="仿宋"/>
          <w:b/>
          <w:sz w:val="24"/>
        </w:rPr>
        <w:t>17. 买方垄断与延迟补偿：来自公共会计师的理论与证据</w:t>
      </w:r>
      <w:hyperlink r:id="rId25">
        <w:r>
          <w:rPr>
            <w:color w:val="2563EB"/>
            <w:u w:val="single"/>
          </w:rPr>
          <w:t xml:space="preserve"> [原文]</w:t>
        </w:r>
      </w:hyperlink>
    </w:p>
    <w:p>
      <w:pPr>
        <w:spacing w:line="480" w:lineRule="exact" w:before="20" w:after="20"/>
      </w:pPr>
      <w:r>
        <w:rPr>
          <w:rFonts w:ascii="Times New Roman" w:hAnsi="Times New Roman" w:eastAsia="仿宋"/>
          <w:b w:val="0"/>
          <w:sz w:val="22"/>
        </w:rPr>
        <w:t xml:space="preserve">    Monopsony and Backloaded Compensation: Theory and Evidence from Public Accountants · Michael Rubens, Bernardo S. Silveira</w:t>
      </w:r>
    </w:p>
    <w:p>
      <w:pPr>
        <w:spacing w:line="440" w:lineRule="exact" w:before="60" w:after="20"/>
      </w:pPr>
      <w:r>
        <w:rPr>
          <w:rFonts w:ascii="Times New Roman" w:hAnsi="Times New Roman" w:eastAsia="仿宋"/>
          <w:b/>
          <w:sz w:val="24"/>
        </w:rPr>
        <w:t>18. GLP-1类药物对劳动力市场的影响</w:t>
      </w:r>
      <w:hyperlink r:id="rId26">
        <w:r>
          <w:rPr>
            <w:color w:val="2563EB"/>
            <w:u w:val="single"/>
          </w:rPr>
          <w:t xml:space="preserve"> [原文]</w:t>
        </w:r>
      </w:hyperlink>
    </w:p>
    <w:p>
      <w:pPr>
        <w:spacing w:line="480" w:lineRule="exact" w:before="20" w:after="20"/>
      </w:pPr>
      <w:r>
        <w:rPr>
          <w:rFonts w:ascii="Times New Roman" w:hAnsi="Times New Roman" w:eastAsia="仿宋"/>
          <w:b w:val="0"/>
          <w:sz w:val="22"/>
        </w:rPr>
        <w:t xml:space="preserve">    The Labor Market Impacts of GLP-1s · N. Meltem Daysal, Camille JH. Fredrickson, Ida L. Kristiansen et al.</w:t>
      </w:r>
    </w:p>
    <w:p>
      <w:pPr>
        <w:spacing w:line="440" w:lineRule="exact" w:before="60" w:after="20"/>
      </w:pPr>
      <w:r>
        <w:rPr>
          <w:rFonts w:ascii="Times New Roman" w:hAnsi="Times New Roman" w:eastAsia="仿宋"/>
          <w:b/>
          <w:sz w:val="24"/>
        </w:rPr>
        <w:t>19. 寡头买方垄断与集体谈判</w:t>
      </w:r>
      <w:hyperlink r:id="rId27">
        <w:r>
          <w:rPr>
            <w:color w:val="2563EB"/>
            <w:u w:val="single"/>
          </w:rPr>
          <w:t xml:space="preserve"> [原文]</w:t>
        </w:r>
      </w:hyperlink>
    </w:p>
    <w:p>
      <w:pPr>
        <w:spacing w:line="480" w:lineRule="exact" w:before="20" w:after="20"/>
      </w:pPr>
      <w:r>
        <w:rPr>
          <w:rFonts w:ascii="Times New Roman" w:hAnsi="Times New Roman" w:eastAsia="仿宋"/>
          <w:b w:val="0"/>
          <w:sz w:val="22"/>
        </w:rPr>
        <w:t xml:space="preserve">    Oligopsony and Collective Bargaining · Tirza J. Angerhofer, Allan Collard-Wexler, Matthew C. Weinberg</w:t>
      </w:r>
    </w:p>
    <w:p>
      <w:pPr>
        <w:spacing w:line="440" w:lineRule="exact" w:before="60" w:after="20"/>
      </w:pPr>
      <w:r>
        <w:rPr>
          <w:rFonts w:ascii="Times New Roman" w:hAnsi="Times New Roman" w:eastAsia="仿宋"/>
          <w:b/>
          <w:sz w:val="24"/>
        </w:rPr>
        <w:t>20. 无论疾病还是健康：退休对配偶健康冲击的反应</w:t>
      </w:r>
      <w:hyperlink r:id="rId28">
        <w:r>
          <w:rPr>
            <w:color w:val="2563EB"/>
            <w:u w:val="single"/>
          </w:rPr>
          <w:t xml:space="preserve"> [原文]</w:t>
        </w:r>
      </w:hyperlink>
    </w:p>
    <w:p>
      <w:pPr>
        <w:spacing w:line="480" w:lineRule="exact" w:before="20" w:after="20"/>
      </w:pPr>
      <w:r>
        <w:rPr>
          <w:rFonts w:ascii="Times New Roman" w:hAnsi="Times New Roman" w:eastAsia="仿宋"/>
          <w:b w:val="0"/>
          <w:sz w:val="22"/>
        </w:rPr>
        <w:t xml:space="preserve">    In Sickness and in Health: Retirement Responses to Spousal Health Shocks · Hyeran Chung, Haena Lee, Sita Slavov</w:t>
      </w:r>
    </w:p>
    <w:p>
      <w:pPr>
        <w:spacing w:line="480" w:lineRule="exact" w:before="20" w:after="20"/>
      </w:pPr>
      <w:r>
        <w:rPr>
          <w:rFonts w:ascii="Times New Roman" w:hAnsi="Times New Roman" w:eastAsia="仿宋"/>
          <w:b w:val="0"/>
          <w:sz w:val="12"/>
        </w:rPr>
      </w:r>
    </w:p>
    <w:p>
      <w:pPr>
        <w:spacing w:line="480" w:lineRule="exact" w:before="20" w:after="20"/>
      </w:pPr>
      <w:r>
        <w:rPr>
          <w:rFonts w:ascii="Times New Roman" w:hAnsi="Times New Roman" w:eastAsia="仿宋"/>
          <w:b w:val="0"/>
          <w:sz w:val="20"/>
        </w:rPr>
        <w:t>自动生成 · 2026-07-26 00:00</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de.es/f/webbe/SES/Secciones/Publicaciones/PublicacionesSeriadas/DocumentosTrabajo/25/Files/dt2535e.pdf" TargetMode="External"/><Relationship Id="rId10" Type="http://schemas.openxmlformats.org/officeDocument/2006/relationships/hyperlink" Target="https://www.philadelphiafed.org/-/media/frbp/assets/working-papers/2026/wp26-36.pdf" TargetMode="External"/><Relationship Id="rId11" Type="http://schemas.openxmlformats.org/officeDocument/2006/relationships/hyperlink" Target="https://www.bankofcanada.ca/2026/07/staff-working-paper-2026-26/" TargetMode="External"/><Relationship Id="rId12" Type="http://schemas.openxmlformats.org/officeDocument/2006/relationships/hyperlink" Target="https://www.bankofcanada.ca/2026/07/staff-working-paper-2026-25/" TargetMode="External"/><Relationship Id="rId13" Type="http://schemas.openxmlformats.org/officeDocument/2006/relationships/hyperlink" Target="https://www.bankofcanada.ca/2026/07/staff-working-paper-2026-28/" TargetMode="External"/><Relationship Id="rId14" Type="http://schemas.openxmlformats.org/officeDocument/2006/relationships/hyperlink" Target="https://www.bankofcanada.ca/2026/07/staff-working-paper-2026-27/" TargetMode="External"/><Relationship Id="rId15" Type="http://schemas.openxmlformats.org/officeDocument/2006/relationships/hyperlink" Target="https://www.bankofcanada.ca/2026/07/staff-working-paper-2026-24/" TargetMode="External"/><Relationship Id="rId16" Type="http://schemas.openxmlformats.org/officeDocument/2006/relationships/hyperlink" Target="https://www.boj.or.jp/en/research/wps_rev/rev_2026/rev26e09.htm" TargetMode="External"/><Relationship Id="rId17" Type="http://schemas.openxmlformats.org/officeDocument/2006/relationships/hyperlink" Target="https://www.ecb.europa.eu//pub/pdf/scpwps/ecb.wp3258~46133509d4.en.pdf" TargetMode="External"/><Relationship Id="rId18" Type="http://schemas.openxmlformats.org/officeDocument/2006/relationships/hyperlink" Target="https://www.ecb.europa.eu//pub/pdf/scpwps/ecb.wp3257~92e2d05000.en.pdf" TargetMode="External"/><Relationship Id="rId19" Type="http://schemas.openxmlformats.org/officeDocument/2006/relationships/hyperlink" Target="https://www.nber.org/papers/w35441" TargetMode="External"/><Relationship Id="rId20" Type="http://schemas.openxmlformats.org/officeDocument/2006/relationships/hyperlink" Target="https://www.nber.org/papers/w35469" TargetMode="External"/><Relationship Id="rId21" Type="http://schemas.openxmlformats.org/officeDocument/2006/relationships/hyperlink" Target="https://www.nber.org/papers/w35470" TargetMode="External"/><Relationship Id="rId22" Type="http://schemas.openxmlformats.org/officeDocument/2006/relationships/hyperlink" Target="https://www.nber.org/papers/w35471" TargetMode="External"/><Relationship Id="rId23" Type="http://schemas.openxmlformats.org/officeDocument/2006/relationships/hyperlink" Target="https://www.nber.org/papers/w35472" TargetMode="External"/><Relationship Id="rId24" Type="http://schemas.openxmlformats.org/officeDocument/2006/relationships/hyperlink" Target="https://www.nber.org/papers/w35473" TargetMode="External"/><Relationship Id="rId25" Type="http://schemas.openxmlformats.org/officeDocument/2006/relationships/hyperlink" Target="https://www.nber.org/papers/w35474" TargetMode="External"/><Relationship Id="rId26" Type="http://schemas.openxmlformats.org/officeDocument/2006/relationships/hyperlink" Target="https://www.nber.org/papers/w35475" TargetMode="External"/><Relationship Id="rId27" Type="http://schemas.openxmlformats.org/officeDocument/2006/relationships/hyperlink" Target="https://www.nber.org/papers/w35476" TargetMode="External"/><Relationship Id="rId28" Type="http://schemas.openxmlformats.org/officeDocument/2006/relationships/hyperlink" Target="https://www.nber.org/papers/w35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