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CaixaBank Keystone Solution Delivery and Operating Model</w:t>
      </w:r>
    </w:p>
    <w:p>
      <w:pPr>
        <w:jc w:val="center"/>
      </w:pPr>
      <w:r>
        <w:rPr>
          <w:i/>
        </w:rPr>
        <w:t>IBM Shareable Solution Document</w:t>
      </w:r>
    </w:p>
    <w:p>
      <w:pPr>
        <w:jc w:val="center"/>
      </w:pPr>
      <w:r>
        <w:rPr>
          <w:b/>
        </w:rPr>
        <w:t>Version 1.1 | Date: 2026-06-18 | Status: Draft for alignment</w:t>
      </w:r>
    </w:p>
    <w:p>
      <w:r>
        <w:t>This document summarizes the CaixaBank Keystone baseline scope and the extension scope added for CaixaBank, with a clear operating model for Finastra GS/GD, Finastra LCS SRE, and IBM. It is intended to align delivery, environment, security, and operational responsibilities now that IBM has full environment and cloud access.</w:t>
      </w:r>
    </w:p>
    <w:p>
      <w:pPr>
        <w:pStyle w:val="Heading1"/>
      </w:pPr>
      <w:r>
        <w:t>1. Purpose and Audience</w:t>
      </w:r>
    </w:p>
    <w:p>
      <w:r>
        <w:t>The purpose of this document is to provide IBM with a clear, shareable solution view of the CaixaBank Keystone delivery and operating model. It consolidates the baseline Lending Cloud Service responsibilities from the Keystone Solution Document with the additional delivery scope introduced through the CaixaBank Extension Document.</w:t>
      </w:r>
    </w:p>
    <w:p>
      <w:r>
        <w:t>The intended audience is IBM delivery and infrastructure teams, Finastra GS/GD, Finastra LCS SRE, service management, and CaixaBank stakeholders who need a single reference for ownership, execution boundaries, and required collaboration points.</w:t>
      </w:r>
    </w:p>
    <w:p>
      <w:pPr>
        <w:pStyle w:val="Heading1"/>
      </w:pPr>
      <w:r>
        <w:t>2. Source Basis</w:t>
      </w:r>
    </w:p>
    <w:p>
      <w:r>
        <w:t>This document is based on two source artifacts: the Keystone Solution Document (L4 Lending Cloud) v1.5 and the Keystone Solution Extension Document CaixaBank v1.1.</w:t>
      </w:r>
    </w:p>
    <w:p>
      <w:r>
        <w:t>The baseline document defines the managed service model, standard MVS solution boundaries, operational ownership, security posture, environment model, and service governance. The extension document adds CaixaBank-specific integration, reporting, and data extraction work that must be delivered on top of the baseline MVS.</w:t>
      </w:r>
    </w:p>
    <w:p>
      <w:pPr>
        <w:pStyle w:val="Heading1"/>
      </w:pPr>
      <w:r>
        <w:t>3. Delivery Context</w:t>
      </w:r>
    </w:p>
    <w:p>
      <w:r>
        <w:t>The Lending Cloud Service is a Finastra managed service. Finastra remains accountable for the service model, design authority, application governance, and service-level execution. IBM now has full environment and cloud access and therefore becomes the execution arm for a large part of the infrastructure, environment, deployment, and runtime platform activity.</w:t>
      </w:r>
    </w:p>
    <w:p>
      <w:r>
        <w:t>The resulting model is straightforward: GS/GD builds and configures the application and integrations, LCS SRE governs and leads the managed service, and IBM executes the infrastructure and platform operations under Finastra control.</w:t>
      </w:r>
    </w:p>
    <w:p>
      <w:pPr>
        <w:pStyle w:val="Heading1"/>
      </w:pPr>
      <w:r>
        <w:t>4. Executive Ownership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GS/GD</w:t>
            </w:r>
          </w:p>
        </w:tc>
        <w:tc>
          <w:tcPr>
            <w:tcW w:type="dxa" w:w="2484"/>
          </w:tcPr>
          <w:p>
            <w:r>
              <w:t>LCS SRE (Finastra)</w:t>
            </w:r>
          </w:p>
        </w:tc>
        <w:tc>
          <w:tcPr>
            <w:tcW w:type="dxa" w:w="2484"/>
          </w:tcPr>
          <w:p>
            <w:r>
              <w:t>IBM</w:t>
            </w:r>
          </w:p>
        </w:tc>
      </w:tr>
      <w:tr>
        <w:tc>
          <w:tcPr>
            <w:tcW w:type="dxa" w:w="2484"/>
          </w:tcPr>
          <w:p>
            <w:r>
              <w:t>Solution configuration (Loan IQ)</w:t>
            </w:r>
          </w:p>
        </w:tc>
        <w:tc>
          <w:tcPr>
            <w:tcW w:type="dxa" w:w="2484"/>
          </w:tcPr>
          <w:p>
            <w:r>
              <w:t>Own</w:t>
            </w:r>
          </w:p>
        </w:tc>
        <w:tc>
          <w:tcPr>
            <w:tcW w:type="dxa" w:w="2484"/>
          </w:tcPr>
          <w:p>
            <w:r>
              <w:t>Govern / Approve</w:t>
            </w:r>
          </w:p>
        </w:tc>
        <w:tc>
          <w:tcPr>
            <w:tcW w:type="dxa" w:w="2484"/>
          </w:tcPr>
          <w:p>
            <w:r>
              <w:t>Not applicable</w:t>
            </w:r>
          </w:p>
        </w:tc>
      </w:tr>
      <w:tr>
        <w:tc>
          <w:tcPr>
            <w:tcW w:type="dxa" w:w="2484"/>
          </w:tcPr>
          <w:p>
            <w:r>
              <w:t>Integration delivery (FFC, SDK, XQuery, APIs)</w:t>
            </w:r>
          </w:p>
        </w:tc>
        <w:tc>
          <w:tcPr>
            <w:tcW w:type="dxa" w:w="2484"/>
          </w:tcPr>
          <w:p>
            <w:r>
              <w:t>Own</w:t>
            </w:r>
          </w:p>
        </w:tc>
        <w:tc>
          <w:tcPr>
            <w:tcW w:type="dxa" w:w="2484"/>
          </w:tcPr>
          <w:p>
            <w:r>
              <w:t>Support deployment coordination</w:t>
            </w:r>
          </w:p>
        </w:tc>
        <w:tc>
          <w:tcPr>
            <w:tcW w:type="dxa" w:w="2484"/>
          </w:tcPr>
          <w:p>
            <w:r>
              <w:t>Provide infra / access</w:t>
            </w:r>
          </w:p>
        </w:tc>
      </w:tr>
      <w:tr>
        <w:tc>
          <w:tcPr>
            <w:tcW w:type="dxa" w:w="2484"/>
          </w:tcPr>
          <w:p>
            <w:r>
              <w:t>Integration extensions (ALF, SIA, SOE, CLI, EXB, TRE-DIN)</w:t>
            </w:r>
          </w:p>
        </w:tc>
        <w:tc>
          <w:tcPr>
            <w:tcW w:type="dxa" w:w="2484"/>
          </w:tcPr>
          <w:p>
            <w:r>
              <w:t>Own</w:t>
            </w:r>
          </w:p>
        </w:tc>
        <w:tc>
          <w:tcPr>
            <w:tcW w:type="dxa" w:w="2484"/>
          </w:tcPr>
          <w:p>
            <w:r>
              <w:t>Support endpoint governance</w:t>
            </w:r>
          </w:p>
        </w:tc>
        <w:tc>
          <w:tcPr>
            <w:tcW w:type="dxa" w:w="2484"/>
          </w:tcPr>
          <w:p>
            <w:r>
              <w:t>Provide private endpoint infra</w:t>
            </w:r>
          </w:p>
        </w:tc>
      </w:tr>
      <w:tr>
        <w:tc>
          <w:tcPr>
            <w:tcW w:type="dxa" w:w="2484"/>
          </w:tcPr>
          <w:p>
            <w:r>
              <w:t>DWEXT / Data extraction (IUA/GAR)</w:t>
            </w:r>
          </w:p>
        </w:tc>
        <w:tc>
          <w:tcPr>
            <w:tcW w:type="dxa" w:w="2484"/>
          </w:tcPr>
          <w:p>
            <w:r>
              <w:t>Own</w:t>
            </w:r>
          </w:p>
        </w:tc>
        <w:tc>
          <w:tcPr>
            <w:tcW w:type="dxa" w:w="2484"/>
          </w:tcPr>
          <w:p>
            <w:r>
              <w:t>Oversee scheduling</w:t>
            </w:r>
          </w:p>
        </w:tc>
        <w:tc>
          <w:tcPr>
            <w:tcW w:type="dxa" w:w="2484"/>
          </w:tcPr>
          <w:p>
            <w:r>
              <w:t>Execute batch / file delivery</w:t>
            </w:r>
          </w:p>
        </w:tc>
      </w:tr>
      <w:tr>
        <w:tc>
          <w:tcPr>
            <w:tcW w:type="dxa" w:w="2484"/>
          </w:tcPr>
          <w:p>
            <w:r>
              <w:t>Custom reporting (DataNet)</w:t>
            </w:r>
          </w:p>
        </w:tc>
        <w:tc>
          <w:tcPr>
            <w:tcW w:type="dxa" w:w="2484"/>
          </w:tcPr>
          <w:p>
            <w:r>
              <w:t>Own</w:t>
            </w:r>
          </w:p>
        </w:tc>
        <w:tc>
          <w:tcPr>
            <w:tcW w:type="dxa" w:w="2484"/>
          </w:tcPr>
          <w:p>
            <w:r>
              <w:t>Schedule / deploy</w:t>
            </w:r>
          </w:p>
        </w:tc>
        <w:tc>
          <w:tcPr>
            <w:tcW w:type="dxa" w:w="2484"/>
          </w:tcPr>
          <w:p>
            <w:r>
              <w:t>Email infra support</w:t>
            </w:r>
          </w:p>
        </w:tc>
      </w:tr>
      <w:tr>
        <w:tc>
          <w:tcPr>
            <w:tcW w:type="dxa" w:w="2484"/>
          </w:tcPr>
          <w:p>
            <w:r>
              <w:t>Platform operations (managed service)</w:t>
            </w:r>
          </w:p>
        </w:tc>
        <w:tc>
          <w:tcPr>
            <w:tcW w:type="dxa" w:w="2484"/>
          </w:tcPr>
          <w:p>
            <w:r>
              <w:t>No</w:t>
            </w:r>
          </w:p>
        </w:tc>
        <w:tc>
          <w:tcPr>
            <w:tcW w:type="dxa" w:w="2484"/>
          </w:tcPr>
          <w:p>
            <w:r>
              <w:t>Own</w:t>
            </w:r>
          </w:p>
        </w:tc>
        <w:tc>
          <w:tcPr>
            <w:tcW w:type="dxa" w:w="2484"/>
          </w:tcPr>
          <w:p>
            <w:r>
              <w:t>Execute under direction</w:t>
            </w:r>
          </w:p>
        </w:tc>
      </w:tr>
      <w:tr>
        <w:tc>
          <w:tcPr>
            <w:tcW w:type="dxa" w:w="2484"/>
          </w:tcPr>
          <w:p>
            <w:r>
              <w:t>Application upgrades and patching</w:t>
            </w:r>
          </w:p>
        </w:tc>
        <w:tc>
          <w:tcPr>
            <w:tcW w:type="dxa" w:w="2484"/>
          </w:tcPr>
          <w:p>
            <w:r>
              <w:t>Validate functionally</w:t>
            </w:r>
          </w:p>
        </w:tc>
        <w:tc>
          <w:tcPr>
            <w:tcW w:type="dxa" w:w="2484"/>
          </w:tcPr>
          <w:p>
            <w:r>
              <w:t>Own</w:t>
            </w:r>
          </w:p>
        </w:tc>
        <w:tc>
          <w:tcPr>
            <w:tcW w:type="dxa" w:w="2484"/>
          </w:tcPr>
          <w:p>
            <w:r>
              <w:t>Execute deployment</w:t>
            </w:r>
          </w:p>
        </w:tc>
      </w:tr>
      <w:tr>
        <w:tc>
          <w:tcPr>
            <w:tcW w:type="dxa" w:w="2484"/>
          </w:tcPr>
          <w:p>
            <w:r>
              <w:t>Infrastructure (Azure compute, storage, network)</w:t>
            </w:r>
          </w:p>
        </w:tc>
        <w:tc>
          <w:tcPr>
            <w:tcW w:type="dxa" w:w="2484"/>
          </w:tcPr>
          <w:p>
            <w:r>
              <w:t>No</w:t>
            </w:r>
          </w:p>
        </w:tc>
        <w:tc>
          <w:tcPr>
            <w:tcW w:type="dxa" w:w="2484"/>
          </w:tcPr>
          <w:p>
            <w:r>
              <w:t>No</w:t>
            </w:r>
          </w:p>
        </w:tc>
        <w:tc>
          <w:tcPr>
            <w:tcW w:type="dxa" w:w="2484"/>
          </w:tcPr>
          <w:p>
            <w:r>
              <w:t>Own</w:t>
            </w:r>
          </w:p>
        </w:tc>
      </w:tr>
      <w:tr>
        <w:tc>
          <w:tcPr>
            <w:tcW w:type="dxa" w:w="2484"/>
          </w:tcPr>
          <w:p>
            <w:r>
              <w:t>Environment provisioning (Prod, Non-Prod, DR)</w:t>
            </w:r>
          </w:p>
        </w:tc>
        <w:tc>
          <w:tcPr>
            <w:tcW w:type="dxa" w:w="2484"/>
          </w:tcPr>
          <w:p>
            <w:r>
              <w:t>No</w:t>
            </w:r>
          </w:p>
        </w:tc>
        <w:tc>
          <w:tcPr>
            <w:tcW w:type="dxa" w:w="2484"/>
          </w:tcPr>
          <w:p>
            <w:r>
              <w:t>Approve</w:t>
            </w:r>
          </w:p>
        </w:tc>
        <w:tc>
          <w:tcPr>
            <w:tcW w:type="dxa" w:w="2484"/>
          </w:tcPr>
          <w:p>
            <w:r>
              <w:t>Execute</w:t>
            </w:r>
          </w:p>
        </w:tc>
      </w:tr>
      <w:tr>
        <w:tc>
          <w:tcPr>
            <w:tcW w:type="dxa" w:w="2484"/>
          </w:tcPr>
          <w:p>
            <w:r>
              <w:t>Environment access</w:t>
            </w:r>
          </w:p>
        </w:tc>
        <w:tc>
          <w:tcPr>
            <w:tcW w:type="dxa" w:w="2484"/>
          </w:tcPr>
          <w:p>
            <w:r>
              <w:t>Request</w:t>
            </w:r>
          </w:p>
        </w:tc>
        <w:tc>
          <w:tcPr>
            <w:tcW w:type="dxa" w:w="2484"/>
          </w:tcPr>
          <w:p>
            <w:r>
              <w:t>Approve app-level access</w:t>
            </w:r>
          </w:p>
        </w:tc>
        <w:tc>
          <w:tcPr>
            <w:tcW w:type="dxa" w:w="2484"/>
          </w:tcPr>
          <w:p>
            <w:r>
              <w:t>Control</w:t>
            </w:r>
          </w:p>
        </w:tc>
      </w:tr>
      <w:tr>
        <w:tc>
          <w:tcPr>
            <w:tcW w:type="dxa" w:w="2484"/>
          </w:tcPr>
          <w:p>
            <w:r>
              <w:t>Non-Prod DB / config access (DEV / SIT / UAT)</w:t>
            </w:r>
          </w:p>
        </w:tc>
        <w:tc>
          <w:tcPr>
            <w:tcW w:type="dxa" w:w="2484"/>
          </w:tcPr>
          <w:p>
            <w:r>
              <w:t>Controlled access</w:t>
            </w:r>
          </w:p>
        </w:tc>
        <w:tc>
          <w:tcPr>
            <w:tcW w:type="dxa" w:w="2484"/>
          </w:tcPr>
          <w:p>
            <w:r>
              <w:t>Govern / Approve</w:t>
            </w:r>
          </w:p>
        </w:tc>
        <w:tc>
          <w:tcPr>
            <w:tcW w:type="dxa" w:w="2484"/>
          </w:tcPr>
          <w:p>
            <w:r>
              <w:t>Provision / Control</w:t>
            </w:r>
          </w:p>
        </w:tc>
      </w:tr>
      <w:tr>
        <w:tc>
          <w:tcPr>
            <w:tcW w:type="dxa" w:w="2484"/>
          </w:tcPr>
          <w:p>
            <w:r>
              <w:t>Prod / DR change execution</w:t>
            </w:r>
          </w:p>
        </w:tc>
        <w:tc>
          <w:tcPr>
            <w:tcW w:type="dxa" w:w="2484"/>
          </w:tcPr>
          <w:p>
            <w:r>
              <w:t>Provide scripts and runbook</w:t>
            </w:r>
          </w:p>
        </w:tc>
        <w:tc>
          <w:tcPr>
            <w:tcW w:type="dxa" w:w="2484"/>
          </w:tcPr>
          <w:p>
            <w:r>
              <w:t>Approve / Govern</w:t>
            </w:r>
          </w:p>
        </w:tc>
        <w:tc>
          <w:tcPr>
            <w:tcW w:type="dxa" w:w="2484"/>
          </w:tcPr>
          <w:p>
            <w:r>
              <w:t>Execute</w:t>
            </w:r>
          </w:p>
        </w:tc>
      </w:tr>
      <w:tr>
        <w:tc>
          <w:tcPr>
            <w:tcW w:type="dxa" w:w="2484"/>
          </w:tcPr>
          <w:p>
            <w:r>
              <w:t>CI pipeline management</w:t>
            </w:r>
          </w:p>
        </w:tc>
        <w:tc>
          <w:tcPr>
            <w:tcW w:type="dxa" w:w="2484"/>
          </w:tcPr>
          <w:p>
            <w:r>
              <w:t>Build content / support</w:t>
            </w:r>
          </w:p>
        </w:tc>
        <w:tc>
          <w:tcPr>
            <w:tcW w:type="dxa" w:w="2484"/>
          </w:tcPr>
          <w:p>
            <w:r>
              <w:t>Own</w:t>
            </w:r>
          </w:p>
        </w:tc>
        <w:tc>
          <w:tcPr>
            <w:tcW w:type="dxa" w:w="2484"/>
          </w:tcPr>
          <w:p>
            <w:r>
              <w:t>Support</w:t>
            </w:r>
          </w:p>
        </w:tc>
      </w:tr>
      <w:tr>
        <w:tc>
          <w:tcPr>
            <w:tcW w:type="dxa" w:w="2484"/>
          </w:tcPr>
          <w:p>
            <w:r>
              <w:t>CD release management to UAT / PROD / DR</w:t>
            </w:r>
          </w:p>
        </w:tc>
        <w:tc>
          <w:tcPr>
            <w:tcW w:type="dxa" w:w="2484"/>
          </w:tcPr>
          <w:p>
            <w:r>
              <w:t>Provide release package</w:t>
            </w:r>
          </w:p>
        </w:tc>
        <w:tc>
          <w:tcPr>
            <w:tcW w:type="dxa" w:w="2484"/>
          </w:tcPr>
          <w:p>
            <w:r>
              <w:t>Own</w:t>
            </w:r>
          </w:p>
        </w:tc>
        <w:tc>
          <w:tcPr>
            <w:tcW w:type="dxa" w:w="2484"/>
          </w:tcPr>
          <w:p>
            <w:r>
              <w:t>Execute deployment</w:t>
            </w:r>
          </w:p>
        </w:tc>
      </w:tr>
      <w:tr>
        <w:tc>
          <w:tcPr>
            <w:tcW w:type="dxa" w:w="2484"/>
          </w:tcPr>
          <w:p>
            <w:r>
              <w:t>Security (application-level)</w:t>
            </w:r>
          </w:p>
        </w:tc>
        <w:tc>
          <w:tcPr>
            <w:tcW w:type="dxa" w:w="2484"/>
          </w:tcPr>
          <w:p>
            <w:r>
              <w:t>Support</w:t>
            </w:r>
          </w:p>
        </w:tc>
        <w:tc>
          <w:tcPr>
            <w:tcW w:type="dxa" w:w="2484"/>
          </w:tcPr>
          <w:p>
            <w:r>
              <w:t>Own</w:t>
            </w:r>
          </w:p>
        </w:tc>
        <w:tc>
          <w:tcPr>
            <w:tcW w:type="dxa" w:w="2484"/>
          </w:tcPr>
          <w:p>
            <w:r>
              <w:t>Support</w:t>
            </w:r>
          </w:p>
        </w:tc>
      </w:tr>
      <w:tr>
        <w:tc>
          <w:tcPr>
            <w:tcW w:type="dxa" w:w="2484"/>
          </w:tcPr>
          <w:p>
            <w:r>
              <w:t>Security (infrastructure-level)</w:t>
            </w:r>
          </w:p>
        </w:tc>
        <w:tc>
          <w:tcPr>
            <w:tcW w:type="dxa" w:w="2484"/>
          </w:tcPr>
          <w:p>
            <w:r>
              <w:t>No</w:t>
            </w:r>
          </w:p>
        </w:tc>
        <w:tc>
          <w:tcPr>
            <w:tcW w:type="dxa" w:w="2484"/>
          </w:tcPr>
          <w:p>
            <w:r>
              <w:t>Support</w:t>
            </w:r>
          </w:p>
        </w:tc>
        <w:tc>
          <w:tcPr>
            <w:tcW w:type="dxa" w:w="2484"/>
          </w:tcPr>
          <w:p>
            <w:r>
              <w:t>Own</w:t>
            </w:r>
          </w:p>
        </w:tc>
      </w:tr>
      <w:tr>
        <w:tc>
          <w:tcPr>
            <w:tcW w:type="dxa" w:w="2484"/>
          </w:tcPr>
          <w:p>
            <w:r>
              <w:t>Incident management</w:t>
            </w:r>
          </w:p>
        </w:tc>
        <w:tc>
          <w:tcPr>
            <w:tcW w:type="dxa" w:w="2484"/>
          </w:tcPr>
          <w:p>
            <w:r>
              <w:t>Support as L3 app team</w:t>
            </w:r>
          </w:p>
        </w:tc>
        <w:tc>
          <w:tcPr>
            <w:tcW w:type="dxa" w:w="2484"/>
          </w:tcPr>
          <w:p>
            <w:r>
              <w:t>Lead</w:t>
            </w:r>
          </w:p>
        </w:tc>
        <w:tc>
          <w:tcPr>
            <w:tcW w:type="dxa" w:w="2484"/>
          </w:tcPr>
          <w:p>
            <w:r>
              <w:t>Infra L1 / L2</w:t>
            </w:r>
          </w:p>
        </w:tc>
      </w:tr>
      <w:tr>
        <w:tc>
          <w:tcPr>
            <w:tcW w:type="dxa" w:w="2484"/>
          </w:tcPr>
          <w:p>
            <w:r>
              <w:t>Audit and compliance</w:t>
            </w:r>
          </w:p>
        </w:tc>
        <w:tc>
          <w:tcPr>
            <w:tcW w:type="dxa" w:w="2484"/>
          </w:tcPr>
          <w:p>
            <w:r>
              <w:t>Support</w:t>
            </w:r>
          </w:p>
        </w:tc>
        <w:tc>
          <w:tcPr>
            <w:tcW w:type="dxa" w:w="2484"/>
          </w:tcPr>
          <w:p>
            <w:r>
              <w:t>Own</w:t>
            </w:r>
          </w:p>
        </w:tc>
        <w:tc>
          <w:tcPr>
            <w:tcW w:type="dxa" w:w="2484"/>
          </w:tcPr>
          <w:p>
            <w:r>
              <w:t>Support</w:t>
            </w:r>
          </w:p>
        </w:tc>
      </w:tr>
      <w:tr>
        <w:tc>
          <w:tcPr>
            <w:tcW w:type="dxa" w:w="2484"/>
          </w:tcPr>
          <w:p>
            <w:r>
              <w:t>Deployment runbook creation and handoff</w:t>
            </w:r>
          </w:p>
        </w:tc>
        <w:tc>
          <w:tcPr>
            <w:tcW w:type="dxa" w:w="2484"/>
          </w:tcPr>
          <w:p>
            <w:r>
              <w:t>Own</w:t>
            </w:r>
          </w:p>
        </w:tc>
        <w:tc>
          <w:tcPr>
            <w:tcW w:type="dxa" w:w="2484"/>
          </w:tcPr>
          <w:p>
            <w:r>
              <w:t>Approve and hand over</w:t>
            </w:r>
          </w:p>
        </w:tc>
        <w:tc>
          <w:tcPr>
            <w:tcW w:type="dxa" w:w="2484"/>
          </w:tcPr>
          <w:p>
            <w:r>
              <w:t>Execute from runbook</w:t>
            </w:r>
          </w:p>
        </w:tc>
      </w:tr>
    </w:tbl>
    <w:p>
      <w:pPr>
        <w:pStyle w:val="Heading1"/>
      </w:pPr>
      <w:r>
        <w:t>5. Team Roles and Operating Boundaries</w:t>
      </w:r>
    </w:p>
    <w:p>
      <w:r>
        <w:t>Finastra GS/GD is the delivery owner for solution design, Loan IQ configuration, interface build, extension development, CR shaping, test support, and custom reporting. GS/GD owns the application change content.</w:t>
      </w:r>
    </w:p>
    <w:p>
      <w:r>
        <w:t>GS/GD may be granted controlled non-production access, including the ability to apply approved DB scripts and configuration updates in DEV, SIT, and UAT for delivery validation and defect resolution. This access remains governed by LCS SRE and provisioned through IBM controls.</w:t>
      </w:r>
    </w:p>
    <w:p>
      <w:r>
        <w:t>Finastra LCS SRE is the managed service owner for environments, service approvals, CI / CD governance, deployment governance, incident and change leadership, DR planning, access control policy, and service-level reporting. LCS SRE remains accountable even where execution is delegated.</w:t>
      </w:r>
    </w:p>
    <w:p>
      <w:r>
        <w:t>IBM owns the Azure infrastructure execution layer. This includes provisioning, networking, Citrix, OS and middleware patching, file transfer services, database runtime administration, operational job execution, and deployment execution into environments under approved change control and approved runbooks.</w:t>
      </w:r>
    </w:p>
    <w:p>
      <w:pPr>
        <w:pStyle w:val="Heading1"/>
      </w:pPr>
      <w:r>
        <w:t>6. Baseline Solution Scope</w:t>
      </w:r>
    </w:p>
    <w:p>
      <w:r>
        <w:t>The baseline Keystone MVS scope remains the foundation for the CaixaBank solution. The following delivery and operational domains are already part of the core model:</w:t>
      </w:r>
    </w:p>
    <w:p>
      <w:pPr>
        <w:pStyle w:val="ListBullet"/>
      </w:pPr>
      <w:r>
        <w:t>Loan IQ application configuration using the standard MVS model, including workflow, security roles, and parameterization.</w:t>
      </w:r>
    </w:p>
    <w:p>
      <w:pPr>
        <w:pStyle w:val="ListBullet"/>
      </w:pPr>
      <w:r>
        <w:t>Standard Open API and FFC-based integration enablement within the limits of the baseline service.</w:t>
      </w:r>
    </w:p>
    <w:p>
      <w:pPr>
        <w:pStyle w:val="ListBullet"/>
      </w:pPr>
      <w:r>
        <w:t>Standard DataNet reporting and standard notice template enablement.</w:t>
      </w:r>
    </w:p>
    <w:p>
      <w:pPr>
        <w:pStyle w:val="ListBullet"/>
      </w:pPr>
      <w:r>
        <w:t>Managed environments across Production, Non-Production, and Disaster Recovery hosted on Azure.</w:t>
      </w:r>
    </w:p>
    <w:p>
      <w:pPr>
        <w:pStyle w:val="ListBullet"/>
      </w:pPr>
      <w:r>
        <w:t>Standard security controls including encryption at rest and in transit, controlled access, log retention, data masking for non-production, and annual compliance checks.</w:t>
      </w:r>
    </w:p>
    <w:p>
      <w:pPr>
        <w:pStyle w:val="ListBullet"/>
      </w:pPr>
      <w:r>
        <w:t>Managed service operations covering incident management, change management, service governance, patching, upgrades, DR testing, and SLA monitoring.</w:t>
      </w:r>
    </w:p>
    <w:p>
      <w:pPr>
        <w:pStyle w:val="Heading1"/>
      </w:pPr>
      <w:r>
        <w:t>7. CaixaBank Extension Scope</w:t>
      </w:r>
    </w:p>
    <w:p>
      <w:r>
        <w:t>The extension scope introduces additional CaixaBank-specific work that is not covered by the standard MVS alone. These additions materially increase the amount of interface development, event handling, reporting, and data extraction delivery that GS/GD must build, while LCS SRE and IBM must enable the supporting runtime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Extension Area</w:t>
            </w:r>
          </w:p>
        </w:tc>
        <w:tc>
          <w:tcPr>
            <w:tcW w:type="dxa" w:w="2484"/>
          </w:tcPr>
          <w:p>
            <w:r>
              <w:t>What is being added</w:t>
            </w:r>
          </w:p>
        </w:tc>
        <w:tc>
          <w:tcPr>
            <w:tcW w:type="dxa" w:w="2484"/>
          </w:tcPr>
          <w:p>
            <w:r>
              <w:t>Primary Owner</w:t>
            </w:r>
          </w:p>
        </w:tc>
        <w:tc>
          <w:tcPr>
            <w:tcW w:type="dxa" w:w="2484"/>
          </w:tcPr>
          <w:p>
            <w:r>
              <w:t>IBM Role</w:t>
            </w:r>
          </w:p>
        </w:tc>
      </w:tr>
      <w:tr>
        <w:tc>
          <w:tcPr>
            <w:tcW w:type="dxa" w:w="2484"/>
          </w:tcPr>
          <w:p>
            <w:r>
              <w:t>TRE-DIN</w:t>
            </w:r>
          </w:p>
        </w:tc>
        <w:tc>
          <w:tcPr>
            <w:tcW w:type="dxa" w:w="2484"/>
          </w:tcPr>
          <w:p>
            <w:r>
              <w:t>SOAP wrapper / FFC integration for FX and Funding Rate APIs with Keycloak setup</w:t>
            </w:r>
          </w:p>
        </w:tc>
        <w:tc>
          <w:tcPr>
            <w:tcW w:type="dxa" w:w="2484"/>
          </w:tcPr>
          <w:p>
            <w:r>
              <w:t>GS/GD</w:t>
            </w:r>
          </w:p>
        </w:tc>
        <w:tc>
          <w:tcPr>
            <w:tcW w:type="dxa" w:w="2484"/>
          </w:tcPr>
          <w:p>
            <w:r>
              <w:t>Deploy environment auth and enable connectivity</w:t>
            </w:r>
          </w:p>
        </w:tc>
      </w:tr>
      <w:tr>
        <w:tc>
          <w:tcPr>
            <w:tcW w:type="dxa" w:w="2484"/>
          </w:tcPr>
          <w:p>
            <w:r>
              <w:t>ALF-CPT / ALF-UPDT</w:t>
            </w:r>
          </w:p>
        </w:tc>
        <w:tc>
          <w:tcPr>
            <w:tcW w:type="dxa" w:w="2484"/>
          </w:tcPr>
          <w:p>
            <w:r>
              <w:t>Customer and remittance API event exposure, SDK triggers, XQuery, exception handling</w:t>
            </w:r>
          </w:p>
        </w:tc>
        <w:tc>
          <w:tcPr>
            <w:tcW w:type="dxa" w:w="2484"/>
          </w:tcPr>
          <w:p>
            <w:r>
              <w:t>GS/GD</w:t>
            </w:r>
          </w:p>
        </w:tc>
        <w:tc>
          <w:tcPr>
            <w:tcW w:type="dxa" w:w="2484"/>
          </w:tcPr>
          <w:p>
            <w:r>
              <w:t>Provide private endpoint and platform connectivity</w:t>
            </w:r>
          </w:p>
        </w:tc>
      </w:tr>
      <w:tr>
        <w:tc>
          <w:tcPr>
            <w:tcW w:type="dxa" w:w="2484"/>
          </w:tcPr>
          <w:p>
            <w:r>
              <w:t>SIA-ACL</w:t>
            </w:r>
          </w:p>
        </w:tc>
        <w:tc>
          <w:tcPr>
            <w:tcW w:type="dxa" w:w="2484"/>
          </w:tcPr>
          <w:p>
            <w:r>
              <w:t>Agreement creation, event publishing, RunXQuery enrichment, MIS code update handling</w:t>
            </w:r>
          </w:p>
        </w:tc>
        <w:tc>
          <w:tcPr>
            <w:tcW w:type="dxa" w:w="2484"/>
          </w:tcPr>
          <w:p>
            <w:r>
              <w:t>GS/GD</w:t>
            </w:r>
          </w:p>
        </w:tc>
        <w:tc>
          <w:tcPr>
            <w:tcW w:type="dxa" w:w="2484"/>
          </w:tcPr>
          <w:p>
            <w:r>
              <w:t>Support infra for event push and deployment</w:t>
            </w:r>
          </w:p>
        </w:tc>
      </w:tr>
      <w:tr>
        <w:tc>
          <w:tcPr>
            <w:tcW w:type="dxa" w:w="2484"/>
          </w:tcPr>
          <w:p>
            <w:r>
              <w:t>SOE-DEAL</w:t>
            </w:r>
          </w:p>
        </w:tc>
        <w:tc>
          <w:tcPr>
            <w:tcW w:type="dxa" w:w="2484"/>
          </w:tcPr>
          <w:p>
            <w:r>
              <w:t>SOAP wrapper plus MIS code update integration and exception handling</w:t>
            </w:r>
          </w:p>
        </w:tc>
        <w:tc>
          <w:tcPr>
            <w:tcW w:type="dxa" w:w="2484"/>
          </w:tcPr>
          <w:p>
            <w:r>
              <w:t>GS/GD</w:t>
            </w:r>
          </w:p>
        </w:tc>
        <w:tc>
          <w:tcPr>
            <w:tcW w:type="dxa" w:w="2484"/>
          </w:tcPr>
          <w:p>
            <w:r>
              <w:t>Deploy runtime components and connectivity</w:t>
            </w:r>
          </w:p>
        </w:tc>
      </w:tr>
      <w:tr>
        <w:tc>
          <w:tcPr>
            <w:tcW w:type="dxa" w:w="2484"/>
          </w:tcPr>
          <w:p>
            <w:r>
              <w:t>CLI-PUSH</w:t>
            </w:r>
          </w:p>
        </w:tc>
        <w:tc>
          <w:tcPr>
            <w:tcW w:type="dxa" w:w="2484"/>
          </w:tcPr>
          <w:p>
            <w:r>
              <w:t>Three-step FFC to RunXQuery model for filters, result sets, and detail extraction</w:t>
            </w:r>
          </w:p>
        </w:tc>
        <w:tc>
          <w:tcPr>
            <w:tcW w:type="dxa" w:w="2484"/>
          </w:tcPr>
          <w:p>
            <w:r>
              <w:t>GS/GD</w:t>
            </w:r>
          </w:p>
        </w:tc>
        <w:tc>
          <w:tcPr>
            <w:tcW w:type="dxa" w:w="2484"/>
          </w:tcPr>
          <w:p>
            <w:r>
              <w:t>Deploy auth and endpoint runtime support</w:t>
            </w:r>
          </w:p>
        </w:tc>
      </w:tr>
      <w:tr>
        <w:tc>
          <w:tcPr>
            <w:tcW w:type="dxa" w:w="2484"/>
          </w:tcPr>
          <w:p>
            <w:r>
              <w:t>EXB-REM</w:t>
            </w:r>
          </w:p>
        </w:tc>
        <w:tc>
          <w:tcPr>
            <w:tcW w:type="dxa" w:w="2484"/>
          </w:tcPr>
          <w:p>
            <w:r>
              <w:t>Cashflow event model, EVM triggers, RunXQuery enrichment, release update APIs</w:t>
            </w:r>
          </w:p>
        </w:tc>
        <w:tc>
          <w:tcPr>
            <w:tcW w:type="dxa" w:w="2484"/>
          </w:tcPr>
          <w:p>
            <w:r>
              <w:t>GS/GD</w:t>
            </w:r>
          </w:p>
        </w:tc>
        <w:tc>
          <w:tcPr>
            <w:tcW w:type="dxa" w:w="2484"/>
          </w:tcPr>
          <w:p>
            <w:r>
              <w:t>Deploy triggers and support runtime event infrastructure</w:t>
            </w:r>
          </w:p>
        </w:tc>
      </w:tr>
      <w:tr>
        <w:tc>
          <w:tcPr>
            <w:tcW w:type="dxa" w:w="2484"/>
          </w:tcPr>
          <w:p>
            <w:r>
              <w:t>IUA / GAR</w:t>
            </w:r>
          </w:p>
        </w:tc>
        <w:tc>
          <w:tcPr>
            <w:tcW w:type="dxa" w:w="2484"/>
          </w:tcPr>
          <w:p>
            <w:r>
              <w:t>DWEXT-based extraction plus custom exposure for additional required tables</w:t>
            </w:r>
          </w:p>
        </w:tc>
        <w:tc>
          <w:tcPr>
            <w:tcW w:type="dxa" w:w="2484"/>
          </w:tcPr>
          <w:p>
            <w:r>
              <w:t>GS/GD</w:t>
            </w:r>
          </w:p>
        </w:tc>
        <w:tc>
          <w:tcPr>
            <w:tcW w:type="dxa" w:w="2484"/>
          </w:tcPr>
          <w:p>
            <w:r>
              <w:t>Run schedules and deliver files</w:t>
            </w:r>
          </w:p>
        </w:tc>
      </w:tr>
      <w:tr>
        <w:tc>
          <w:tcPr>
            <w:tcW w:type="dxa" w:w="2484"/>
          </w:tcPr>
          <w:p>
            <w:r>
              <w:t>Custom Reports</w:t>
            </w:r>
          </w:p>
        </w:tc>
        <w:tc>
          <w:tcPr>
            <w:tcW w:type="dxa" w:w="2484"/>
          </w:tcPr>
          <w:p>
            <w:r>
              <w:t>Pending Contacts, Pending DDA Number, Pending Transactions for Release</w:t>
            </w:r>
          </w:p>
        </w:tc>
        <w:tc>
          <w:tcPr>
            <w:tcW w:type="dxa" w:w="2484"/>
          </w:tcPr>
          <w:p>
            <w:r>
              <w:t>GS/GD</w:t>
            </w:r>
          </w:p>
        </w:tc>
        <w:tc>
          <w:tcPr>
            <w:tcW w:type="dxa" w:w="2484"/>
          </w:tcPr>
          <w:p>
            <w:r>
              <w:t>Support scheduling and email infrastructure</w:t>
            </w:r>
          </w:p>
        </w:tc>
      </w:tr>
    </w:tbl>
    <w:p>
      <w:pPr>
        <w:pStyle w:val="Heading1"/>
      </w:pPr>
      <w:r>
        <w:t>8. Environment Access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Environment</w:t>
            </w:r>
          </w:p>
        </w:tc>
        <w:tc>
          <w:tcPr>
            <w:tcW w:type="dxa" w:w="2484"/>
          </w:tcPr>
          <w:p>
            <w:r>
              <w:t>GS/GD Access</w:t>
            </w:r>
          </w:p>
        </w:tc>
        <w:tc>
          <w:tcPr>
            <w:tcW w:type="dxa" w:w="2484"/>
          </w:tcPr>
          <w:p>
            <w:r>
              <w:t>LCS SRE Role</w:t>
            </w:r>
          </w:p>
        </w:tc>
        <w:tc>
          <w:tcPr>
            <w:tcW w:type="dxa" w:w="2484"/>
          </w:tcPr>
          <w:p>
            <w:r>
              <w:t>IBM Role</w:t>
            </w:r>
          </w:p>
        </w:tc>
      </w:tr>
      <w:tr>
        <w:tc>
          <w:tcPr>
            <w:tcW w:type="dxa" w:w="2484"/>
          </w:tcPr>
          <w:p>
            <w:r>
              <w:t>DEV / SIT</w:t>
            </w:r>
          </w:p>
        </w:tc>
        <w:tc>
          <w:tcPr>
            <w:tcW w:type="dxa" w:w="2484"/>
          </w:tcPr>
          <w:p>
            <w:r>
              <w:t>Controlled application and DB / config update access for build validation and defect fixing</w:t>
            </w:r>
          </w:p>
        </w:tc>
        <w:tc>
          <w:tcPr>
            <w:tcW w:type="dxa" w:w="2484"/>
          </w:tcPr>
          <w:p>
            <w:r>
              <w:t>Approve and govern access</w:t>
            </w:r>
          </w:p>
        </w:tc>
        <w:tc>
          <w:tcPr>
            <w:tcW w:type="dxa" w:w="2484"/>
          </w:tcPr>
          <w:p>
            <w:r>
              <w:t>Provision credentials and maintain control</w:t>
            </w:r>
          </w:p>
        </w:tc>
      </w:tr>
      <w:tr>
        <w:tc>
          <w:tcPr>
            <w:tcW w:type="dxa" w:w="2484"/>
          </w:tcPr>
          <w:p>
            <w:r>
              <w:t>UAT</w:t>
            </w:r>
          </w:p>
        </w:tc>
        <w:tc>
          <w:tcPr>
            <w:tcW w:type="dxa" w:w="2484"/>
          </w:tcPr>
          <w:p>
            <w:r>
              <w:t>Controlled application and DB / config update access for release validation and UAT support</w:t>
            </w:r>
          </w:p>
        </w:tc>
        <w:tc>
          <w:tcPr>
            <w:tcW w:type="dxa" w:w="2484"/>
          </w:tcPr>
          <w:p>
            <w:r>
              <w:t>Approve, time-box, and govern access</w:t>
            </w:r>
          </w:p>
        </w:tc>
        <w:tc>
          <w:tcPr>
            <w:tcW w:type="dxa" w:w="2484"/>
          </w:tcPr>
          <w:p>
            <w:r>
              <w:t>Provision credentials and maintain control</w:t>
            </w:r>
          </w:p>
        </w:tc>
      </w:tr>
      <w:tr>
        <w:tc>
          <w:tcPr>
            <w:tcW w:type="dxa" w:w="2484"/>
          </w:tcPr>
          <w:p>
            <w:r>
              <w:t>PROD</w:t>
            </w:r>
          </w:p>
        </w:tc>
        <w:tc>
          <w:tcPr>
            <w:tcW w:type="dxa" w:w="2484"/>
          </w:tcPr>
          <w:p>
            <w:r>
              <w:t>No standing direct execution by default; provide scripts, package, and runbook</w:t>
            </w:r>
          </w:p>
        </w:tc>
        <w:tc>
          <w:tcPr>
            <w:tcW w:type="dxa" w:w="2484"/>
          </w:tcPr>
          <w:p>
            <w:r>
              <w:t>Approve release and enforce segregation of duties</w:t>
            </w:r>
          </w:p>
        </w:tc>
        <w:tc>
          <w:tcPr>
            <w:tcW w:type="dxa" w:w="2484"/>
          </w:tcPr>
          <w:p>
            <w:r>
              <w:t>Execute approved deployment</w:t>
            </w:r>
          </w:p>
        </w:tc>
      </w:tr>
      <w:tr>
        <w:tc>
          <w:tcPr>
            <w:tcW w:type="dxa" w:w="2484"/>
          </w:tcPr>
          <w:p>
            <w:r>
              <w:t>DR</w:t>
            </w:r>
          </w:p>
        </w:tc>
        <w:tc>
          <w:tcPr>
            <w:tcW w:type="dxa" w:w="2484"/>
          </w:tcPr>
          <w:p>
            <w:r>
              <w:t>No standing direct execution by default; provide DR runbook and validation steps</w:t>
            </w:r>
          </w:p>
        </w:tc>
        <w:tc>
          <w:tcPr>
            <w:tcW w:type="dxa" w:w="2484"/>
          </w:tcPr>
          <w:p>
            <w:r>
              <w:t>Approve DR deployment model</w:t>
            </w:r>
          </w:p>
        </w:tc>
        <w:tc>
          <w:tcPr>
            <w:tcW w:type="dxa" w:w="2484"/>
          </w:tcPr>
          <w:p>
            <w:r>
              <w:t>Execute DR deployment / failover activity</w:t>
            </w:r>
          </w:p>
        </w:tc>
      </w:tr>
    </w:tbl>
    <w:p>
      <w:pPr>
        <w:pStyle w:val="Heading1"/>
      </w:pPr>
      <w:r>
        <w:t>9. CI/CD and Release Governance Model</w:t>
      </w:r>
    </w:p>
    <w:p>
      <w:pPr>
        <w:pStyle w:val="ListBullet"/>
      </w:pPr>
      <w:r>
        <w:t>GS/GD owns the change content: application code, DB scripts, configuration updates, validation steps, and rollback steps.</w:t>
      </w:r>
    </w:p>
    <w:p>
      <w:pPr>
        <w:pStyle w:val="ListBullet"/>
      </w:pPr>
      <w:r>
        <w:t>LCS SRE owns CI and CD governance: release controls, approval gates, segregation of duties, and promotion approvals across UAT, PROD, and DR.</w:t>
      </w:r>
    </w:p>
    <w:p>
      <w:pPr>
        <w:pStyle w:val="ListBullet"/>
      </w:pPr>
      <w:r>
        <w:t>IBM executes deployments in managed environments using approved artifacts, approved windows, and approved runbooks.</w:t>
      </w:r>
    </w:p>
    <w:p>
      <w:pPr>
        <w:pStyle w:val="ListBullet"/>
      </w:pPr>
      <w:r>
        <w:t>GS/GD supports non-production validation, but production and DR execution remain under LCS SRE governance and IBM execution control.</w:t>
      </w:r>
    </w:p>
    <w:p>
      <w:pPr>
        <w:pStyle w:val="Heading1"/>
      </w:pPr>
      <w:r>
        <w:t>10. Runbook Handover Model</w:t>
      </w:r>
    </w:p>
    <w:p>
      <w:pPr>
        <w:pStyle w:val="ListBullet"/>
      </w:pPr>
      <w:r>
        <w:t>GS/GD prepares the deployment runbook including prerequisites, impacted components, DB scripts, configuration changes, restart order, smoke tests, rollback steps, and post-deployment checks.</w:t>
      </w:r>
    </w:p>
    <w:p>
      <w:pPr>
        <w:pStyle w:val="ListBullet"/>
      </w:pPr>
      <w:r>
        <w:t>GS/GD hands the runbook to LCS SRE for operational review, change governance validation, and release approval.</w:t>
      </w:r>
    </w:p>
    <w:p>
      <w:pPr>
        <w:pStyle w:val="ListBullet"/>
      </w:pPr>
      <w:r>
        <w:t>LCS SRE hands the approved runbook to IBM as the execution instruction set for UAT, PROD, and DR.</w:t>
      </w:r>
    </w:p>
    <w:p>
      <w:pPr>
        <w:pStyle w:val="ListBullet"/>
      </w:pPr>
      <w:r>
        <w:t>IBM executes the approved runbook during the agreed window and returns execution evidence and status to LCS SRE.</w:t>
      </w:r>
    </w:p>
    <w:p>
      <w:pPr>
        <w:pStyle w:val="ListBullet"/>
      </w:pPr>
      <w:r>
        <w:t>LCS SRE confirms deployment outcome and coordinates GS/GD if application-level remediation is required.</w:t>
      </w:r>
    </w:p>
    <w:p>
      <w:pPr>
        <w:pStyle w:val="Heading1"/>
      </w:pPr>
      <w:r>
        <w:t>11. Detailed IBM Responsibilities</w:t>
      </w:r>
    </w:p>
    <w:p>
      <w:r>
        <w:t>Because IBM now has full environment and cloud access, IBM is expected to execute the infrastructure and platform tasks below as part of the operating model.</w:t>
      </w:r>
    </w:p>
    <w:p>
      <w:pPr>
        <w:pStyle w:val="ListBullet"/>
      </w:pPr>
      <w:r>
        <w:t>Provision and maintain Azure virtual infrastructure, storage, network components, and environment baselines.</w:t>
      </w:r>
    </w:p>
    <w:p>
      <w:pPr>
        <w:pStyle w:val="ListBullet"/>
      </w:pPr>
      <w:r>
        <w:t>Operate Citrix access components and the infrastructure used for end-user access into the hosted application.</w:t>
      </w:r>
    </w:p>
    <w:p>
      <w:pPr>
        <w:pStyle w:val="ListBullet"/>
      </w:pPr>
      <w:r>
        <w:t>Implement Finastra-approved firewall, gateway, proxy, and IP whitelisting changes on the hosted side.</w:t>
      </w:r>
    </w:p>
    <w:p>
      <w:pPr>
        <w:pStyle w:val="ListBullet"/>
      </w:pPr>
      <w:r>
        <w:t>Deploy and maintain Keycloak, connectivity, and endpoint-level infrastructure required by the new integrations.</w:t>
      </w:r>
    </w:p>
    <w:p>
      <w:pPr>
        <w:pStyle w:val="ListBullet"/>
      </w:pPr>
      <w:r>
        <w:t>Maintain privileged environment access controls and provision approved GS/GD access for DEV, SIT, and UAT when authorized by LCS SRE.</w:t>
      </w:r>
    </w:p>
    <w:p>
      <w:pPr>
        <w:pStyle w:val="ListBullet"/>
      </w:pPr>
      <w:r>
        <w:t>Execute approved deployments into non-production and production environments under LCS SRE change governance.</w:t>
      </w:r>
    </w:p>
    <w:p>
      <w:pPr>
        <w:pStyle w:val="ListBullet"/>
      </w:pPr>
      <w:r>
        <w:t>Execute DB scripts, configuration changes, and release steps in PROD and DR based on approved LCS SRE-controlled runbooks.</w:t>
      </w:r>
    </w:p>
    <w:p>
      <w:pPr>
        <w:pStyle w:val="ListBullet"/>
      </w:pPr>
      <w:r>
        <w:t>Run and monitor EOD batch schedules including DWEXT and other extraction processes configured by GS/GD and overseen by LCS SRE.</w:t>
      </w:r>
    </w:p>
    <w:p>
      <w:pPr>
        <w:pStyle w:val="ListBullet"/>
      </w:pPr>
      <w:r>
        <w:t>Provide secure file transfer execution, encrypted file handling, and timed retention / deletion according to the service rules.</w:t>
      </w:r>
    </w:p>
    <w:p>
      <w:pPr>
        <w:pStyle w:val="ListBullet"/>
      </w:pPr>
      <w:r>
        <w:t>Support DR execution, annual failover tests, backup and restore activity, log retention, OS and middleware patching, and database runtime operations.</w:t>
      </w:r>
    </w:p>
    <w:p>
      <w:pPr>
        <w:pStyle w:val="Heading1"/>
      </w:pPr>
      <w:r>
        <w:t>12. Detailed Finastra Responsibilities</w:t>
      </w:r>
    </w:p>
    <w:p>
      <w:pPr>
        <w:pStyle w:val="Heading2"/>
      </w:pPr>
      <w:r>
        <w:t>12.1 GS/GD Responsibilities</w:t>
      </w:r>
    </w:p>
    <w:p>
      <w:pPr>
        <w:pStyle w:val="ListBullet"/>
      </w:pPr>
      <w:r>
        <w:t>Own solution design and all application-level configuration within Loan IQ.</w:t>
      </w:r>
    </w:p>
    <w:p>
      <w:pPr>
        <w:pStyle w:val="ListBullet"/>
      </w:pPr>
      <w:r>
        <w:t>Build and deliver FFC artifacts, SOAP wrappers, SDK-based triggers, XQuery logic, and API integrations.</w:t>
      </w:r>
    </w:p>
    <w:p>
      <w:pPr>
        <w:pStyle w:val="ListBullet"/>
      </w:pPr>
      <w:r>
        <w:t>Deliver the CaixaBank extension interfaces and custom DataNet reporting.</w:t>
      </w:r>
    </w:p>
    <w:p>
      <w:pPr>
        <w:pStyle w:val="ListBullet"/>
      </w:pPr>
      <w:r>
        <w:t>Define interface payloads, event logic, transaction coverage, and CR-specific build scope.</w:t>
      </w:r>
    </w:p>
    <w:p>
      <w:pPr>
        <w:pStyle w:val="ListBullet"/>
      </w:pPr>
      <w:r>
        <w:t>Prepare approved DB scripts, configuration changes, release packages, and implementation / rollback instructions for deployment.</w:t>
      </w:r>
    </w:p>
    <w:p>
      <w:pPr>
        <w:pStyle w:val="ListBullet"/>
      </w:pPr>
      <w:r>
        <w:t>Use controlled non-production access where granted to validate build content and support SIT / UAT.</w:t>
      </w:r>
    </w:p>
    <w:p>
      <w:pPr>
        <w:pStyle w:val="ListBullet"/>
      </w:pPr>
      <w:r>
        <w:t>Produce the formal deployment runbook for handoff to LCS SRE.</w:t>
      </w:r>
    </w:p>
    <w:p>
      <w:pPr>
        <w:pStyle w:val="ListBullet"/>
      </w:pPr>
      <w:r>
        <w:t>Support SIT and UAT with issue analysis and application-level fixes.</w:t>
      </w:r>
    </w:p>
    <w:p>
      <w:pPr>
        <w:pStyle w:val="ListBullet"/>
      </w:pPr>
      <w:r>
        <w:t>Validate application upgrades and ensure functional compatibility of releases.</w:t>
      </w:r>
    </w:p>
    <w:p>
      <w:pPr>
        <w:pStyle w:val="Heading2"/>
      </w:pPr>
      <w:r>
        <w:t>12.2 LCS SRE Responsibilities</w:t>
      </w:r>
    </w:p>
    <w:p>
      <w:pPr>
        <w:pStyle w:val="ListBullet"/>
      </w:pPr>
      <w:r>
        <w:t>Own the managed service operating model, including approvals, service governance, CI / CD governance, and operational accountability.</w:t>
      </w:r>
    </w:p>
    <w:p>
      <w:pPr>
        <w:pStyle w:val="ListBullet"/>
      </w:pPr>
      <w:r>
        <w:t>Lead incident management, change management, production approval, access approval, and service-level management.</w:t>
      </w:r>
    </w:p>
    <w:p>
      <w:pPr>
        <w:pStyle w:val="ListBullet"/>
      </w:pPr>
      <w:r>
        <w:t>Oversee environment strategy, DR planning, compliance execution, data masking approvals, and platform security governance.</w:t>
      </w:r>
    </w:p>
    <w:p>
      <w:pPr>
        <w:pStyle w:val="ListBullet"/>
      </w:pPr>
      <w:r>
        <w:t>Coordinate IBM execution for deployments, environment setup, batch operations, and DR activities.</w:t>
      </w:r>
    </w:p>
    <w:p>
      <w:pPr>
        <w:pStyle w:val="ListBullet"/>
      </w:pPr>
      <w:r>
        <w:t>Review, approve, and operationally accept GS/GD deployment runbooks before handing them to IBM for UAT, PROD, and DR execution.</w:t>
      </w:r>
    </w:p>
    <w:p>
      <w:pPr>
        <w:pStyle w:val="ListBullet"/>
      </w:pPr>
      <w:r>
        <w:t>Approve application-level and environment-level actions where they affect service stability, security, or compliance.</w:t>
      </w:r>
    </w:p>
    <w:p>
      <w:pPr>
        <w:pStyle w:val="Heading1"/>
      </w:pPr>
      <w:r>
        <w:t>13. Delivery Workflow for New CaixaBank Scope</w:t>
      </w:r>
    </w:p>
    <w:p>
      <w:pPr>
        <w:pStyle w:val="ListBullet"/>
      </w:pPr>
      <w:r>
        <w:t>GS/GD defines and builds the application and integration changes.</w:t>
      </w:r>
    </w:p>
    <w:p>
      <w:pPr>
        <w:pStyle w:val="ListBullet"/>
      </w:pPr>
      <w:r>
        <w:t>GS/GD prepares the deployable package, DB scripts, config updates, and runbook.</w:t>
      </w:r>
    </w:p>
    <w:p>
      <w:pPr>
        <w:pStyle w:val="ListBullet"/>
      </w:pPr>
      <w:r>
        <w:t>LCS SRE reviews the operational impact, security impact, CI / CD path, and release controls.</w:t>
      </w:r>
    </w:p>
    <w:p>
      <w:pPr>
        <w:pStyle w:val="ListBullet"/>
      </w:pPr>
      <w:r>
        <w:t>IBM provisions or updates the required runtime infrastructure, access paths, network controls, and environment components.</w:t>
      </w:r>
    </w:p>
    <w:p>
      <w:pPr>
        <w:pStyle w:val="ListBullet"/>
      </w:pPr>
      <w:r>
        <w:t>GS/GD supports SIT and UAT while IBM keeps environments stable and LCS SRE governs changes and incidents.</w:t>
      </w:r>
    </w:p>
    <w:p>
      <w:pPr>
        <w:pStyle w:val="ListBullet"/>
      </w:pPr>
      <w:r>
        <w:t>Production promotion proceeds only through approved change control under the managed service model.</w:t>
      </w:r>
    </w:p>
    <w:p>
      <w:pPr>
        <w:pStyle w:val="Heading1"/>
      </w:pPr>
      <w:r>
        <w:t>14. Governance and Control Model</w:t>
      </w:r>
    </w:p>
    <w:p>
      <w:pPr>
        <w:pStyle w:val="ListBullet"/>
      </w:pPr>
      <w:r>
        <w:t>Design Authority remains the control point for solution changes that move outside the standard MVS model.</w:t>
      </w:r>
    </w:p>
    <w:p>
      <w:pPr>
        <w:pStyle w:val="ListBullet"/>
      </w:pPr>
      <w:r>
        <w:t>Service Value Management remains the operational control to protect the service from unmanaged growth or non-standard operating patterns.</w:t>
      </w:r>
    </w:p>
    <w:p>
      <w:pPr>
        <w:pStyle w:val="ListBullet"/>
      </w:pPr>
      <w:r>
        <w:t>IBM execution does not transfer Finastra accountability for the service; it formalizes IBM as the infrastructure executor under Finastra governance.</w:t>
      </w:r>
    </w:p>
    <w:p>
      <w:pPr>
        <w:pStyle w:val="ListBullet"/>
      </w:pPr>
      <w:r>
        <w:t>Segregation of duties is maintained by separating GS/GD build preparation from IBM production and DR execution.</w:t>
      </w:r>
    </w:p>
    <w:p>
      <w:pPr>
        <w:pStyle w:val="ListBullet"/>
      </w:pPr>
      <w:r>
        <w:t>All access, production deployment, security-sensitive changes, DR exercises, and platform-affecting changes must remain within LCS SRE approval control.</w:t>
      </w:r>
    </w:p>
    <w:p>
      <w:pPr>
        <w:pStyle w:val="Heading1"/>
      </w:pPr>
      <w:r>
        <w:t>15. Assumptions</w:t>
      </w:r>
    </w:p>
    <w:p>
      <w:pPr>
        <w:pStyle w:val="ListBullet"/>
      </w:pPr>
      <w:r>
        <w:t>IBM has sufficient environment and cloud access to execute the infrastructure and deployment activities listed in this document.</w:t>
      </w:r>
    </w:p>
    <w:p>
      <w:pPr>
        <w:pStyle w:val="ListBullet"/>
      </w:pPr>
      <w:r>
        <w:t>CaixaBank remains responsible for bank-side private endpoints, consuming-system readiness, and business sign-off.</w:t>
      </w:r>
    </w:p>
    <w:p>
      <w:pPr>
        <w:pStyle w:val="ListBullet"/>
      </w:pPr>
      <w:r>
        <w:t>GS/GD remains the owner of all application code, configuration, integration build content, and functional issue resolution.</w:t>
      </w:r>
    </w:p>
    <w:p>
      <w:pPr>
        <w:pStyle w:val="ListBullet"/>
      </w:pPr>
      <w:r>
        <w:t>GS/GD may be granted controlled non-production access for approved DB and configuration activity, but does not hold standing production or DR execution rights by default.</w:t>
      </w:r>
    </w:p>
    <w:p>
      <w:pPr>
        <w:pStyle w:val="ListBullet"/>
      </w:pPr>
      <w:r>
        <w:t>LCS SRE remains the owner of service governance, managed service controls, security governance, and runtime operational accountability.</w:t>
      </w:r>
    </w:p>
    <w:p>
      <w:pPr>
        <w:pStyle w:val="ListBullet"/>
      </w:pPr>
      <w:r>
        <w:t>Where final payload, event, or table scope is subject to change request confirmation, the implemented scope will follow the approved CR outcome.</w:t>
      </w:r>
    </w:p>
    <w:p>
      <w:pPr>
        <w:pStyle w:val="Heading1"/>
      </w:pPr>
      <w:r>
        <w:t>16. Recommended Working Agreement with IBM</w:t>
      </w:r>
    </w:p>
    <w:p>
      <w:pPr>
        <w:pStyle w:val="ListBullet"/>
      </w:pPr>
      <w:r>
        <w:t>Use this document as the reference baseline for ownership alignment before detailed cutover planning or delivery scheduling.</w:t>
      </w:r>
    </w:p>
    <w:p>
      <w:pPr>
        <w:pStyle w:val="ListBullet"/>
      </w:pPr>
      <w:r>
        <w:t>Track each extension interface as a separate delivery item with GS/GD owner, LCS SRE approver, and IBM execution contact.</w:t>
      </w:r>
    </w:p>
    <w:p>
      <w:pPr>
        <w:pStyle w:val="ListBullet"/>
      </w:pPr>
      <w:r>
        <w:t>Maintain a shared deployment and connectivity checklist for private endpoints, Keycloak, Citrix, networking, and batch scheduling.</w:t>
      </w:r>
    </w:p>
    <w:p>
      <w:pPr>
        <w:pStyle w:val="ListBullet"/>
      </w:pPr>
      <w:r>
        <w:t>Use a standard runbook template for every release into UAT, PROD, and DR with explicit rollback, validation, and sign-off steps.</w:t>
      </w:r>
    </w:p>
    <w:p>
      <w:pPr>
        <w:pStyle w:val="ListBullet"/>
      </w:pPr>
      <w:r>
        <w:t>Confirm escalation boundaries up front: IBM handles infra L1 and L2, LCS SRE leads the managed service response, and GS/GD supports L3 application issues.</w:t>
      </w:r>
    </w:p>
    <w:p>
      <w:pPr>
        <w:pStyle w:val="Heading1"/>
      </w:pPr>
      <w:r>
        <w:t>Appendix A. Role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GS/GD</w:t>
            </w:r>
          </w:p>
        </w:tc>
        <w:tc>
          <w:tcPr>
            <w:tcW w:type="dxa" w:w="2484"/>
          </w:tcPr>
          <w:p>
            <w:r>
              <w:t>LCS SRE</w:t>
            </w:r>
          </w:p>
        </w:tc>
        <w:tc>
          <w:tcPr>
            <w:tcW w:type="dxa" w:w="2484"/>
          </w:tcPr>
          <w:p>
            <w:r>
              <w:t>IBM</w:t>
            </w:r>
          </w:p>
        </w:tc>
      </w:tr>
      <w:tr>
        <w:tc>
          <w:tcPr>
            <w:tcW w:type="dxa" w:w="2484"/>
          </w:tcPr>
          <w:p>
            <w:r>
              <w:t>Solution config</w:t>
            </w:r>
          </w:p>
        </w:tc>
        <w:tc>
          <w:tcPr>
            <w:tcW w:type="dxa" w:w="2484"/>
          </w:tcPr>
          <w:p>
            <w:r>
              <w:t>Own</w:t>
            </w:r>
          </w:p>
        </w:tc>
        <w:tc>
          <w:tcPr>
            <w:tcW w:type="dxa" w:w="2484"/>
          </w:tcPr>
          <w:p>
            <w:r>
              <w:t>Govern / approve</w:t>
            </w:r>
          </w:p>
        </w:tc>
        <w:tc>
          <w:tcPr>
            <w:tcW w:type="dxa" w:w="2484"/>
          </w:tcPr>
          <w:p>
            <w:r>
              <w:t>No</w:t>
            </w:r>
          </w:p>
        </w:tc>
      </w:tr>
      <w:tr>
        <w:tc>
          <w:tcPr>
            <w:tcW w:type="dxa" w:w="2484"/>
          </w:tcPr>
          <w:p>
            <w:r>
              <w:t>Integration delivery</w:t>
            </w:r>
          </w:p>
        </w:tc>
        <w:tc>
          <w:tcPr>
            <w:tcW w:type="dxa" w:w="2484"/>
          </w:tcPr>
          <w:p>
            <w:r>
              <w:t>Own</w:t>
            </w:r>
          </w:p>
        </w:tc>
        <w:tc>
          <w:tcPr>
            <w:tcW w:type="dxa" w:w="2484"/>
          </w:tcPr>
          <w:p>
            <w:r>
              <w:t>Support</w:t>
            </w:r>
          </w:p>
        </w:tc>
        <w:tc>
          <w:tcPr>
            <w:tcW w:type="dxa" w:w="2484"/>
          </w:tcPr>
          <w:p>
            <w:r>
              <w:t>Provide access</w:t>
            </w:r>
          </w:p>
        </w:tc>
      </w:tr>
      <w:tr>
        <w:tc>
          <w:tcPr>
            <w:tcW w:type="dxa" w:w="2484"/>
          </w:tcPr>
          <w:p>
            <w:r>
              <w:t>Platform operations</w:t>
            </w:r>
          </w:p>
        </w:tc>
        <w:tc>
          <w:tcPr>
            <w:tcW w:type="dxa" w:w="2484"/>
          </w:tcPr>
          <w:p>
            <w:r>
              <w:t>No</w:t>
            </w:r>
          </w:p>
        </w:tc>
        <w:tc>
          <w:tcPr>
            <w:tcW w:type="dxa" w:w="2484"/>
          </w:tcPr>
          <w:p>
            <w:r>
              <w:t>Own</w:t>
            </w:r>
          </w:p>
        </w:tc>
        <w:tc>
          <w:tcPr>
            <w:tcW w:type="dxa" w:w="2484"/>
          </w:tcPr>
          <w:p>
            <w:r>
              <w:t>Support / execute</w:t>
            </w:r>
          </w:p>
        </w:tc>
      </w:tr>
      <w:tr>
        <w:tc>
          <w:tcPr>
            <w:tcW w:type="dxa" w:w="2484"/>
          </w:tcPr>
          <w:p>
            <w:r>
              <w:t>Application upgrades</w:t>
            </w:r>
          </w:p>
        </w:tc>
        <w:tc>
          <w:tcPr>
            <w:tcW w:type="dxa" w:w="2484"/>
          </w:tcPr>
          <w:p>
            <w:r>
              <w:t>Validate</w:t>
            </w:r>
          </w:p>
        </w:tc>
        <w:tc>
          <w:tcPr>
            <w:tcW w:type="dxa" w:w="2484"/>
          </w:tcPr>
          <w:p>
            <w:r>
              <w:t>Own</w:t>
            </w:r>
          </w:p>
        </w:tc>
        <w:tc>
          <w:tcPr>
            <w:tcW w:type="dxa" w:w="2484"/>
          </w:tcPr>
          <w:p>
            <w:r>
              <w:t>Support / deploy</w:t>
            </w:r>
          </w:p>
        </w:tc>
      </w:tr>
      <w:tr>
        <w:tc>
          <w:tcPr>
            <w:tcW w:type="dxa" w:w="2484"/>
          </w:tcPr>
          <w:p>
            <w:r>
              <w:t>Infra (Azure)</w:t>
            </w:r>
          </w:p>
        </w:tc>
        <w:tc>
          <w:tcPr>
            <w:tcW w:type="dxa" w:w="2484"/>
          </w:tcPr>
          <w:p>
            <w:r>
              <w:t>No</w:t>
            </w:r>
          </w:p>
        </w:tc>
        <w:tc>
          <w:tcPr>
            <w:tcW w:type="dxa" w:w="2484"/>
          </w:tcPr>
          <w:p>
            <w:r>
              <w:t>No</w:t>
            </w:r>
          </w:p>
        </w:tc>
        <w:tc>
          <w:tcPr>
            <w:tcW w:type="dxa" w:w="2484"/>
          </w:tcPr>
          <w:p>
            <w:r>
              <w:t>Own</w:t>
            </w:r>
          </w:p>
        </w:tc>
      </w:tr>
      <w:tr>
        <w:tc>
          <w:tcPr>
            <w:tcW w:type="dxa" w:w="2484"/>
          </w:tcPr>
          <w:p>
            <w:r>
              <w:t>Environment access</w:t>
            </w:r>
          </w:p>
        </w:tc>
        <w:tc>
          <w:tcPr>
            <w:tcW w:type="dxa" w:w="2484"/>
          </w:tcPr>
          <w:p>
            <w:r>
              <w:t>Request</w:t>
            </w:r>
          </w:p>
        </w:tc>
        <w:tc>
          <w:tcPr>
            <w:tcW w:type="dxa" w:w="2484"/>
          </w:tcPr>
          <w:p>
            <w:r>
              <w:t>Approve app-level</w:t>
            </w:r>
          </w:p>
        </w:tc>
        <w:tc>
          <w:tcPr>
            <w:tcW w:type="dxa" w:w="2484"/>
          </w:tcPr>
          <w:p>
            <w:r>
              <w:t>Control</w:t>
            </w:r>
          </w:p>
        </w:tc>
      </w:tr>
      <w:tr>
        <w:tc>
          <w:tcPr>
            <w:tcW w:type="dxa" w:w="2484"/>
          </w:tcPr>
          <w:p>
            <w:r>
              <w:t>Non-Prod DB / config access</w:t>
            </w:r>
          </w:p>
        </w:tc>
        <w:tc>
          <w:tcPr>
            <w:tcW w:type="dxa" w:w="2484"/>
          </w:tcPr>
          <w:p>
            <w:r>
              <w:t>Controlled access</w:t>
            </w:r>
          </w:p>
        </w:tc>
        <w:tc>
          <w:tcPr>
            <w:tcW w:type="dxa" w:w="2484"/>
          </w:tcPr>
          <w:p>
            <w:r>
              <w:t>Approve</w:t>
            </w:r>
          </w:p>
        </w:tc>
        <w:tc>
          <w:tcPr>
            <w:tcW w:type="dxa" w:w="2484"/>
          </w:tcPr>
          <w:p>
            <w:r>
              <w:t>Control</w:t>
            </w:r>
          </w:p>
        </w:tc>
      </w:tr>
      <w:tr>
        <w:tc>
          <w:tcPr>
            <w:tcW w:type="dxa" w:w="2484"/>
          </w:tcPr>
          <w:p>
            <w:r>
              <w:t>Security (app)</w:t>
            </w:r>
          </w:p>
        </w:tc>
        <w:tc>
          <w:tcPr>
            <w:tcW w:type="dxa" w:w="2484"/>
          </w:tcPr>
          <w:p>
            <w:r>
              <w:t>Support</w:t>
            </w:r>
          </w:p>
        </w:tc>
        <w:tc>
          <w:tcPr>
            <w:tcW w:type="dxa" w:w="2484"/>
          </w:tcPr>
          <w:p>
            <w:r>
              <w:t>Own</w:t>
            </w:r>
          </w:p>
        </w:tc>
        <w:tc>
          <w:tcPr>
            <w:tcW w:type="dxa" w:w="2484"/>
          </w:tcPr>
          <w:p>
            <w:r>
              <w:t>Support</w:t>
            </w:r>
          </w:p>
        </w:tc>
      </w:tr>
      <w:tr>
        <w:tc>
          <w:tcPr>
            <w:tcW w:type="dxa" w:w="2484"/>
          </w:tcPr>
          <w:p>
            <w:r>
              <w:t>Security (infra)</w:t>
            </w:r>
          </w:p>
        </w:tc>
        <w:tc>
          <w:tcPr>
            <w:tcW w:type="dxa" w:w="2484"/>
          </w:tcPr>
          <w:p>
            <w:r>
              <w:t>No</w:t>
            </w:r>
          </w:p>
        </w:tc>
        <w:tc>
          <w:tcPr>
            <w:tcW w:type="dxa" w:w="2484"/>
          </w:tcPr>
          <w:p>
            <w:r>
              <w:t>Support</w:t>
            </w:r>
          </w:p>
        </w:tc>
        <w:tc>
          <w:tcPr>
            <w:tcW w:type="dxa" w:w="2484"/>
          </w:tcPr>
          <w:p>
            <w:r>
              <w:t>Own</w:t>
            </w:r>
          </w:p>
        </w:tc>
      </w:tr>
      <w:tr>
        <w:tc>
          <w:tcPr>
            <w:tcW w:type="dxa" w:w="2484"/>
          </w:tcPr>
          <w:p>
            <w:r>
              <w:t>Incident management</w:t>
            </w:r>
          </w:p>
        </w:tc>
        <w:tc>
          <w:tcPr>
            <w:tcW w:type="dxa" w:w="2484"/>
          </w:tcPr>
          <w:p>
            <w:r>
              <w:t>Support</w:t>
            </w:r>
          </w:p>
        </w:tc>
        <w:tc>
          <w:tcPr>
            <w:tcW w:type="dxa" w:w="2484"/>
          </w:tcPr>
          <w:p>
            <w:r>
              <w:t>Lead</w:t>
            </w:r>
          </w:p>
        </w:tc>
        <w:tc>
          <w:tcPr>
            <w:tcW w:type="dxa" w:w="2484"/>
          </w:tcPr>
          <w:p>
            <w:r>
              <w:t>Infra L1 / L2</w:t>
            </w:r>
          </w:p>
        </w:tc>
      </w:tr>
      <w:tr>
        <w:tc>
          <w:tcPr>
            <w:tcW w:type="dxa" w:w="2484"/>
          </w:tcPr>
          <w:p>
            <w:r>
              <w:t>Audit / compliance</w:t>
            </w:r>
          </w:p>
        </w:tc>
        <w:tc>
          <w:tcPr>
            <w:tcW w:type="dxa" w:w="2484"/>
          </w:tcPr>
          <w:p>
            <w:r>
              <w:t>Support</w:t>
            </w:r>
          </w:p>
        </w:tc>
        <w:tc>
          <w:tcPr>
            <w:tcW w:type="dxa" w:w="2484"/>
          </w:tcPr>
          <w:p>
            <w:r>
              <w:t>Own</w:t>
            </w:r>
          </w:p>
        </w:tc>
        <w:tc>
          <w:tcPr>
            <w:tcW w:type="dxa" w:w="2484"/>
          </w:tcPr>
          <w:p>
            <w:r>
              <w:t>Support</w:t>
            </w:r>
          </w:p>
        </w:tc>
      </w:tr>
      <w:tr>
        <w:tc>
          <w:tcPr>
            <w:tcW w:type="dxa" w:w="2484"/>
          </w:tcPr>
          <w:p>
            <w:r>
              <w:t>Runbook and release handoff</w:t>
            </w:r>
          </w:p>
        </w:tc>
        <w:tc>
          <w:tcPr>
            <w:tcW w:type="dxa" w:w="2484"/>
          </w:tcPr>
          <w:p>
            <w:r>
              <w:t>Create</w:t>
            </w:r>
          </w:p>
        </w:tc>
        <w:tc>
          <w:tcPr>
            <w:tcW w:type="dxa" w:w="2484"/>
          </w:tcPr>
          <w:p>
            <w:r>
              <w:t>Approve / hand over</w:t>
            </w:r>
          </w:p>
        </w:tc>
        <w:tc>
          <w:tcPr>
            <w:tcW w:type="dxa" w:w="2484"/>
          </w:tcPr>
          <w:p>
            <w:r>
              <w:t>Execute</w:t>
            </w:r>
          </w:p>
        </w:tc>
      </w:tr>
    </w:tbl>
    <w:p/>
    <w:p>
      <w:r>
        <w:rPr>
          <w:i/>
        </w:rPr>
        <w:t>Prepared from the CaixaBank RACI baseline derived from the Keystone v1.5 and Extension v1.1 source documents.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