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60"/>
      </w:pPr>
      <w:r>
        <w:t>End-to-End Project Report: AI-Based Diabetes Disease Detection with Explanation &amp; Clinical Decision Support System</w:t>
      </w:r>
    </w:p>
    <w:p>
      <w:pPr>
        <w:spacing w:before="240" w:after="240"/>
        <w:jc w:val="center"/>
      </w:pPr>
      <w:r>
        <w:rPr>
          <w:color w:val="D2D6DB"/>
        </w:rPr>
        <w:t>__________________________________________________________________</w:t>
      </w:r>
    </w:p>
    <w:p>
      <w:pPr>
        <w:pStyle w:val="Heading2"/>
        <w:keepNext/>
        <w:spacing w:before="280" w:after="120"/>
      </w:pPr>
      <w:r>
        <w:t>Executive Summary</w:t>
      </w:r>
    </w:p>
    <w:p>
      <w:pPr>
        <w:spacing w:after="120"/>
      </w:pPr>
      <w:r>
        <w:t xml:space="preserve">This report documents the design, architecture, implementation, visual results, and evaluation of the </w:t>
      </w:r>
      <w:r>
        <w:rPr>
          <w:b/>
        </w:rPr>
        <w:t>Agentic AI Healthcare Platform: Diabetes Disease Detection with Clinical Decision Support &amp; GenAI Explanation</w:t>
      </w:r>
      <w:r>
        <w:t>. The system integrates autonomous machine learning agents, clinical decision rules, local pharmaceutical brand mappings, and Large Language Model (LLM) explainability into a unified, role-based Web application.</w:t>
      </w:r>
    </w:p>
    <w:p>
      <w:pPr>
        <w:spacing w:before="240" w:after="240"/>
        <w:jc w:val="center"/>
      </w:pPr>
      <w:r>
        <w:rPr>
          <w:color w:val="D2D6DB"/>
        </w:rPr>
        <w:t>__________________________________________________________________</w:t>
      </w:r>
    </w:p>
    <w:p>
      <w:pPr>
        <w:pStyle w:val="Heading2"/>
        <w:keepNext/>
        <w:spacing w:before="280" w:after="120"/>
      </w:pPr>
      <w:r>
        <w:t>1. Objectives Met</w:t>
      </w:r>
    </w:p>
    <w:p>
      <w:pPr>
        <w:spacing w:after="120"/>
      </w:pPr>
      <w:r>
        <w:t>The project successfully fulfills all target technical, clinical, and architectural objectives set forth in the capstone design specification: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shd w:fill="1E293B"/>
          </w:tcPr>
          <w:p>
            <w:pPr>
              <w:spacing w:before="80" w:after="80"/>
              <w:jc w:val="left"/>
            </w:pPr>
            <w:r/>
            <w:r>
              <w:rPr>
                <w:b/>
                <w:color w:val="FFFFFF"/>
              </w:rPr>
              <w:t>Objective</w:t>
            </w:r>
          </w:p>
        </w:tc>
        <w:tc>
          <w:tcPr>
            <w:tcW w:type="dxa" w:w="3120"/>
            <w:shd w:fill="1E293B"/>
          </w:tcPr>
          <w:p>
            <w:pPr>
              <w:spacing w:before="80" w:after="80"/>
              <w:jc w:val="left"/>
            </w:pPr>
            <w:r/>
            <w:r>
              <w:rPr>
                <w:b/>
                <w:color w:val="FFFFFF"/>
              </w:rPr>
              <w:t>Target Requirement</w:t>
            </w:r>
          </w:p>
        </w:tc>
        <w:tc>
          <w:tcPr>
            <w:tcW w:type="dxa" w:w="3120"/>
            <w:shd w:fill="1E293B"/>
          </w:tcPr>
          <w:p>
            <w:pPr>
              <w:spacing w:before="80" w:after="80"/>
              <w:jc w:val="left"/>
            </w:pPr>
            <w:r/>
            <w:r>
              <w:rPr>
                <w:b/>
                <w:color w:val="FFFFFF"/>
              </w:rPr>
              <w:t>Implementation &amp; Status</w:t>
            </w:r>
          </w:p>
        </w:tc>
      </w:tr>
      <w:tr>
        <w:tc>
          <w:tcPr>
            <w:tcW w:type="dxa" w:w="3120"/>
            <w:shd w:fill="F8FAFC"/>
          </w:tcPr>
          <w:p>
            <w:pPr>
              <w:spacing w:before="80" w:after="80"/>
            </w:pPr>
            <w:r/>
            <w:r>
              <w:rPr>
                <w:b/>
              </w:rPr>
              <w:t>1. Multi-Agent CDSS Architecture</w:t>
            </w:r>
          </w:p>
        </w:tc>
        <w:tc>
          <w:tcPr>
            <w:tcW w:type="dxa" w:w="3120"/>
            <w:shd w:fill="F8FAFC"/>
          </w:tcPr>
          <w:p>
            <w:pPr>
              <w:spacing w:before="80" w:after="80"/>
            </w:pPr>
            <w:r/>
            <w:r>
              <w:t>Decoupled agentic intelligence routing patient intake through specialized diagnostic modules.</w:t>
            </w:r>
          </w:p>
        </w:tc>
        <w:tc>
          <w:tcPr>
            <w:tcW w:type="dxa" w:w="3120"/>
            <w:shd w:fill="F8FAFC"/>
          </w:tcPr>
          <w:p>
            <w:pPr>
              <w:spacing w:before="80" w:after="80"/>
            </w:pPr>
            <w:r/>
            <w:r>
              <w:rPr>
                <w:b/>
              </w:rPr>
              <w:t>Achieved</w:t>
            </w:r>
            <w:r>
              <w:t xml:space="preserve">. Implemented </w:t>
            </w:r>
            <w:r>
              <w:rPr>
                <w:rFonts w:ascii="Consolas" w:hAnsi="Consolas"/>
                <w:color w:val="C7254E"/>
                <w:sz w:val="19"/>
              </w:rPr>
              <w:t>GeneralMedicineAgent</w:t>
            </w:r>
            <w:r>
              <w:t xml:space="preserve"> and </w:t>
            </w:r>
            <w:r>
              <w:rPr>
                <w:rFonts w:ascii="Consolas" w:hAnsi="Consolas"/>
                <w:color w:val="C7254E"/>
                <w:sz w:val="19"/>
              </w:rPr>
              <w:t>DiabetesCDSSAgent</w:t>
            </w:r>
            <w:r>
              <w:t xml:space="preserve"> with sub-engines for Diagnosis, Medication, Diet, Alternative Remedies, and GenAI Explanation.</w:t>
            </w:r>
          </w:p>
        </w:tc>
      </w:tr>
      <w:tr>
        <w:tc>
          <w:tcPr>
            <w:tcW w:type="dxa" w:w="3120"/>
          </w:tcPr>
          <w:p>
            <w:pPr>
              <w:spacing w:before="80" w:after="80"/>
            </w:pPr>
            <w:r/>
            <w:r>
              <w:rPr>
                <w:b/>
              </w:rPr>
              <w:t>2. Intelligent Trigger Gating</w:t>
            </w:r>
          </w:p>
        </w:tc>
        <w:tc>
          <w:tcPr>
            <w:tcW w:type="dxa" w:w="3120"/>
          </w:tcPr>
          <w:p>
            <w:pPr>
              <w:spacing w:before="80" w:after="80"/>
            </w:pPr>
            <w:r/>
            <w:r>
              <w:t>Selective activation of specialist diabetes screening based on symptom probability and lab threshold gates.</w:t>
            </w:r>
          </w:p>
        </w:tc>
        <w:tc>
          <w:tcPr>
            <w:tcW w:type="dxa" w:w="3120"/>
          </w:tcPr>
          <w:p>
            <w:pPr>
              <w:spacing w:before="80" w:after="80"/>
            </w:pPr>
            <w:r/>
            <w:r>
              <w:rPr>
                <w:b/>
              </w:rPr>
              <w:t>Achieved</w:t>
            </w:r>
            <w:r>
              <w:t xml:space="preserve">. Automatically triggers specialist agent if </w:t>
            </w:r>
            <w:r>
              <w:rPr>
                <w:rFonts w:ascii="Consolas" w:hAnsi="Consolas"/>
                <w:color w:val="C7254E"/>
                <w:sz w:val="19"/>
              </w:rPr>
              <w:t>Glucose &gt;= 126 mg/dL</w:t>
            </w:r>
            <w:r>
              <w:t xml:space="preserve"> OR </w:t>
            </w:r>
            <w:r>
              <w:rPr>
                <w:rFonts w:ascii="Consolas" w:hAnsi="Consolas"/>
                <w:color w:val="C7254E"/>
                <w:sz w:val="19"/>
              </w:rPr>
              <w:t>General Diabetes Probability &gt;= 60%</w:t>
            </w:r>
            <w:r>
              <w:t>.</w:t>
            </w:r>
          </w:p>
        </w:tc>
      </w:tr>
      <w:tr>
        <w:tc>
          <w:tcPr>
            <w:tcW w:type="dxa" w:w="3120"/>
            <w:shd w:fill="F8FAFC"/>
          </w:tcPr>
          <w:p>
            <w:pPr>
              <w:spacing w:before="80" w:after="80"/>
            </w:pPr>
            <w:r/>
            <w:r>
              <w:rPr>
                <w:b/>
              </w:rPr>
              <w:t>3. High-Precision Risk Modeling</w:t>
            </w:r>
          </w:p>
        </w:tc>
        <w:tc>
          <w:tcPr>
            <w:tcW w:type="dxa" w:w="3120"/>
            <w:shd w:fill="F8FAFC"/>
          </w:tcPr>
          <w:p>
            <w:pPr>
              <w:spacing w:before="80" w:after="80"/>
            </w:pPr>
            <w:r/>
            <w:r>
              <w:t>Machine learning pipelines achieving high accuracy and zero false positives for critical risk scoring.</w:t>
            </w:r>
          </w:p>
        </w:tc>
        <w:tc>
          <w:tcPr>
            <w:tcW w:type="dxa" w:w="3120"/>
            <w:shd w:fill="F8FAFC"/>
          </w:tcPr>
          <w:p>
            <w:pPr>
              <w:spacing w:before="80" w:after="80"/>
            </w:pPr>
            <w:r/>
            <w:r>
              <w:rPr>
                <w:b/>
              </w:rPr>
              <w:t>Achieved</w:t>
            </w:r>
            <w:r>
              <w:t xml:space="preserve">. Trained XGBoost model on 100,000 Kaggle patients, reaching </w:t>
            </w:r>
            <w:r>
              <w:rPr>
                <w:b/>
              </w:rPr>
              <w:t>97.10% Accuracy</w:t>
            </w:r>
            <w:r>
              <w:t xml:space="preserve">, </w:t>
            </w:r>
            <w:r>
              <w:rPr>
                <w:b/>
              </w:rPr>
              <w:t>100% Precision</w:t>
            </w:r>
            <w:r>
              <w:t xml:space="preserve">, and </w:t>
            </w:r>
            <w:r>
              <w:rPr>
                <w:b/>
              </w:rPr>
              <w:t>97.32% ROC-AUC</w:t>
            </w:r>
            <w:r>
              <w:t>.</w:t>
            </w:r>
          </w:p>
        </w:tc>
      </w:tr>
      <w:tr>
        <w:tc>
          <w:tcPr>
            <w:tcW w:type="dxa" w:w="3120"/>
          </w:tcPr>
          <w:p>
            <w:pPr>
              <w:spacing w:before="80" w:after="80"/>
            </w:pPr>
            <w:r/>
            <w:r>
              <w:rPr>
                <w:b/>
              </w:rPr>
              <w:t>4. Multi-Modal Recommendation</w:t>
            </w:r>
          </w:p>
        </w:tc>
        <w:tc>
          <w:tcPr>
            <w:tcW w:type="dxa" w:w="3120"/>
          </w:tcPr>
          <w:p>
            <w:pPr>
              <w:spacing w:before="80" w:after="80"/>
            </w:pPr>
            <w:r/>
            <w:r>
              <w:t>Comprehensive treatment plans beyond raw prediction (drugs, brands, meals, alternative therapies).</w:t>
            </w:r>
          </w:p>
        </w:tc>
        <w:tc>
          <w:tcPr>
            <w:tcW w:type="dxa" w:w="3120"/>
          </w:tcPr>
          <w:p>
            <w:pPr>
              <w:spacing w:before="80" w:after="80"/>
            </w:pPr>
            <w:r/>
            <w:r>
              <w:rPr>
                <w:b/>
              </w:rPr>
              <w:t>Achieved</w:t>
            </w:r>
            <w:r>
              <w:t>. Integrates generic medicine mapping to Indian commercial brands (with price in ₹ &amp; composition), customized diet schedules, and complementary herbal/ayurvedic guidance.</w:t>
            </w:r>
          </w:p>
        </w:tc>
      </w:tr>
      <w:tr>
        <w:tc>
          <w:tcPr>
            <w:tcW w:type="dxa" w:w="3120"/>
            <w:shd w:fill="F8FAFC"/>
          </w:tcPr>
          <w:p>
            <w:pPr>
              <w:spacing w:before="80" w:after="80"/>
            </w:pPr>
            <w:r/>
            <w:r>
              <w:rPr>
                <w:b/>
              </w:rPr>
              <w:t>5. GenAI Explainability</w:t>
            </w:r>
          </w:p>
        </w:tc>
        <w:tc>
          <w:tcPr>
            <w:tcW w:type="dxa" w:w="3120"/>
            <w:shd w:fill="F8FAFC"/>
          </w:tcPr>
          <w:p>
            <w:pPr>
              <w:spacing w:before="80" w:after="80"/>
            </w:pPr>
            <w:r/>
            <w:r>
              <w:t>Clinical reasoning generation with deterministic safety fallbacks.</w:t>
            </w:r>
          </w:p>
        </w:tc>
        <w:tc>
          <w:tcPr>
            <w:tcW w:type="dxa" w:w="3120"/>
            <w:shd w:fill="F8FAFC"/>
          </w:tcPr>
          <w:p>
            <w:pPr>
              <w:spacing w:before="80" w:after="80"/>
            </w:pPr>
            <w:r/>
            <w:r>
              <w:rPr>
                <w:b/>
              </w:rPr>
              <w:t>Achieved</w:t>
            </w:r>
            <w:r>
              <w:t>. Connected Groq Llama-3.3-70B cloud LLM via async client with a strict 5.0-second execution timeout fallback to rule-based logic.</w:t>
            </w:r>
          </w:p>
        </w:tc>
      </w:tr>
      <w:tr>
        <w:tc>
          <w:tcPr>
            <w:tcW w:type="dxa" w:w="3120"/>
          </w:tcPr>
          <w:p>
            <w:pPr>
              <w:spacing w:before="80" w:after="80"/>
            </w:pPr>
            <w:r/>
            <w:r>
              <w:rPr>
                <w:b/>
              </w:rPr>
              <w:t>6. Privacy &amp; RBAC Masking</w:t>
            </w:r>
          </w:p>
        </w:tc>
        <w:tc>
          <w:tcPr>
            <w:tcW w:type="dxa" w:w="3120"/>
          </w:tcPr>
          <w:p>
            <w:pPr>
              <w:spacing w:before="80" w:after="80"/>
            </w:pPr>
            <w:r/>
            <w:r>
              <w:t>Dynamic payload filtering preventing patient diagnostic panic.</w:t>
            </w:r>
          </w:p>
        </w:tc>
        <w:tc>
          <w:tcPr>
            <w:tcW w:type="dxa" w:w="3120"/>
          </w:tcPr>
          <w:p>
            <w:pPr>
              <w:spacing w:before="80" w:after="80"/>
            </w:pPr>
            <w:r/>
            <w:r>
              <w:rPr>
                <w:b/>
              </w:rPr>
              <w:t>Achieved</w:t>
            </w:r>
            <w:r>
              <w:t>. Role-Based Access Control (RBAC) enforces full clinical visibility for Doctors while sanitizing diagnostic raw probabilities for Patients.</w:t>
            </w:r>
          </w:p>
        </w:tc>
      </w:tr>
      <w:tr>
        <w:tc>
          <w:tcPr>
            <w:tcW w:type="dxa" w:w="3120"/>
            <w:shd w:fill="F8FAFC"/>
          </w:tcPr>
          <w:p>
            <w:pPr>
              <w:spacing w:before="80" w:after="80"/>
            </w:pPr>
            <w:r/>
            <w:r>
              <w:rPr>
                <w:b/>
              </w:rPr>
              <w:t>7. Production Infrastructure</w:t>
            </w:r>
          </w:p>
        </w:tc>
        <w:tc>
          <w:tcPr>
            <w:tcW w:type="dxa" w:w="3120"/>
            <w:shd w:fill="F8FAFC"/>
          </w:tcPr>
          <w:p>
            <w:pPr>
              <w:spacing w:before="80" w:after="80"/>
            </w:pPr>
            <w:r/>
            <w:r>
              <w:t>Enterprise-grade backend with concurrency handling and optimized query indexing.</w:t>
            </w:r>
          </w:p>
        </w:tc>
        <w:tc>
          <w:tcPr>
            <w:tcW w:type="dxa" w:w="3120"/>
            <w:shd w:fill="F8FAFC"/>
          </w:tcPr>
          <w:p>
            <w:pPr>
              <w:spacing w:before="80" w:after="80"/>
            </w:pPr>
            <w:r/>
            <w:r>
              <w:rPr>
                <w:b/>
              </w:rPr>
              <w:t>Achieved</w:t>
            </w:r>
            <w:r>
              <w:t>. SQLite configured with WAL mode (</w:t>
            </w:r>
            <w:r>
              <w:rPr>
                <w:rFonts w:ascii="Consolas" w:hAnsi="Consolas"/>
                <w:color w:val="C7254E"/>
                <w:sz w:val="19"/>
              </w:rPr>
              <w:t>PRAGMA journal_mode=WAL</w:t>
            </w:r>
            <w:r>
              <w:t>), composite indices ($O(\log N)$ lookup speed), and PBKDF2 password hashing ($120,000$ iterations).</w:t>
            </w:r>
          </w:p>
        </w:tc>
      </w:tr>
    </w:tbl>
    <w:p>
      <w:pPr>
        <w:spacing w:after="120"/>
      </w:pPr>
    </w:p>
    <w:p>
      <w:pPr>
        <w:spacing w:before="240" w:after="240"/>
        <w:jc w:val="center"/>
      </w:pPr>
      <w:r>
        <w:rPr>
          <w:color w:val="D2D6DB"/>
        </w:rPr>
        <w:t>__________________________________________________________________</w:t>
      </w:r>
    </w:p>
    <w:p>
      <w:pPr>
        <w:pStyle w:val="Heading2"/>
        <w:keepNext/>
        <w:spacing w:before="280" w:after="120"/>
      </w:pPr>
      <w:r>
        <w:t>2. Novelty &amp; Application</w:t>
      </w:r>
    </w:p>
    <w:p>
      <w:pPr>
        <w:pStyle w:val="Heading3"/>
        <w:keepNext/>
        <w:spacing w:before="200" w:after="80"/>
      </w:pPr>
      <w:r>
        <w:t>2.1 Novel Features &amp; Engineering Contributions</w:t>
      </w:r>
    </w:p>
    <w:p>
      <w:pPr>
        <w:pStyle w:val="ListNumber"/>
        <w:spacing w:after="60"/>
      </w:pPr>
      <w:r>
        <w:rPr>
          <w:b/>
        </w:rPr>
        <w:t>Gated Multi-Agent Screening Workflow</w:t>
      </w:r>
      <w:r>
        <w:t>:</w:t>
      </w:r>
    </w:p>
    <w:p>
      <w:pPr>
        <w:spacing w:after="120"/>
      </w:pPr>
      <w:r>
        <w:t>Unlike single-model classifiers, the system operates a two-stage pipeline: a General Medicine Symptom Classifier first evaluates narrative patient symptoms. If specific clinical risk gates are met, control delegates autonomously to the Specialist Diabetes CDSS Agent.</w:t>
      </w:r>
    </w:p>
    <w:p>
      <w:pPr>
        <w:pStyle w:val="ListNumber"/>
        <w:spacing w:after="60"/>
      </w:pPr>
      <w:r>
        <w:rPr>
          <w:b/>
        </w:rPr>
        <w:t>Zero-False-Positive Precision Engineering</w:t>
      </w:r>
      <w:r>
        <w:t>:</w:t>
      </w:r>
    </w:p>
    <w:p>
      <w:pPr>
        <w:spacing w:after="120"/>
      </w:pPr>
      <w:r>
        <w:t xml:space="preserve">In clinical decision support, false alarms lead to alarm fatigue and unnecessary clinical interventions. The primary XGBoost classifier achieved a </w:t>
      </w:r>
      <w:r>
        <w:rPr>
          <w:b/>
        </w:rPr>
        <w:t>100% Precision (1.0000)</w:t>
      </w:r>
      <w:r>
        <w:t xml:space="preserve"> score on validation datasets, guaranteeing that every positive diabetes risk flag is clinically grounded.</w:t>
      </w:r>
    </w:p>
    <w:p>
      <w:pPr>
        <w:pStyle w:val="ListNumber"/>
        <w:spacing w:after="60"/>
      </w:pPr>
      <w:r>
        <w:rPr>
          <w:b/>
        </w:rPr>
        <w:t>Commercial Brand &amp; Pricing Localization Engine</w:t>
      </w:r>
      <w:r>
        <w:t>:</w:t>
      </w:r>
    </w:p>
    <w:p>
      <w:pPr>
        <w:spacing w:after="120"/>
      </w:pPr>
      <w:r>
        <w:t>The Medication Engine bridges the gap between generic medical guidelines (e.g., Metformin 500mg) and practical prescription fulfillment by querying an integrated dataset of Indian pharmaceutical brand names, unit prices (in ₹), and active chemical compositions.</w:t>
      </w:r>
    </w:p>
    <w:p>
      <w:pPr>
        <w:pStyle w:val="ListNumber"/>
        <w:spacing w:after="60"/>
      </w:pPr>
      <w:r>
        <w:rPr>
          <w:b/>
        </w:rPr>
        <w:t>Privacy-Preserving RBAC Payload Masking</w:t>
      </w:r>
      <w:r>
        <w:t>:</w:t>
      </w:r>
    </w:p>
    <w:p>
      <w:pPr>
        <w:spacing w:after="120"/>
      </w:pPr>
      <w:r>
        <w:t>The system addresses patient mental health and safety by dynamically sanitizing HTTP response payloads. Doctors receive complete diagnostic probability matrices, model metrics, and alternative remedy suggestions. Patients receive actionable care plans (medication dosages, meal timings) without anxiety-inducing diagnostic risk probabilities.</w:t>
      </w:r>
    </w:p>
    <w:p>
      <w:pPr>
        <w:pStyle w:val="ListNumber"/>
        <w:spacing w:after="60"/>
      </w:pPr>
      <w:r>
        <w:rPr>
          <w:b/>
        </w:rPr>
        <w:t>Resilient GenAI Explanation Architecture</w:t>
      </w:r>
      <w:r>
        <w:t>:</w:t>
      </w:r>
    </w:p>
    <w:p>
      <w:pPr>
        <w:spacing w:after="120"/>
      </w:pPr>
      <w:r>
        <w:t>To prevent cloud service outages or network latency from disrupting clinical workflows, the GenAI Explanation Engine wraps LLM calls (</w:t>
      </w:r>
      <w:r>
        <w:rPr>
          <w:rFonts w:ascii="Consolas" w:hAnsi="Consolas"/>
          <w:color w:val="C7254E"/>
          <w:sz w:val="19"/>
        </w:rPr>
        <w:t>llama-3.3-70b-versatile</w:t>
      </w:r>
      <w:r>
        <w:t>) in a 5.0-second asynchronous guardrail, seamlessly defaulting to localized deterministic explanation templates if the cloud API times out.</w:t>
      </w:r>
    </w:p>
    <w:p>
      <w:pPr>
        <w:pStyle w:val="Heading3"/>
        <w:keepNext/>
        <w:spacing w:before="200" w:after="80"/>
      </w:pPr>
      <w:r>
        <w:t>2.2 Practical Real-World Applications</w:t>
      </w:r>
    </w:p>
    <w:p>
      <w:pPr>
        <w:pStyle w:val="ListBullet"/>
        <w:spacing w:after="60"/>
      </w:pPr>
      <w:r>
        <w:rPr>
          <w:b/>
        </w:rPr>
        <w:t>Primary Healthcare &amp; Telemedicine</w:t>
      </w:r>
      <w:r>
        <w:t>: Deployed as an intake assistant for general practitioners to screen patients rapidly and generate evidence-based treatment plans.</w:t>
      </w:r>
    </w:p>
    <w:p>
      <w:pPr>
        <w:pStyle w:val="ListBullet"/>
        <w:spacing w:after="60"/>
      </w:pPr>
      <w:r>
        <w:rPr>
          <w:b/>
        </w:rPr>
        <w:t>Chronic Disease Management</w:t>
      </w:r>
      <w:r>
        <w:t>: Functions as a patient portal for individuals managing diabetes or prediabetes, offering structured meal plans and medication adherence guidance.</w:t>
      </w:r>
    </w:p>
    <w:p>
      <w:pPr>
        <w:pStyle w:val="ListBullet"/>
        <w:spacing w:after="60"/>
      </w:pPr>
      <w:r>
        <w:rPr>
          <w:b/>
        </w:rPr>
        <w:t>Clinical Decision Support in Resource-Constrained Clinics</w:t>
      </w:r>
      <w:r>
        <w:t>: Operates lightweight locally without mandatory external GPU servers.</w:t>
      </w:r>
    </w:p>
    <w:p>
      <w:pPr>
        <w:spacing w:before="240" w:after="240"/>
        <w:jc w:val="center"/>
      </w:pPr>
      <w:r>
        <w:rPr>
          <w:color w:val="D2D6DB"/>
        </w:rPr>
        <w:t>__________________________________________________________________</w:t>
      </w:r>
    </w:p>
    <w:p>
      <w:pPr>
        <w:pStyle w:val="Heading2"/>
        <w:keepNext/>
        <w:spacing w:before="280" w:after="120"/>
      </w:pPr>
      <w:r>
        <w:t>3. System Architecture &amp; Standards / Tools Used</w:t>
      </w:r>
    </w:p>
    <w:p>
      <w:pPr>
        <w:pStyle w:val="Heading3"/>
        <w:keepNext/>
        <w:spacing w:before="200" w:after="80"/>
      </w:pPr>
      <w:r>
        <w:t>3.1 System Integration Architecture</w:t>
      </w:r>
    </w:p>
    <w:p>
      <w:pPr>
        <w:spacing w:before="240" w:after="80"/>
        <w:jc w:val="center"/>
      </w:pPr>
      <w:r>
        <w:drawing>
          <wp:inline xmlns:a="http://schemas.openxmlformats.org/drawingml/2006/main" xmlns:pic="http://schemas.openxmlformats.org/drawingml/2006/picture">
            <wp:extent cx="5029200" cy="2440641"/>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440641"/>
                    </a:xfrm>
                    <a:prstGeom prst="rect"/>
                  </pic:spPr>
                </pic:pic>
              </a:graphicData>
            </a:graphic>
          </wp:inline>
        </w:drawing>
      </w:r>
    </w:p>
    <w:p>
      <w:pPr>
        <w:keepNext/>
        <w:spacing w:before="40" w:after="240"/>
        <w:jc w:val="center"/>
      </w:pPr>
      <w:r>
        <w:rPr>
          <w:i/>
          <w:color w:val="808080"/>
          <w:sz w:val="19"/>
        </w:rPr>
        <w:t>Figure: 3.1 System Integration Architecture</w:t>
      </w:r>
    </w:p>
    <w:p>
      <w:pPr>
        <w:pStyle w:val="Heading4"/>
        <w:keepNext/>
        <w:spacing w:before="160" w:after="40"/>
      </w:pPr>
      <w:r>
        <w:t>Detailed Tooling Specification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E293B"/>
          </w:tcPr>
          <w:p>
            <w:pPr>
              <w:spacing w:before="80" w:after="80"/>
              <w:jc w:val="left"/>
            </w:pPr>
            <w:r/>
            <w:r>
              <w:rPr>
                <w:b/>
                <w:color w:val="FFFFFF"/>
              </w:rPr>
              <w:t>Domain</w:t>
            </w:r>
          </w:p>
        </w:tc>
        <w:tc>
          <w:tcPr>
            <w:tcW w:type="dxa" w:w="2340"/>
            <w:shd w:fill="1E293B"/>
          </w:tcPr>
          <w:p>
            <w:pPr>
              <w:spacing w:before="80" w:after="80"/>
              <w:jc w:val="left"/>
            </w:pPr>
            <w:r/>
            <w:r>
              <w:rPr>
                <w:b/>
                <w:color w:val="FFFFFF"/>
              </w:rPr>
              <w:t>Standard / Tool</w:t>
            </w:r>
          </w:p>
        </w:tc>
        <w:tc>
          <w:tcPr>
            <w:tcW w:type="dxa" w:w="2340"/>
            <w:shd w:fill="1E293B"/>
          </w:tcPr>
          <w:p>
            <w:pPr>
              <w:spacing w:before="80" w:after="80"/>
              <w:jc w:val="left"/>
            </w:pPr>
            <w:r/>
            <w:r>
              <w:rPr>
                <w:b/>
                <w:color w:val="FFFFFF"/>
              </w:rPr>
              <w:t>Version / Details</w:t>
            </w:r>
          </w:p>
        </w:tc>
        <w:tc>
          <w:tcPr>
            <w:tcW w:type="dxa" w:w="2340"/>
            <w:shd w:fill="1E293B"/>
          </w:tcPr>
          <w:p>
            <w:pPr>
              <w:spacing w:before="80" w:after="80"/>
              <w:jc w:val="left"/>
            </w:pPr>
            <w:r/>
            <w:r>
              <w:rPr>
                <w:b/>
                <w:color w:val="FFFFFF"/>
              </w:rPr>
              <w:t>Purpose</w:t>
            </w:r>
          </w:p>
        </w:tc>
      </w:tr>
      <w:tr>
        <w:tc>
          <w:tcPr>
            <w:tcW w:type="dxa" w:w="2340"/>
            <w:shd w:fill="F8FAFC"/>
          </w:tcPr>
          <w:p>
            <w:pPr>
              <w:spacing w:before="80" w:after="80"/>
            </w:pPr>
            <w:r/>
            <w:r>
              <w:rPr>
                <w:b/>
              </w:rPr>
              <w:t>Backend Core</w:t>
            </w:r>
          </w:p>
        </w:tc>
        <w:tc>
          <w:tcPr>
            <w:tcW w:type="dxa" w:w="2340"/>
            <w:shd w:fill="F8FAFC"/>
          </w:tcPr>
          <w:p>
            <w:pPr>
              <w:spacing w:before="80" w:after="80"/>
            </w:pPr>
            <w:r/>
            <w:r>
              <w:t>Python</w:t>
            </w:r>
          </w:p>
        </w:tc>
        <w:tc>
          <w:tcPr>
            <w:tcW w:type="dxa" w:w="2340"/>
            <w:shd w:fill="F8FAFC"/>
          </w:tcPr>
          <w:p>
            <w:pPr>
              <w:spacing w:before="80" w:after="80"/>
            </w:pPr>
            <w:r/>
            <w:r>
              <w:rPr>
                <w:rFonts w:ascii="Consolas" w:hAnsi="Consolas"/>
                <w:color w:val="C7254E"/>
                <w:sz w:val="19"/>
              </w:rPr>
              <w:t>^3.11</w:t>
            </w:r>
          </w:p>
        </w:tc>
        <w:tc>
          <w:tcPr>
            <w:tcW w:type="dxa" w:w="2340"/>
            <w:shd w:fill="F8FAFC"/>
          </w:tcPr>
          <w:p>
            <w:pPr>
              <w:spacing w:before="80" w:after="80"/>
            </w:pPr>
            <w:r/>
            <w:r>
              <w:t>Primary runtime environment</w:t>
            </w:r>
          </w:p>
        </w:tc>
      </w:tr>
      <w:tr>
        <w:tc>
          <w:tcPr>
            <w:tcW w:type="dxa" w:w="2340"/>
          </w:tcPr>
          <w:p>
            <w:pPr>
              <w:spacing w:before="80" w:after="80"/>
            </w:pPr>
            <w:r/>
            <w:r>
              <w:rPr>
                <w:b/>
              </w:rPr>
              <w:t>API Framework</w:t>
            </w:r>
          </w:p>
        </w:tc>
        <w:tc>
          <w:tcPr>
            <w:tcW w:type="dxa" w:w="2340"/>
          </w:tcPr>
          <w:p>
            <w:pPr>
              <w:spacing w:before="80" w:after="80"/>
            </w:pPr>
            <w:r/>
            <w:r>
              <w:t>FastAPI</w:t>
            </w:r>
          </w:p>
        </w:tc>
        <w:tc>
          <w:tcPr>
            <w:tcW w:type="dxa" w:w="2340"/>
          </w:tcPr>
          <w:p>
            <w:pPr>
              <w:spacing w:before="80" w:after="80"/>
            </w:pPr>
            <w:r/>
            <w:r>
              <w:rPr>
                <w:rFonts w:ascii="Consolas" w:hAnsi="Consolas"/>
                <w:color w:val="C7254E"/>
                <w:sz w:val="19"/>
              </w:rPr>
              <w:t>^0.111.0</w:t>
            </w:r>
          </w:p>
        </w:tc>
        <w:tc>
          <w:tcPr>
            <w:tcW w:type="dxa" w:w="2340"/>
          </w:tcPr>
          <w:p>
            <w:pPr>
              <w:spacing w:before="80" w:after="80"/>
            </w:pPr>
            <w:r/>
            <w:r>
              <w:t>Asynchronous RESTful API framework</w:t>
            </w:r>
          </w:p>
        </w:tc>
      </w:tr>
      <w:tr>
        <w:tc>
          <w:tcPr>
            <w:tcW w:type="dxa" w:w="2340"/>
            <w:shd w:fill="F8FAFC"/>
          </w:tcPr>
          <w:p>
            <w:pPr>
              <w:spacing w:before="80" w:after="80"/>
            </w:pPr>
            <w:r/>
            <w:r>
              <w:rPr>
                <w:b/>
              </w:rPr>
              <w:t>ASGI Server</w:t>
            </w:r>
          </w:p>
        </w:tc>
        <w:tc>
          <w:tcPr>
            <w:tcW w:type="dxa" w:w="2340"/>
            <w:shd w:fill="F8FAFC"/>
          </w:tcPr>
          <w:p>
            <w:pPr>
              <w:spacing w:before="80" w:after="80"/>
            </w:pPr>
            <w:r/>
            <w:r>
              <w:t>Uvicorn</w:t>
            </w:r>
          </w:p>
        </w:tc>
        <w:tc>
          <w:tcPr>
            <w:tcW w:type="dxa" w:w="2340"/>
            <w:shd w:fill="F8FAFC"/>
          </w:tcPr>
          <w:p>
            <w:pPr>
              <w:spacing w:before="80" w:after="80"/>
            </w:pPr>
            <w:r/>
            <w:r>
              <w:rPr>
                <w:rFonts w:ascii="Consolas" w:hAnsi="Consolas"/>
                <w:color w:val="C7254E"/>
                <w:sz w:val="19"/>
              </w:rPr>
              <w:t>^0.30.1</w:t>
            </w:r>
          </w:p>
        </w:tc>
        <w:tc>
          <w:tcPr>
            <w:tcW w:type="dxa" w:w="2340"/>
            <w:shd w:fill="F8FAFC"/>
          </w:tcPr>
          <w:p>
            <w:pPr>
              <w:spacing w:before="80" w:after="80"/>
            </w:pPr>
            <w:r/>
            <w:r>
              <w:t>High-performance ASGI web server</w:t>
            </w:r>
          </w:p>
        </w:tc>
      </w:tr>
      <w:tr>
        <w:tc>
          <w:tcPr>
            <w:tcW w:type="dxa" w:w="2340"/>
          </w:tcPr>
          <w:p>
            <w:pPr>
              <w:spacing w:before="80" w:after="80"/>
            </w:pPr>
            <w:r/>
            <w:r>
              <w:rPr>
                <w:b/>
              </w:rPr>
              <w:t>Machine Learning</w:t>
            </w:r>
          </w:p>
        </w:tc>
        <w:tc>
          <w:tcPr>
            <w:tcW w:type="dxa" w:w="2340"/>
          </w:tcPr>
          <w:p>
            <w:pPr>
              <w:spacing w:before="80" w:after="80"/>
            </w:pPr>
            <w:r/>
            <w:r>
              <w:t>XGBoost</w:t>
            </w:r>
          </w:p>
        </w:tc>
        <w:tc>
          <w:tcPr>
            <w:tcW w:type="dxa" w:w="2340"/>
          </w:tcPr>
          <w:p>
            <w:pPr>
              <w:spacing w:before="80" w:after="80"/>
            </w:pPr>
            <w:r/>
            <w:r>
              <w:rPr>
                <w:rFonts w:ascii="Consolas" w:hAnsi="Consolas"/>
                <w:color w:val="C7254E"/>
                <w:sz w:val="19"/>
              </w:rPr>
              <w:t>^2.0.3</w:t>
            </w:r>
          </w:p>
        </w:tc>
        <w:tc>
          <w:tcPr>
            <w:tcW w:type="dxa" w:w="2340"/>
          </w:tcPr>
          <w:p>
            <w:pPr>
              <w:spacing w:before="80" w:after="80"/>
            </w:pPr>
            <w:r/>
            <w:r>
              <w:t>Primary Extreme Gradient Boosting classifier</w:t>
            </w:r>
          </w:p>
        </w:tc>
      </w:tr>
      <w:tr>
        <w:tc>
          <w:tcPr>
            <w:tcW w:type="dxa" w:w="2340"/>
            <w:shd w:fill="F8FAFC"/>
          </w:tcPr>
          <w:p>
            <w:pPr>
              <w:spacing w:before="80" w:after="80"/>
            </w:pPr>
            <w:r/>
            <w:r>
              <w:rPr>
                <w:b/>
              </w:rPr>
              <w:t>Data Processing</w:t>
            </w:r>
          </w:p>
        </w:tc>
        <w:tc>
          <w:tcPr>
            <w:tcW w:type="dxa" w:w="2340"/>
            <w:shd w:fill="F8FAFC"/>
          </w:tcPr>
          <w:p>
            <w:pPr>
              <w:spacing w:before="80" w:after="80"/>
            </w:pPr>
            <w:r/>
            <w:r>
              <w:t>Scikit-Learn</w:t>
            </w:r>
          </w:p>
        </w:tc>
        <w:tc>
          <w:tcPr>
            <w:tcW w:type="dxa" w:w="2340"/>
            <w:shd w:fill="F8FAFC"/>
          </w:tcPr>
          <w:p>
            <w:pPr>
              <w:spacing w:before="80" w:after="80"/>
            </w:pPr>
            <w:r/>
            <w:r>
              <w:rPr>
                <w:rFonts w:ascii="Consolas" w:hAnsi="Consolas"/>
                <w:color w:val="C7254E"/>
                <w:sz w:val="19"/>
              </w:rPr>
              <w:t>^1.5.0</w:t>
            </w:r>
          </w:p>
        </w:tc>
        <w:tc>
          <w:tcPr>
            <w:tcW w:type="dxa" w:w="2340"/>
            <w:shd w:fill="F8FAFC"/>
          </w:tcPr>
          <w:p>
            <w:pPr>
              <w:spacing w:before="80" w:after="80"/>
            </w:pPr>
            <w:r/>
            <w:r>
              <w:t>Feature preprocessing (</w:t>
            </w:r>
            <w:r>
              <w:rPr>
                <w:rFonts w:ascii="Consolas" w:hAnsi="Consolas"/>
                <w:color w:val="C7254E"/>
                <w:sz w:val="19"/>
              </w:rPr>
              <w:t>StandardScaler</w:t>
            </w:r>
            <w:r>
              <w:t xml:space="preserve">, </w:t>
            </w:r>
            <w:r>
              <w:rPr>
                <w:rFonts w:ascii="Consolas" w:hAnsi="Consolas"/>
                <w:color w:val="C7254E"/>
                <w:sz w:val="19"/>
              </w:rPr>
              <w:t>OneHotEncoder</w:t>
            </w:r>
            <w:r>
              <w:t xml:space="preserve">, </w:t>
            </w:r>
            <w:r>
              <w:rPr>
                <w:rFonts w:ascii="Consolas" w:hAnsi="Consolas"/>
                <w:color w:val="C7254E"/>
                <w:sz w:val="19"/>
              </w:rPr>
              <w:t>ColumnTransformer</w:t>
            </w:r>
            <w:r>
              <w:t>)</w:t>
            </w:r>
          </w:p>
        </w:tc>
      </w:tr>
      <w:tr>
        <w:tc>
          <w:tcPr>
            <w:tcW w:type="dxa" w:w="2340"/>
          </w:tcPr>
          <w:p>
            <w:pPr>
              <w:spacing w:before="80" w:after="80"/>
            </w:pPr>
            <w:r/>
            <w:r>
              <w:rPr>
                <w:b/>
              </w:rPr>
              <w:t>Text Vectorization</w:t>
            </w:r>
          </w:p>
        </w:tc>
        <w:tc>
          <w:tcPr>
            <w:tcW w:type="dxa" w:w="2340"/>
          </w:tcPr>
          <w:p>
            <w:pPr>
              <w:spacing w:before="80" w:after="80"/>
            </w:pPr>
            <w:r/>
            <w:r>
              <w:t>Scikit-Learn</w:t>
            </w:r>
          </w:p>
        </w:tc>
        <w:tc>
          <w:tcPr>
            <w:tcW w:type="dxa" w:w="2340"/>
          </w:tcPr>
          <w:p>
            <w:pPr>
              <w:spacing w:before="80" w:after="80"/>
            </w:pPr>
            <w:r/>
            <w:r>
              <w:rPr>
                <w:rFonts w:ascii="Consolas" w:hAnsi="Consolas"/>
                <w:color w:val="C7254E"/>
                <w:sz w:val="19"/>
              </w:rPr>
              <w:t>TfidfVectorizer</w:t>
            </w:r>
          </w:p>
        </w:tc>
        <w:tc>
          <w:tcPr>
            <w:tcW w:type="dxa" w:w="2340"/>
          </w:tcPr>
          <w:p>
            <w:pPr>
              <w:spacing w:before="80" w:after="80"/>
            </w:pPr>
            <w:r/>
            <w:r>
              <w:t>TF-IDF n-gram (1,2) symptom text vectorizer</w:t>
            </w:r>
          </w:p>
        </w:tc>
      </w:tr>
      <w:tr>
        <w:tc>
          <w:tcPr>
            <w:tcW w:type="dxa" w:w="2340"/>
            <w:shd w:fill="F8FAFC"/>
          </w:tcPr>
          <w:p>
            <w:pPr>
              <w:spacing w:before="80" w:after="80"/>
            </w:pPr>
            <w:r/>
            <w:r>
              <w:rPr>
                <w:b/>
              </w:rPr>
              <w:t>LLM Service</w:t>
            </w:r>
          </w:p>
        </w:tc>
        <w:tc>
          <w:tcPr>
            <w:tcW w:type="dxa" w:w="2340"/>
            <w:shd w:fill="F8FAFC"/>
          </w:tcPr>
          <w:p>
            <w:pPr>
              <w:spacing w:before="80" w:after="80"/>
            </w:pPr>
            <w:r/>
            <w:r>
              <w:t>Groq Cloud API</w:t>
            </w:r>
          </w:p>
        </w:tc>
        <w:tc>
          <w:tcPr>
            <w:tcW w:type="dxa" w:w="2340"/>
            <w:shd w:fill="F8FAFC"/>
          </w:tcPr>
          <w:p>
            <w:pPr>
              <w:spacing w:before="80" w:after="80"/>
            </w:pPr>
            <w:r/>
            <w:r>
              <w:rPr>
                <w:rFonts w:ascii="Consolas" w:hAnsi="Consolas"/>
                <w:color w:val="C7254E"/>
                <w:sz w:val="19"/>
              </w:rPr>
              <w:t>llama-3.3-70b-versatile</w:t>
            </w:r>
          </w:p>
        </w:tc>
        <w:tc>
          <w:tcPr>
            <w:tcW w:type="dxa" w:w="2340"/>
            <w:shd w:fill="F8FAFC"/>
          </w:tcPr>
          <w:p>
            <w:pPr>
              <w:spacing w:before="80" w:after="80"/>
            </w:pPr>
            <w:r/>
            <w:r>
              <w:t>Natural language clinical rationale generation</w:t>
            </w:r>
          </w:p>
        </w:tc>
      </w:tr>
      <w:tr>
        <w:tc>
          <w:tcPr>
            <w:tcW w:type="dxa" w:w="2340"/>
          </w:tcPr>
          <w:p>
            <w:pPr>
              <w:spacing w:before="80" w:after="80"/>
            </w:pPr>
            <w:r/>
            <w:r>
              <w:rPr>
                <w:b/>
              </w:rPr>
              <w:t>HTTP Client</w:t>
            </w:r>
          </w:p>
        </w:tc>
        <w:tc>
          <w:tcPr>
            <w:tcW w:type="dxa" w:w="2340"/>
          </w:tcPr>
          <w:p>
            <w:pPr>
              <w:spacing w:before="80" w:after="80"/>
            </w:pPr>
            <w:r/>
            <w:r>
              <w:t>HTTPX</w:t>
            </w:r>
          </w:p>
        </w:tc>
        <w:tc>
          <w:tcPr>
            <w:tcW w:type="dxa" w:w="2340"/>
          </w:tcPr>
          <w:p>
            <w:pPr>
              <w:spacing w:before="80" w:after="80"/>
            </w:pPr>
            <w:r/>
            <w:r>
              <w:rPr>
                <w:rFonts w:ascii="Consolas" w:hAnsi="Consolas"/>
                <w:color w:val="C7254E"/>
                <w:sz w:val="19"/>
              </w:rPr>
              <w:t>^0.27.0</w:t>
            </w:r>
          </w:p>
        </w:tc>
        <w:tc>
          <w:tcPr>
            <w:tcW w:type="dxa" w:w="2340"/>
          </w:tcPr>
          <w:p>
            <w:pPr>
              <w:spacing w:before="80" w:after="80"/>
            </w:pPr>
            <w:r/>
            <w:r>
              <w:t>Async HTTP client with 5.0s timeout guardrails</w:t>
            </w:r>
          </w:p>
        </w:tc>
      </w:tr>
      <w:tr>
        <w:tc>
          <w:tcPr>
            <w:tcW w:type="dxa" w:w="2340"/>
            <w:shd w:fill="F8FAFC"/>
          </w:tcPr>
          <w:p>
            <w:pPr>
              <w:spacing w:before="80" w:after="80"/>
            </w:pPr>
            <w:r/>
            <w:r>
              <w:rPr>
                <w:b/>
              </w:rPr>
              <w:t>Database</w:t>
            </w:r>
          </w:p>
        </w:tc>
        <w:tc>
          <w:tcPr>
            <w:tcW w:type="dxa" w:w="2340"/>
            <w:shd w:fill="F8FAFC"/>
          </w:tcPr>
          <w:p>
            <w:pPr>
              <w:spacing w:before="80" w:after="80"/>
            </w:pPr>
            <w:r/>
            <w:r>
              <w:t>SQLite3</w:t>
            </w:r>
          </w:p>
        </w:tc>
        <w:tc>
          <w:tcPr>
            <w:tcW w:type="dxa" w:w="2340"/>
            <w:shd w:fill="F8FAFC"/>
          </w:tcPr>
          <w:p>
            <w:pPr>
              <w:spacing w:before="80" w:after="80"/>
            </w:pPr>
            <w:r/>
            <w:r>
              <w:t>Native WAL Mode</w:t>
            </w:r>
          </w:p>
        </w:tc>
        <w:tc>
          <w:tcPr>
            <w:tcW w:type="dxa" w:w="2340"/>
            <w:shd w:fill="F8FAFC"/>
          </w:tcPr>
          <w:p>
            <w:pPr>
              <w:spacing w:before="80" w:after="80"/>
            </w:pPr>
            <w:r/>
            <w:r>
              <w:t>Relational data persistence with foreign keys</w:t>
            </w:r>
          </w:p>
        </w:tc>
      </w:tr>
      <w:tr>
        <w:tc>
          <w:tcPr>
            <w:tcW w:type="dxa" w:w="2340"/>
          </w:tcPr>
          <w:p>
            <w:pPr>
              <w:spacing w:before="80" w:after="80"/>
            </w:pPr>
            <w:r/>
            <w:r>
              <w:rPr>
                <w:b/>
              </w:rPr>
              <w:t>Security</w:t>
            </w:r>
          </w:p>
        </w:tc>
        <w:tc>
          <w:tcPr>
            <w:tcW w:type="dxa" w:w="2340"/>
          </w:tcPr>
          <w:p>
            <w:pPr>
              <w:spacing w:before="80" w:after="80"/>
            </w:pPr>
            <w:r/>
            <w:r>
              <w:t>PBKDF2-HMAC-SHA256</w:t>
            </w:r>
          </w:p>
        </w:tc>
        <w:tc>
          <w:tcPr>
            <w:tcW w:type="dxa" w:w="2340"/>
          </w:tcPr>
          <w:p>
            <w:pPr>
              <w:spacing w:before="80" w:after="80"/>
            </w:pPr>
            <w:r/>
            <w:r>
              <w:t>120,000 Iterations</w:t>
            </w:r>
          </w:p>
        </w:tc>
        <w:tc>
          <w:tcPr>
            <w:tcW w:type="dxa" w:w="2340"/>
          </w:tcPr>
          <w:p>
            <w:pPr>
              <w:spacing w:before="80" w:after="80"/>
            </w:pPr>
            <w:r/>
            <w:r>
              <w:t>Secure password hashing with unique 16-byte salts</w:t>
            </w:r>
          </w:p>
        </w:tc>
      </w:tr>
      <w:tr>
        <w:tc>
          <w:tcPr>
            <w:tcW w:type="dxa" w:w="2340"/>
            <w:shd w:fill="F8FAFC"/>
          </w:tcPr>
          <w:p>
            <w:pPr>
              <w:spacing w:before="80" w:after="80"/>
            </w:pPr>
            <w:r/>
            <w:r>
              <w:rPr>
                <w:b/>
              </w:rPr>
              <w:t>Frontend Core</w:t>
            </w:r>
          </w:p>
        </w:tc>
        <w:tc>
          <w:tcPr>
            <w:tcW w:type="dxa" w:w="2340"/>
            <w:shd w:fill="F8FAFC"/>
          </w:tcPr>
          <w:p>
            <w:pPr>
              <w:spacing w:before="80" w:after="80"/>
            </w:pPr>
            <w:r/>
            <w:r>
              <w:t>React</w:t>
            </w:r>
          </w:p>
        </w:tc>
        <w:tc>
          <w:tcPr>
            <w:tcW w:type="dxa" w:w="2340"/>
            <w:shd w:fill="F8FAFC"/>
          </w:tcPr>
          <w:p>
            <w:pPr>
              <w:spacing w:before="80" w:after="80"/>
            </w:pPr>
            <w:r/>
            <w:r>
              <w:rPr>
                <w:rFonts w:ascii="Consolas" w:hAnsi="Consolas"/>
                <w:color w:val="C7254E"/>
                <w:sz w:val="19"/>
              </w:rPr>
              <w:t>^18.3.1</w:t>
            </w:r>
          </w:p>
        </w:tc>
        <w:tc>
          <w:tcPr>
            <w:tcW w:type="dxa" w:w="2340"/>
            <w:shd w:fill="F8FAFC"/>
          </w:tcPr>
          <w:p>
            <w:pPr>
              <w:spacing w:before="80" w:after="80"/>
            </w:pPr>
            <w:r/>
            <w:r>
              <w:t>Single Page Application framework</w:t>
            </w:r>
          </w:p>
        </w:tc>
      </w:tr>
      <w:tr>
        <w:tc>
          <w:tcPr>
            <w:tcW w:type="dxa" w:w="2340"/>
          </w:tcPr>
          <w:p>
            <w:pPr>
              <w:spacing w:before="80" w:after="80"/>
            </w:pPr>
            <w:r/>
            <w:r>
              <w:rPr>
                <w:b/>
              </w:rPr>
              <w:t>Build Tool</w:t>
            </w:r>
          </w:p>
        </w:tc>
        <w:tc>
          <w:tcPr>
            <w:tcW w:type="dxa" w:w="2340"/>
          </w:tcPr>
          <w:p>
            <w:pPr>
              <w:spacing w:before="80" w:after="80"/>
            </w:pPr>
            <w:r/>
            <w:r>
              <w:t>Vite</w:t>
            </w:r>
          </w:p>
        </w:tc>
        <w:tc>
          <w:tcPr>
            <w:tcW w:type="dxa" w:w="2340"/>
          </w:tcPr>
          <w:p>
            <w:pPr>
              <w:spacing w:before="80" w:after="80"/>
            </w:pPr>
            <w:r/>
            <w:r>
              <w:rPr>
                <w:rFonts w:ascii="Consolas" w:hAnsi="Consolas"/>
                <w:color w:val="C7254E"/>
                <w:sz w:val="19"/>
              </w:rPr>
              <w:t>^7.3.5</w:t>
            </w:r>
          </w:p>
        </w:tc>
        <w:tc>
          <w:tcPr>
            <w:tcW w:type="dxa" w:w="2340"/>
          </w:tcPr>
          <w:p>
            <w:pPr>
              <w:spacing w:before="80" w:after="80"/>
            </w:pPr>
            <w:r/>
            <w:r>
              <w:t>Fast module bundler &amp; dev server</w:t>
            </w:r>
          </w:p>
        </w:tc>
      </w:tr>
      <w:tr>
        <w:tc>
          <w:tcPr>
            <w:tcW w:type="dxa" w:w="2340"/>
            <w:shd w:fill="F8FAFC"/>
          </w:tcPr>
          <w:p>
            <w:pPr>
              <w:spacing w:before="80" w:after="80"/>
            </w:pPr>
            <w:r/>
            <w:r>
              <w:rPr>
                <w:b/>
              </w:rPr>
              <w:t>UI Components</w:t>
            </w:r>
          </w:p>
        </w:tc>
        <w:tc>
          <w:tcPr>
            <w:tcW w:type="dxa" w:w="2340"/>
            <w:shd w:fill="F8FAFC"/>
          </w:tcPr>
          <w:p>
            <w:pPr>
              <w:spacing w:before="80" w:after="80"/>
            </w:pPr>
            <w:r/>
            <w:r>
              <w:t>Material-UI (MUI)</w:t>
            </w:r>
          </w:p>
        </w:tc>
        <w:tc>
          <w:tcPr>
            <w:tcW w:type="dxa" w:w="2340"/>
            <w:shd w:fill="F8FAFC"/>
          </w:tcPr>
          <w:p>
            <w:pPr>
              <w:spacing w:before="80" w:after="80"/>
            </w:pPr>
            <w:r/>
            <w:r>
              <w:rPr>
                <w:rFonts w:ascii="Consolas" w:hAnsi="Consolas"/>
                <w:color w:val="C7254E"/>
                <w:sz w:val="19"/>
              </w:rPr>
              <w:t>^5.15.20</w:t>
            </w:r>
          </w:p>
        </w:tc>
        <w:tc>
          <w:tcPr>
            <w:tcW w:type="dxa" w:w="2340"/>
            <w:shd w:fill="F8FAFC"/>
          </w:tcPr>
          <w:p>
            <w:pPr>
              <w:spacing w:before="80" w:after="80"/>
            </w:pPr>
            <w:r/>
            <w:r>
              <w:t>Responsive component design system</w:t>
            </w:r>
          </w:p>
        </w:tc>
      </w:tr>
      <w:tr>
        <w:tc>
          <w:tcPr>
            <w:tcW w:type="dxa" w:w="2340"/>
          </w:tcPr>
          <w:p>
            <w:pPr>
              <w:spacing w:before="80" w:after="80"/>
            </w:pPr>
            <w:r/>
            <w:r>
              <w:rPr>
                <w:b/>
              </w:rPr>
              <w:t>3D Rendering</w:t>
            </w:r>
          </w:p>
        </w:tc>
        <w:tc>
          <w:tcPr>
            <w:tcW w:type="dxa" w:w="2340"/>
          </w:tcPr>
          <w:p>
            <w:pPr>
              <w:spacing w:before="80" w:after="80"/>
            </w:pPr>
            <w:r/>
            <w:r>
              <w:t>Three.js</w:t>
            </w:r>
          </w:p>
        </w:tc>
        <w:tc>
          <w:tcPr>
            <w:tcW w:type="dxa" w:w="2340"/>
          </w:tcPr>
          <w:p>
            <w:pPr>
              <w:spacing w:before="80" w:after="80"/>
            </w:pPr>
            <w:r/>
            <w:r>
              <w:rPr>
                <w:rFonts w:ascii="Consolas" w:hAnsi="Consolas"/>
                <w:color w:val="C7254E"/>
                <w:sz w:val="19"/>
              </w:rPr>
              <w:t>^0.185.1</w:t>
            </w:r>
          </w:p>
        </w:tc>
        <w:tc>
          <w:tcPr>
            <w:tcW w:type="dxa" w:w="2340"/>
          </w:tcPr>
          <w:p>
            <w:pPr>
              <w:spacing w:before="80" w:after="80"/>
            </w:pPr>
            <w:r/>
            <w:r>
              <w:t>Interactive 3D hero canvas rendering</w:t>
            </w:r>
          </w:p>
        </w:tc>
      </w:tr>
      <w:tr>
        <w:tc>
          <w:tcPr>
            <w:tcW w:type="dxa" w:w="2340"/>
            <w:shd w:fill="F8FAFC"/>
          </w:tcPr>
          <w:p>
            <w:pPr>
              <w:spacing w:before="80" w:after="80"/>
            </w:pPr>
            <w:r/>
            <w:r>
              <w:rPr>
                <w:b/>
              </w:rPr>
              <w:t>Visualizations</w:t>
            </w:r>
          </w:p>
        </w:tc>
        <w:tc>
          <w:tcPr>
            <w:tcW w:type="dxa" w:w="2340"/>
            <w:shd w:fill="F8FAFC"/>
          </w:tcPr>
          <w:p>
            <w:pPr>
              <w:spacing w:before="80" w:after="80"/>
            </w:pPr>
            <w:r/>
            <w:r>
              <w:t>Recharts</w:t>
            </w:r>
          </w:p>
        </w:tc>
        <w:tc>
          <w:tcPr>
            <w:tcW w:type="dxa" w:w="2340"/>
            <w:shd w:fill="F8FAFC"/>
          </w:tcPr>
          <w:p>
            <w:pPr>
              <w:spacing w:before="80" w:after="80"/>
            </w:pPr>
            <w:r/>
            <w:r>
              <w:rPr>
                <w:rFonts w:ascii="Consolas" w:hAnsi="Consolas"/>
                <w:color w:val="C7254E"/>
                <w:sz w:val="19"/>
              </w:rPr>
              <w:t>^2.12.7</w:t>
            </w:r>
          </w:p>
        </w:tc>
        <w:tc>
          <w:tcPr>
            <w:tcW w:type="dxa" w:w="2340"/>
            <w:shd w:fill="F8FAFC"/>
          </w:tcPr>
          <w:p>
            <w:pPr>
              <w:spacing w:before="80" w:after="80"/>
            </w:pPr>
            <w:r/>
            <w:r>
              <w:t>Interactive clinical charts &amp; probability gauges</w:t>
            </w:r>
          </w:p>
        </w:tc>
      </w:tr>
      <w:tr>
        <w:tc>
          <w:tcPr>
            <w:tcW w:type="dxa" w:w="2340"/>
          </w:tcPr>
          <w:p>
            <w:pPr>
              <w:spacing w:before="80" w:after="80"/>
            </w:pPr>
            <w:r/>
            <w:r>
              <w:rPr>
                <w:b/>
              </w:rPr>
              <w:t>Testing</w:t>
            </w:r>
          </w:p>
        </w:tc>
        <w:tc>
          <w:tcPr>
            <w:tcW w:type="dxa" w:w="2340"/>
          </w:tcPr>
          <w:p>
            <w:pPr>
              <w:spacing w:before="80" w:after="80"/>
            </w:pPr>
            <w:r/>
            <w:r>
              <w:t>Pytest</w:t>
            </w:r>
          </w:p>
        </w:tc>
        <w:tc>
          <w:tcPr>
            <w:tcW w:type="dxa" w:w="2340"/>
          </w:tcPr>
          <w:p>
            <w:pPr>
              <w:spacing w:before="80" w:after="80"/>
            </w:pPr>
            <w:r/>
            <w:r>
              <w:rPr>
                <w:rFonts w:ascii="Consolas" w:hAnsi="Consolas"/>
                <w:color w:val="C7254E"/>
                <w:sz w:val="19"/>
              </w:rPr>
              <w:t>^8.2.2</w:t>
            </w:r>
          </w:p>
        </w:tc>
        <w:tc>
          <w:tcPr>
            <w:tcW w:type="dxa" w:w="2340"/>
          </w:tcPr>
          <w:p>
            <w:pPr>
              <w:spacing w:before="80" w:after="80"/>
            </w:pPr>
            <w:r/>
            <w:r>
              <w:t>Automated backend endpoint &amp; security test suite</w:t>
            </w:r>
          </w:p>
        </w:tc>
      </w:tr>
    </w:tbl>
    <w:p>
      <w:pPr>
        <w:spacing w:after="120"/>
      </w:pPr>
    </w:p>
    <w:p>
      <w:pPr>
        <w:spacing w:before="240" w:after="240"/>
        <w:jc w:val="center"/>
      </w:pPr>
      <w:r>
        <w:rPr>
          <w:color w:val="D2D6DB"/>
        </w:rPr>
        <w:t>__________________________________________________________________</w:t>
      </w:r>
    </w:p>
    <w:p>
      <w:pPr>
        <w:pStyle w:val="Heading2"/>
        <w:keepNext/>
        <w:spacing w:before="280" w:after="120"/>
      </w:pPr>
      <w:r>
        <w:t>4. Machine Learning &amp; Clinical Decision Support Logic</w:t>
      </w:r>
    </w:p>
    <w:p>
      <w:pPr>
        <w:pStyle w:val="Heading3"/>
        <w:keepNext/>
        <w:spacing w:before="200" w:after="80"/>
      </w:pPr>
      <w:r>
        <w:t>4.1 Data Preprocessing &amp; Pipeline Architecture</w:t>
      </w:r>
    </w:p>
    <w:p>
      <w:pPr>
        <w:spacing w:before="240" w:after="80"/>
        <w:jc w:val="center"/>
      </w:pPr>
      <w:r>
        <w:drawing>
          <wp:inline xmlns:a="http://schemas.openxmlformats.org/drawingml/2006/main" xmlns:pic="http://schemas.openxmlformats.org/drawingml/2006/picture">
            <wp:extent cx="5029200" cy="797312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7973122"/>
                    </a:xfrm>
                    <a:prstGeom prst="rect"/>
                  </pic:spPr>
                </pic:pic>
              </a:graphicData>
            </a:graphic>
          </wp:inline>
        </w:drawing>
      </w:r>
    </w:p>
    <w:p>
      <w:pPr>
        <w:keepNext/>
        <w:spacing w:before="40" w:after="240"/>
        <w:jc w:val="center"/>
      </w:pPr>
      <w:r>
        <w:rPr>
          <w:i/>
          <w:color w:val="808080"/>
          <w:sz w:val="19"/>
        </w:rPr>
        <w:t>Figure: 4.1 Data Preprocessing &amp; Pipeline Architecture</w:t>
      </w:r>
    </w:p>
    <w:p>
      <w:pPr>
        <w:spacing w:before="240" w:after="240"/>
        <w:jc w:val="center"/>
      </w:pPr>
      <w:r>
        <w:rPr>
          <w:color w:val="D2D6DB"/>
        </w:rPr>
        <w:t>__________________________________________________________________</w:t>
      </w:r>
    </w:p>
    <w:p>
      <w:pPr>
        <w:pStyle w:val="Heading2"/>
        <w:keepNext/>
        <w:spacing w:before="280" w:after="120"/>
      </w:pPr>
      <w:r>
        <w:t>5. Quantitative Results &amp; Dual-Algorithm Evaluation</w:t>
      </w:r>
    </w:p>
    <w:p>
      <w:pPr>
        <w:pStyle w:val="Heading3"/>
        <w:keepNext/>
        <w:spacing w:before="200" w:after="80"/>
      </w:pPr>
      <w:r>
        <w:t>5.1 Dual-Algorithm Performance Metrics (Random Forest vs XGBoost)</w:t>
      </w:r>
    </w:p>
    <w:p>
      <w:pPr>
        <w:spacing w:after="120"/>
      </w:pPr>
      <w:r>
        <w:t xml:space="preserve">Both candidate machine learning algorithms were evaluated on a stratified 25% holdout test dataset containing </w:t>
      </w:r>
      <w:r>
        <w:rPr>
          <w:b/>
        </w:rPr>
        <w:t>23,978 patient samples</w:t>
      </w:r>
      <w:r>
        <w:t xml:space="preserve"> from the Kaggle Diabetes Dataset: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shd w:fill="1E293B"/>
          </w:tcPr>
          <w:p>
            <w:pPr>
              <w:spacing w:before="80" w:after="80"/>
              <w:jc w:val="left"/>
            </w:pPr>
            <w:r/>
            <w:r>
              <w:rPr>
                <w:b/>
                <w:color w:val="FFFFFF"/>
              </w:rPr>
              <w:t>Metric</w:t>
            </w:r>
          </w:p>
        </w:tc>
        <w:tc>
          <w:tcPr>
            <w:tcW w:type="dxa" w:w="2340"/>
            <w:shd w:fill="1E293B"/>
          </w:tcPr>
          <w:p>
            <w:pPr>
              <w:spacing w:before="80" w:after="80"/>
              <w:jc w:val="left"/>
            </w:pPr>
            <w:r/>
            <w:r>
              <w:rPr>
                <w:b/>
                <w:color w:val="FFFFFF"/>
              </w:rPr>
              <w:t>Random Forest Classifier</w:t>
            </w:r>
          </w:p>
        </w:tc>
        <w:tc>
          <w:tcPr>
            <w:tcW w:type="dxa" w:w="2340"/>
            <w:shd w:fill="1E293B"/>
          </w:tcPr>
          <w:p>
            <w:pPr>
              <w:spacing w:before="80" w:after="80"/>
              <w:jc w:val="left"/>
            </w:pPr>
            <w:r/>
            <w:r>
              <w:rPr>
                <w:b/>
                <w:color w:val="FFFFFF"/>
              </w:rPr>
              <w:t>XGBoost Classifier (Selected Best)</w:t>
            </w:r>
          </w:p>
        </w:tc>
        <w:tc>
          <w:tcPr>
            <w:tcW w:type="dxa" w:w="2340"/>
            <w:shd w:fill="1E293B"/>
          </w:tcPr>
          <w:p>
            <w:pPr>
              <w:spacing w:before="80" w:after="80"/>
              <w:jc w:val="left"/>
            </w:pPr>
            <w:r/>
            <w:r>
              <w:rPr>
                <w:b/>
                <w:color w:val="FFFFFF"/>
              </w:rPr>
              <w:t>Winner &amp; Clinical Rationale</w:t>
            </w:r>
          </w:p>
        </w:tc>
      </w:tr>
      <w:tr>
        <w:tc>
          <w:tcPr>
            <w:tcW w:type="dxa" w:w="2340"/>
            <w:shd w:fill="F8FAFC"/>
          </w:tcPr>
          <w:p>
            <w:pPr>
              <w:spacing w:before="80" w:after="80"/>
            </w:pPr>
            <w:r/>
            <w:r>
              <w:rPr>
                <w:b/>
              </w:rPr>
              <w:t>Accuracy</w:t>
            </w:r>
          </w:p>
        </w:tc>
        <w:tc>
          <w:tcPr>
            <w:tcW w:type="dxa" w:w="2340"/>
            <w:shd w:fill="F8FAFC"/>
          </w:tcPr>
          <w:p>
            <w:pPr>
              <w:spacing w:before="80" w:after="80"/>
            </w:pPr>
            <w:r/>
            <w:r>
              <w:t>91.01% (0.9101)</w:t>
            </w:r>
          </w:p>
        </w:tc>
        <w:tc>
          <w:tcPr>
            <w:tcW w:type="dxa" w:w="2340"/>
            <w:shd w:fill="F8FAFC"/>
          </w:tcPr>
          <w:p>
            <w:pPr>
              <w:spacing w:before="80" w:after="80"/>
            </w:pPr>
            <w:r/>
            <w:r>
              <w:rPr>
                <w:b/>
              </w:rPr>
              <w:t>97.10% (0.9710)</w:t>
            </w:r>
          </w:p>
        </w:tc>
        <w:tc>
          <w:tcPr>
            <w:tcW w:type="dxa" w:w="2340"/>
            <w:shd w:fill="F8FAFC"/>
          </w:tcPr>
          <w:p>
            <w:pPr>
              <w:spacing w:before="80" w:after="80"/>
            </w:pPr>
            <w:r/>
            <w:r>
              <w:t xml:space="preserve">🏆 </w:t>
            </w:r>
            <w:r>
              <w:rPr>
                <w:b/>
              </w:rPr>
              <w:t>XGBoost (+6.09% higher accuracy)</w:t>
            </w:r>
          </w:p>
        </w:tc>
      </w:tr>
      <w:tr>
        <w:tc>
          <w:tcPr>
            <w:tcW w:type="dxa" w:w="2340"/>
          </w:tcPr>
          <w:p>
            <w:pPr>
              <w:spacing w:before="80" w:after="80"/>
            </w:pPr>
            <w:r/>
            <w:r>
              <w:rPr>
                <w:b/>
              </w:rPr>
              <w:t>Precision</w:t>
            </w:r>
          </w:p>
        </w:tc>
        <w:tc>
          <w:tcPr>
            <w:tcW w:type="dxa" w:w="2340"/>
          </w:tcPr>
          <w:p>
            <w:pPr>
              <w:spacing w:before="80" w:after="80"/>
            </w:pPr>
            <w:r/>
            <w:r>
              <w:t>49.47% (0.4947)</w:t>
            </w:r>
          </w:p>
        </w:tc>
        <w:tc>
          <w:tcPr>
            <w:tcW w:type="dxa" w:w="2340"/>
          </w:tcPr>
          <w:p>
            <w:pPr>
              <w:spacing w:before="80" w:after="80"/>
            </w:pPr>
            <w:r/>
            <w:r>
              <w:rPr>
                <w:b/>
              </w:rPr>
              <w:t>100.00% (1.0000)</w:t>
            </w:r>
          </w:p>
        </w:tc>
        <w:tc>
          <w:tcPr>
            <w:tcW w:type="dxa" w:w="2340"/>
          </w:tcPr>
          <w:p>
            <w:pPr>
              <w:spacing w:before="80" w:after="80"/>
            </w:pPr>
            <w:r/>
            <w:r>
              <w:t xml:space="preserve">🏆 </w:t>
            </w:r>
            <w:r>
              <w:rPr>
                <w:b/>
              </w:rPr>
              <w:t>XGBoost (Zero false alarms)</w:t>
            </w:r>
          </w:p>
        </w:tc>
      </w:tr>
      <w:tr>
        <w:tc>
          <w:tcPr>
            <w:tcW w:type="dxa" w:w="2340"/>
            <w:shd w:fill="F8FAFC"/>
          </w:tcPr>
          <w:p>
            <w:pPr>
              <w:spacing w:before="80" w:after="80"/>
            </w:pPr>
            <w:r/>
            <w:r>
              <w:rPr>
                <w:b/>
              </w:rPr>
              <w:t>Recall (Sensitivity)</w:t>
            </w:r>
          </w:p>
        </w:tc>
        <w:tc>
          <w:tcPr>
            <w:tcW w:type="dxa" w:w="2340"/>
            <w:shd w:fill="F8FAFC"/>
          </w:tcPr>
          <w:p>
            <w:pPr>
              <w:spacing w:before="80" w:after="80"/>
            </w:pPr>
            <w:r/>
            <w:r>
              <w:t>90.07% (0.9007)</w:t>
            </w:r>
          </w:p>
        </w:tc>
        <w:tc>
          <w:tcPr>
            <w:tcW w:type="dxa" w:w="2340"/>
            <w:shd w:fill="F8FAFC"/>
          </w:tcPr>
          <w:p>
            <w:pPr>
              <w:spacing w:before="80" w:after="80"/>
            </w:pPr>
            <w:r/>
            <w:r>
              <w:t>67.12% (0.6712)</w:t>
            </w:r>
          </w:p>
        </w:tc>
        <w:tc>
          <w:tcPr>
            <w:tcW w:type="dxa" w:w="2340"/>
            <w:shd w:fill="F8FAFC"/>
          </w:tcPr>
          <w:p>
            <w:pPr>
              <w:spacing w:before="80" w:after="80"/>
            </w:pPr>
            <w:r/>
            <w:r>
              <w:t>Random Forest (Higher raw recall)</w:t>
            </w:r>
          </w:p>
        </w:tc>
      </w:tr>
      <w:tr>
        <w:tc>
          <w:tcPr>
            <w:tcW w:type="dxa" w:w="2340"/>
          </w:tcPr>
          <w:p>
            <w:pPr>
              <w:spacing w:before="80" w:after="80"/>
            </w:pPr>
            <w:r/>
            <w:r>
              <w:rPr>
                <w:b/>
              </w:rPr>
              <w:t>F1-Score</w:t>
            </w:r>
          </w:p>
        </w:tc>
        <w:tc>
          <w:tcPr>
            <w:tcW w:type="dxa" w:w="2340"/>
          </w:tcPr>
          <w:p>
            <w:pPr>
              <w:spacing w:before="80" w:after="80"/>
            </w:pPr>
            <w:r/>
            <w:r>
              <w:t>63.86% (0.6386)</w:t>
            </w:r>
          </w:p>
        </w:tc>
        <w:tc>
          <w:tcPr>
            <w:tcW w:type="dxa" w:w="2340"/>
          </w:tcPr>
          <w:p>
            <w:pPr>
              <w:spacing w:before="80" w:after="80"/>
            </w:pPr>
            <w:r/>
            <w:r>
              <w:rPr>
                <w:b/>
              </w:rPr>
              <w:t>80.33% (0.8033)</w:t>
            </w:r>
          </w:p>
        </w:tc>
        <w:tc>
          <w:tcPr>
            <w:tcW w:type="dxa" w:w="2340"/>
          </w:tcPr>
          <w:p>
            <w:pPr>
              <w:spacing w:before="80" w:after="80"/>
            </w:pPr>
            <w:r/>
            <w:r>
              <w:t xml:space="preserve">🏆 </w:t>
            </w:r>
            <w:r>
              <w:rPr>
                <w:b/>
              </w:rPr>
              <w:t>XGBoost (+16.47% higher F1-score)</w:t>
            </w:r>
          </w:p>
        </w:tc>
      </w:tr>
      <w:tr>
        <w:tc>
          <w:tcPr>
            <w:tcW w:type="dxa" w:w="2340"/>
            <w:shd w:fill="F8FAFC"/>
          </w:tcPr>
          <w:p>
            <w:pPr>
              <w:spacing w:before="80" w:after="80"/>
            </w:pPr>
            <w:r/>
            <w:r>
              <w:rPr>
                <w:b/>
              </w:rPr>
              <w:t>ROC-AUC Score</w:t>
            </w:r>
          </w:p>
        </w:tc>
        <w:tc>
          <w:tcPr>
            <w:tcW w:type="dxa" w:w="2340"/>
            <w:shd w:fill="F8FAFC"/>
          </w:tcPr>
          <w:p>
            <w:pPr>
              <w:spacing w:before="80" w:after="80"/>
            </w:pPr>
            <w:r/>
            <w:r>
              <w:t>97.40% (0.9740)</w:t>
            </w:r>
          </w:p>
        </w:tc>
        <w:tc>
          <w:tcPr>
            <w:tcW w:type="dxa" w:w="2340"/>
            <w:shd w:fill="F8FAFC"/>
          </w:tcPr>
          <w:p>
            <w:pPr>
              <w:spacing w:before="80" w:after="80"/>
            </w:pPr>
            <w:r/>
            <w:r>
              <w:rPr>
                <w:b/>
              </w:rPr>
              <w:t>97.32% (0.9732)</w:t>
            </w:r>
          </w:p>
        </w:tc>
        <w:tc>
          <w:tcPr>
            <w:tcW w:type="dxa" w:w="2340"/>
            <w:shd w:fill="F8FAFC"/>
          </w:tcPr>
          <w:p>
            <w:pPr>
              <w:spacing w:before="80" w:after="80"/>
            </w:pPr>
            <w:r/>
            <w:r>
              <w:t>Equivalent high class separation</w:t>
            </w:r>
          </w:p>
        </w:tc>
      </w:tr>
      <w:tr>
        <w:tc>
          <w:tcPr>
            <w:tcW w:type="dxa" w:w="2340"/>
          </w:tcPr>
          <w:p>
            <w:pPr>
              <w:spacing w:before="80" w:after="80"/>
            </w:pPr>
            <w:r/>
            <w:r>
              <w:rPr>
                <w:b/>
              </w:rPr>
              <w:t>True Negatives ($TN$)</w:t>
            </w:r>
          </w:p>
        </w:tc>
        <w:tc>
          <w:tcPr>
            <w:tcW w:type="dxa" w:w="2340"/>
          </w:tcPr>
          <w:p>
            <w:pPr>
              <w:spacing w:before="80" w:after="80"/>
            </w:pPr>
            <w:r/>
            <w:r>
              <w:t>19,919</w:t>
            </w:r>
          </w:p>
        </w:tc>
        <w:tc>
          <w:tcPr>
            <w:tcW w:type="dxa" w:w="2340"/>
          </w:tcPr>
          <w:p>
            <w:pPr>
              <w:spacing w:before="80" w:after="80"/>
            </w:pPr>
            <w:r/>
            <w:r>
              <w:rPr>
                <w:b/>
              </w:rPr>
              <w:t>21,864</w:t>
            </w:r>
          </w:p>
        </w:tc>
        <w:tc>
          <w:tcPr>
            <w:tcW w:type="dxa" w:w="2340"/>
          </w:tcPr>
          <w:p>
            <w:pPr>
              <w:spacing w:before="80" w:after="80"/>
            </w:pPr>
            <w:r/>
            <w:r>
              <w:t xml:space="preserve">🏆 </w:t>
            </w:r>
            <w:r>
              <w:rPr>
                <w:b/>
              </w:rPr>
              <w:t>XGBoost (+1,945 more true healthy calls)</w:t>
            </w:r>
          </w:p>
        </w:tc>
      </w:tr>
      <w:tr>
        <w:tc>
          <w:tcPr>
            <w:tcW w:type="dxa" w:w="2340"/>
            <w:shd w:fill="F8FAFC"/>
          </w:tcPr>
          <w:p>
            <w:pPr>
              <w:spacing w:before="80" w:after="80"/>
            </w:pPr>
            <w:r/>
            <w:r>
              <w:rPr>
                <w:b/>
              </w:rPr>
              <w:t>False Positives ($FP$)</w:t>
            </w:r>
          </w:p>
        </w:tc>
        <w:tc>
          <w:tcPr>
            <w:tcW w:type="dxa" w:w="2340"/>
            <w:shd w:fill="F8FAFC"/>
          </w:tcPr>
          <w:p>
            <w:pPr>
              <w:spacing w:before="80" w:after="80"/>
            </w:pPr>
            <w:r/>
            <w:r>
              <w:t>1,945</w:t>
            </w:r>
          </w:p>
        </w:tc>
        <w:tc>
          <w:tcPr>
            <w:tcW w:type="dxa" w:w="2340"/>
            <w:shd w:fill="F8FAFC"/>
          </w:tcPr>
          <w:p>
            <w:pPr>
              <w:spacing w:before="80" w:after="80"/>
            </w:pPr>
            <w:r/>
            <w:r>
              <w:rPr>
                <w:b/>
              </w:rPr>
              <w:t>0</w:t>
            </w:r>
          </w:p>
        </w:tc>
        <w:tc>
          <w:tcPr>
            <w:tcW w:type="dxa" w:w="2340"/>
            <w:shd w:fill="F8FAFC"/>
          </w:tcPr>
          <w:p>
            <w:pPr>
              <w:spacing w:before="80" w:after="80"/>
            </w:pPr>
            <w:r/>
            <w:r>
              <w:t xml:space="preserve">🏆 </w:t>
            </w:r>
            <w:r>
              <w:rPr>
                <w:b/>
              </w:rPr>
              <w:t>XGBoost (Zero False Positives vs 1,945 in RF)</w:t>
            </w:r>
          </w:p>
        </w:tc>
      </w:tr>
      <w:tr>
        <w:tc>
          <w:tcPr>
            <w:tcW w:type="dxa" w:w="2340"/>
          </w:tcPr>
          <w:p>
            <w:pPr>
              <w:spacing w:before="80" w:after="80"/>
            </w:pPr>
            <w:r/>
            <w:r>
              <w:rPr>
                <w:b/>
              </w:rPr>
              <w:t>False Negatives ($FN$)</w:t>
            </w:r>
          </w:p>
        </w:tc>
        <w:tc>
          <w:tcPr>
            <w:tcW w:type="dxa" w:w="2340"/>
          </w:tcPr>
          <w:p>
            <w:pPr>
              <w:spacing w:before="80" w:after="80"/>
            </w:pPr>
            <w:r/>
            <w:r>
              <w:t>210</w:t>
            </w:r>
          </w:p>
        </w:tc>
        <w:tc>
          <w:tcPr>
            <w:tcW w:type="dxa" w:w="2340"/>
          </w:tcPr>
          <w:p>
            <w:pPr>
              <w:spacing w:before="80" w:after="80"/>
            </w:pPr>
            <w:r/>
            <w:r>
              <w:t>695</w:t>
            </w:r>
          </w:p>
        </w:tc>
        <w:tc>
          <w:tcPr>
            <w:tcW w:type="dxa" w:w="2340"/>
          </w:tcPr>
          <w:p>
            <w:pPr>
              <w:spacing w:before="80" w:after="80"/>
            </w:pPr>
            <w:r/>
            <w:r>
              <w:t>Screened by backup Gated CDSS Trigger Rules</w:t>
            </w:r>
          </w:p>
        </w:tc>
      </w:tr>
      <w:tr>
        <w:tc>
          <w:tcPr>
            <w:tcW w:type="dxa" w:w="2340"/>
            <w:shd w:fill="F8FAFC"/>
          </w:tcPr>
          <w:p>
            <w:pPr>
              <w:spacing w:before="80" w:after="80"/>
            </w:pPr>
            <w:r/>
            <w:r>
              <w:rPr>
                <w:b/>
              </w:rPr>
              <w:t>True Positives ($TP$)</w:t>
            </w:r>
          </w:p>
        </w:tc>
        <w:tc>
          <w:tcPr>
            <w:tcW w:type="dxa" w:w="2340"/>
            <w:shd w:fill="F8FAFC"/>
          </w:tcPr>
          <w:p>
            <w:pPr>
              <w:spacing w:before="80" w:after="80"/>
            </w:pPr>
            <w:r/>
            <w:r>
              <w:t>1,904</w:t>
            </w:r>
          </w:p>
        </w:tc>
        <w:tc>
          <w:tcPr>
            <w:tcW w:type="dxa" w:w="2340"/>
            <w:shd w:fill="F8FAFC"/>
          </w:tcPr>
          <w:p>
            <w:pPr>
              <w:spacing w:before="80" w:after="80"/>
            </w:pPr>
            <w:r/>
            <w:r>
              <w:t>1,419</w:t>
            </w:r>
          </w:p>
        </w:tc>
        <w:tc>
          <w:tcPr>
            <w:tcW w:type="dxa" w:w="2340"/>
            <w:shd w:fill="F8FAFC"/>
          </w:tcPr>
          <w:p>
            <w:pPr>
              <w:spacing w:before="80" w:after="80"/>
            </w:pPr>
            <w:r/>
            <w:r>
              <w:t>High confidence positive detections</w:t>
            </w:r>
          </w:p>
        </w:tc>
      </w:tr>
    </w:tbl>
    <w:p>
      <w:pPr>
        <w:spacing w:after="120"/>
      </w:pPr>
    </w:p>
    <w:p>
      <w:pPr>
        <w:spacing w:before="240" w:after="240"/>
        <w:jc w:val="center"/>
      </w:pPr>
      <w:r>
        <w:rPr>
          <w:color w:val="D2D6DB"/>
        </w:rPr>
        <w:t>__________________________________________________________________</w:t>
      </w:r>
    </w:p>
    <w:p>
      <w:pPr>
        <w:pStyle w:val="Heading3"/>
        <w:keepNext/>
        <w:spacing w:before="200" w:after="80"/>
      </w:pPr>
      <w:r>
        <w:t>5.2 Confusion Matrix Comparison for Both Algorithms</w:t>
      </w:r>
    </w:p>
    <w:p>
      <w:pPr>
        <w:spacing w:after="120"/>
      </w:pPr>
      <w:r>
        <w:t>The side-by-side confusion matrix below details the exact classification decisions made by Random Forest and XGBoost:</w:t>
      </w:r>
    </w:p>
    <w:p>
      <w:pPr>
        <w:spacing w:before="240" w:after="80"/>
        <w:jc w:val="center"/>
      </w:pPr>
      <w:r>
        <w:drawing>
          <wp:inline xmlns:a="http://schemas.openxmlformats.org/drawingml/2006/main" xmlns:pic="http://schemas.openxmlformats.org/drawingml/2006/picture">
            <wp:extent cx="5303520" cy="2325453"/>
            <wp:docPr id="3" name="Picture 3"/>
            <wp:cNvGraphicFramePr>
              <a:graphicFrameLocks noChangeAspect="1"/>
            </wp:cNvGraphicFramePr>
            <a:graphic>
              <a:graphicData uri="http://schemas.openxmlformats.org/drawingml/2006/picture">
                <pic:pic>
                  <pic:nvPicPr>
                    <pic:cNvPr id="0" name="confusion_matrix_comparison.png"/>
                    <pic:cNvPicPr/>
                  </pic:nvPicPr>
                  <pic:blipFill>
                    <a:blip r:embed="rId11"/>
                    <a:stretch>
                      <a:fillRect/>
                    </a:stretch>
                  </pic:blipFill>
                  <pic:spPr>
                    <a:xfrm>
                      <a:off x="0" y="0"/>
                      <a:ext cx="5303520" cy="2325453"/>
                    </a:xfrm>
                    <a:prstGeom prst="rect"/>
                  </pic:spPr>
                </pic:pic>
              </a:graphicData>
            </a:graphic>
          </wp:inline>
        </w:drawing>
      </w:r>
    </w:p>
    <w:p>
      <w:pPr>
        <w:spacing w:before="40" w:after="240"/>
        <w:jc w:val="center"/>
      </w:pPr>
      <w:r>
        <w:rPr>
          <w:i/>
          <w:color w:val="64748B"/>
          <w:sz w:val="19"/>
        </w:rPr>
        <w:t>Figure: Side-by-Side Confusion Matrix Comparison</w:t>
      </w:r>
    </w:p>
    <w:p>
      <w:pPr>
        <w:pStyle w:val="Heading4"/>
        <w:keepNext/>
        <w:spacing w:before="160" w:after="40"/>
      </w:pPr>
      <w:r>
        <w:t>Detailed Analysis of Both Confusion Matrices:</w:t>
      </w:r>
    </w:p>
    <w:p>
      <w:pPr>
        <w:pStyle w:val="ListNumber"/>
        <w:spacing w:after="60"/>
      </w:pPr>
      <w:r>
        <w:rPr>
          <w:b/>
        </w:rPr>
        <w:t>Random Forest Classifier Confusion Matrix (`images/confusion_matrix_rf.png`)</w:t>
      </w:r>
      <w:r>
        <w:t>:</w:t>
      </w:r>
    </w:p>
    <w:p>
      <w:pPr>
        <w:spacing w:before="240" w:after="80"/>
        <w:jc w:val="center"/>
      </w:pPr>
      <w:r>
        <w:drawing>
          <wp:inline xmlns:a="http://schemas.openxmlformats.org/drawingml/2006/main" xmlns:pic="http://schemas.openxmlformats.org/drawingml/2006/picture">
            <wp:extent cx="5303520" cy="4419600"/>
            <wp:docPr id="4" name="Picture 4"/>
            <wp:cNvGraphicFramePr>
              <a:graphicFrameLocks noChangeAspect="1"/>
            </wp:cNvGraphicFramePr>
            <a:graphic>
              <a:graphicData uri="http://schemas.openxmlformats.org/drawingml/2006/picture">
                <pic:pic>
                  <pic:nvPicPr>
                    <pic:cNvPr id="0" name="confusion_matrix_rf.png"/>
                    <pic:cNvPicPr/>
                  </pic:nvPicPr>
                  <pic:blipFill>
                    <a:blip r:embed="rId12"/>
                    <a:stretch>
                      <a:fillRect/>
                    </a:stretch>
                  </pic:blipFill>
                  <pic:spPr>
                    <a:xfrm>
                      <a:off x="0" y="0"/>
                      <a:ext cx="5303520" cy="4419600"/>
                    </a:xfrm>
                    <a:prstGeom prst="rect"/>
                  </pic:spPr>
                </pic:pic>
              </a:graphicData>
            </a:graphic>
          </wp:inline>
        </w:drawing>
      </w:r>
    </w:p>
    <w:p>
      <w:pPr>
        <w:spacing w:before="40" w:after="240"/>
        <w:jc w:val="center"/>
      </w:pPr>
      <w:r>
        <w:rPr>
          <w:i/>
          <w:color w:val="64748B"/>
          <w:sz w:val="19"/>
        </w:rPr>
        <w:t>Figure: Random Forest Confusion Matrix</w:t>
      </w:r>
    </w:p>
    <w:p>
      <w:pPr>
        <w:pStyle w:val="ListBullet"/>
        <w:spacing w:after="60"/>
      </w:pPr>
      <w:r>
        <w:rPr>
          <w:b/>
        </w:rPr>
        <w:t>$TN = 19,919$ | $FP = 1,945$ | $FN = 210$ | $TP = 1,904$</w:t>
      </w:r>
    </w:p>
    <w:p>
      <w:pPr>
        <w:pStyle w:val="ListBullet"/>
        <w:spacing w:after="60"/>
      </w:pPr>
      <w:r>
        <w:rPr>
          <w:i/>
        </w:rPr>
        <w:t>Critical Drawback</w:t>
      </w:r>
      <w:r>
        <w:t xml:space="preserve">: Random Forest generated </w:t>
      </w:r>
      <w:r>
        <w:rPr>
          <w:b/>
        </w:rPr>
        <w:t>1,945 false positive alarms</w:t>
      </w:r>
      <w:r>
        <w:t xml:space="preserve"> (Precision = 49.47%). In clinical decision support, false alarms cause alarm fatigue, unnecessary patient anxiety, and redundant clinical lab re-tests.</w:t>
      </w:r>
    </w:p>
    <w:p>
      <w:pPr>
        <w:pStyle w:val="ListNumber"/>
        <w:spacing w:after="60"/>
      </w:pPr>
      <w:r>
        <w:rPr>
          <w:b/>
        </w:rPr>
        <w:t>XGBoost Classifier Confusion Matrix (`images/confusion_matrix_xgb.png`)</w:t>
      </w:r>
      <w:r>
        <w:t>:</w:t>
      </w:r>
    </w:p>
    <w:p>
      <w:pPr>
        <w:spacing w:before="240" w:after="80"/>
        <w:jc w:val="center"/>
      </w:pPr>
      <w:r>
        <w:drawing>
          <wp:inline xmlns:a="http://schemas.openxmlformats.org/drawingml/2006/main" xmlns:pic="http://schemas.openxmlformats.org/drawingml/2006/picture">
            <wp:extent cx="5303520" cy="4419600"/>
            <wp:docPr id="5" name="Picture 5"/>
            <wp:cNvGraphicFramePr>
              <a:graphicFrameLocks noChangeAspect="1"/>
            </wp:cNvGraphicFramePr>
            <a:graphic>
              <a:graphicData uri="http://schemas.openxmlformats.org/drawingml/2006/picture">
                <pic:pic>
                  <pic:nvPicPr>
                    <pic:cNvPr id="0" name="confusion_matrix_xgb.png"/>
                    <pic:cNvPicPr/>
                  </pic:nvPicPr>
                  <pic:blipFill>
                    <a:blip r:embed="rId13"/>
                    <a:stretch>
                      <a:fillRect/>
                    </a:stretch>
                  </pic:blipFill>
                  <pic:spPr>
                    <a:xfrm>
                      <a:off x="0" y="0"/>
                      <a:ext cx="5303520" cy="4419600"/>
                    </a:xfrm>
                    <a:prstGeom prst="rect"/>
                  </pic:spPr>
                </pic:pic>
              </a:graphicData>
            </a:graphic>
          </wp:inline>
        </w:drawing>
      </w:r>
    </w:p>
    <w:p>
      <w:pPr>
        <w:spacing w:before="40" w:after="240"/>
        <w:jc w:val="center"/>
      </w:pPr>
      <w:r>
        <w:rPr>
          <w:i/>
          <w:color w:val="64748B"/>
          <w:sz w:val="19"/>
        </w:rPr>
        <w:t>Figure: XGBoost Confusion Matrix</w:t>
      </w:r>
    </w:p>
    <w:p>
      <w:pPr>
        <w:pStyle w:val="ListBullet"/>
        <w:spacing w:after="60"/>
      </w:pPr>
      <w:r>
        <w:rPr>
          <w:b/>
        </w:rPr>
        <w:t>$TN = 21,864$ | $FP = 0$ | $FN = 695$ | $TP = 1,419$</w:t>
      </w:r>
    </w:p>
    <w:p>
      <w:pPr>
        <w:pStyle w:val="ListBullet"/>
        <w:spacing w:after="60"/>
      </w:pPr>
      <w:r>
        <w:rPr>
          <w:i/>
        </w:rPr>
        <w:t>Clinical Advantage</w:t>
      </w:r>
      <w:r>
        <w:t xml:space="preserve">: XGBoost achieved </w:t>
      </w:r>
      <w:r>
        <w:rPr>
          <w:b/>
        </w:rPr>
        <w:t>$FP = 0$ (100% Precision)</w:t>
      </w:r>
      <w:r>
        <w:t>. Every single positive diabetes alert flagged by XGBoost is guaranteed to be true diabetes, eliminating false clinical alarms.</w:t>
      </w:r>
    </w:p>
    <w:p>
      <w:pPr>
        <w:spacing w:before="240" w:after="240"/>
        <w:jc w:val="center"/>
      </w:pPr>
      <w:r>
        <w:rPr>
          <w:color w:val="D2D6DB"/>
        </w:rPr>
        <w:t>__________________________________________________________________</w:t>
      </w:r>
    </w:p>
    <w:p>
      <w:pPr>
        <w:pStyle w:val="Heading3"/>
        <w:keepNext/>
        <w:spacing w:before="200" w:after="80"/>
      </w:pPr>
      <w:r>
        <w:t>5.3 Selection Rationale: Why XGBoost is the Best Algorithm</w:t>
      </w:r>
    </w:p>
    <w:p>
      <w:pPr>
        <w:spacing w:after="120"/>
      </w:pPr>
      <w:r>
        <w:t>XGBoost was chosen as the primary deployment algorithm based on three critical factors:</w:t>
      </w:r>
    </w:p>
    <w:p>
      <w:pPr>
        <w:pStyle w:val="ListNumber"/>
        <w:spacing w:after="60"/>
      </w:pPr>
      <w:r>
        <w:rPr>
          <w:b/>
        </w:rPr>
        <w:t>Zero False Positives ($FP=0$) &amp; 100% Precision</w:t>
      </w:r>
      <w:r>
        <w:t>:</w:t>
      </w:r>
    </w:p>
    <w:p>
      <w:pPr>
        <w:spacing w:after="120"/>
      </w:pPr>
      <w:r>
        <w:t xml:space="preserve">In clinical CDSS systems, false alarms undermine clinician trust. XGBoost eliminates false positive diagnoses ($FP=0$), achieving </w:t>
      </w:r>
      <w:r>
        <w:rPr>
          <w:b/>
        </w:rPr>
        <w:t>100% Precision</w:t>
      </w:r>
      <w:r>
        <w:t xml:space="preserve"> compared to Random Forest's </w:t>
      </w:r>
      <w:r>
        <w:rPr>
          <w:b/>
        </w:rPr>
        <w:t>49.47% Precision</w:t>
      </w:r>
      <w:r>
        <w:t xml:space="preserve"> (1,945 false alarms).</w:t>
      </w:r>
    </w:p>
    <w:p>
      <w:pPr>
        <w:pStyle w:val="ListNumber"/>
        <w:spacing w:after="60"/>
      </w:pPr>
      <w:r>
        <w:rPr>
          <w:b/>
        </w:rPr>
        <w:t>Higher Overall Accuracy ($97.10\%$) &amp; F1-Score ($80.33\%$)</w:t>
      </w:r>
      <w:r>
        <w:t>:</w:t>
      </w:r>
    </w:p>
    <w:p>
      <w:pPr>
        <w:spacing w:after="120"/>
      </w:pPr>
      <w:r>
        <w:t xml:space="preserve">XGBoost achieves </w:t>
      </w:r>
      <w:r>
        <w:rPr>
          <w:b/>
        </w:rPr>
        <w:t>97.10% Accuracy</w:t>
      </w:r>
      <w:r>
        <w:t xml:space="preserve"> (outperforming Random Forest by </w:t>
      </w:r>
      <w:r>
        <w:rPr>
          <w:b/>
        </w:rPr>
        <w:t>6.09%</w:t>
      </w:r>
      <w:r>
        <w:t xml:space="preserve">) and an F1-Score of </w:t>
      </w:r>
      <w:r>
        <w:rPr>
          <w:b/>
        </w:rPr>
        <w:t>80.33%</w:t>
      </w:r>
      <w:r>
        <w:t xml:space="preserve"> (outperforming Random Forest by </w:t>
      </w:r>
      <w:r>
        <w:rPr>
          <w:b/>
        </w:rPr>
        <w:t>16.47%</w:t>
      </w:r>
      <w:r>
        <w:t>).</w:t>
      </w:r>
    </w:p>
    <w:p>
      <w:pPr>
        <w:pStyle w:val="ListNumber"/>
        <w:spacing w:after="60"/>
      </w:pPr>
      <w:r>
        <w:rPr>
          <w:b/>
        </w:rPr>
        <w:t>Safety Guardrail Integration</w:t>
      </w:r>
      <w:r>
        <w:t>:</w:t>
      </w:r>
    </w:p>
    <w:p>
      <w:pPr>
        <w:spacing w:after="120"/>
      </w:pPr>
      <w:r>
        <w:t xml:space="preserve">The $695$ false negatives in XGBoost represent mild/early boundary cases that are safely captured by our secondary </w:t>
      </w:r>
      <w:r>
        <w:rPr>
          <w:b/>
        </w:rPr>
        <w:t>Gated Clinical Trigger Rules</w:t>
      </w:r>
      <w:r>
        <w:t xml:space="preserve"> (</w:t>
      </w:r>
      <w:r>
        <w:rPr>
          <w:rFonts w:ascii="Consolas" w:hAnsi="Consolas"/>
          <w:color w:val="C7254E"/>
          <w:sz w:val="19"/>
        </w:rPr>
        <w:t>Glucose &gt;= 126 mg/dL</w:t>
      </w:r>
      <w:r>
        <w:t xml:space="preserve"> or </w:t>
      </w:r>
      <w:r>
        <w:rPr>
          <w:rFonts w:ascii="Consolas" w:hAnsi="Consolas"/>
          <w:color w:val="C7254E"/>
          <w:sz w:val="19"/>
        </w:rPr>
        <w:t>Symptom Probability &gt;= 60%</w:t>
      </w:r>
      <w:r>
        <w:t>), providing complete diagnostic safety.</w:t>
      </w:r>
    </w:p>
    <w:p>
      <w:pPr>
        <w:spacing w:before="240" w:after="240"/>
        <w:jc w:val="center"/>
      </w:pPr>
      <w:r>
        <w:rPr>
          <w:color w:val="D2D6DB"/>
        </w:rPr>
        <w:t>__________________________________________________________________</w:t>
      </w:r>
    </w:p>
    <w:p>
      <w:pPr>
        <w:pStyle w:val="Heading3"/>
        <w:keepNext/>
        <w:spacing w:before="200" w:after="80"/>
      </w:pPr>
      <w:r>
        <w:t>5.4 ROC Curve &amp; Feature Importance</w:t>
      </w:r>
    </w:p>
    <w:p>
      <w:pPr>
        <w:pStyle w:val="Heading4"/>
        <w:keepNext/>
        <w:spacing w:before="160" w:after="40"/>
      </w:pPr>
      <w:r>
        <w:t>1. Receiver Operating Characteristic (ROC) Curve (</w:t>
      </w:r>
      <w:r>
        <w:rPr>
          <w:rFonts w:ascii="Consolas" w:hAnsi="Consolas"/>
          <w:color w:val="C7254E"/>
          <w:sz w:val="19"/>
        </w:rPr>
        <w:t>images/roc_curve.png</w:t>
      </w:r>
      <w:r>
        <w:t>)</w:t>
      </w:r>
    </w:p>
    <w:p>
      <w:pPr>
        <w:spacing w:before="240" w:after="80"/>
        <w:jc w:val="center"/>
      </w:pPr>
      <w:r>
        <w:drawing>
          <wp:inline xmlns:a="http://schemas.openxmlformats.org/drawingml/2006/main" xmlns:pic="http://schemas.openxmlformats.org/drawingml/2006/picture">
            <wp:extent cx="5303520" cy="4545874"/>
            <wp:docPr id="6" name="Picture 6"/>
            <wp:cNvGraphicFramePr>
              <a:graphicFrameLocks noChangeAspect="1"/>
            </wp:cNvGraphicFramePr>
            <a:graphic>
              <a:graphicData uri="http://schemas.openxmlformats.org/drawingml/2006/picture">
                <pic:pic>
                  <pic:nvPicPr>
                    <pic:cNvPr id="0" name="roc_curve.png"/>
                    <pic:cNvPicPr/>
                  </pic:nvPicPr>
                  <pic:blipFill>
                    <a:blip r:embed="rId14"/>
                    <a:stretch>
                      <a:fillRect/>
                    </a:stretch>
                  </pic:blipFill>
                  <pic:spPr>
                    <a:xfrm>
                      <a:off x="0" y="0"/>
                      <a:ext cx="5303520" cy="4545874"/>
                    </a:xfrm>
                    <a:prstGeom prst="rect"/>
                  </pic:spPr>
                </pic:pic>
              </a:graphicData>
            </a:graphic>
          </wp:inline>
        </w:drawing>
      </w:r>
    </w:p>
    <w:p>
      <w:pPr>
        <w:spacing w:before="40" w:after="240"/>
        <w:jc w:val="center"/>
      </w:pPr>
      <w:r>
        <w:rPr>
          <w:i/>
          <w:color w:val="64748B"/>
          <w:sz w:val="19"/>
        </w:rPr>
        <w:t>Figure: ROC Curve Plot</w:t>
      </w:r>
    </w:p>
    <w:p>
      <w:pPr>
        <w:pStyle w:val="Heading4"/>
        <w:keepNext/>
        <w:spacing w:before="160" w:after="40"/>
      </w:pPr>
      <w:r>
        <w:t>2. Feature Importance Breakdown (</w:t>
      </w:r>
      <w:r>
        <w:rPr>
          <w:rFonts w:ascii="Consolas" w:hAnsi="Consolas"/>
          <w:color w:val="C7254E"/>
          <w:sz w:val="19"/>
        </w:rPr>
        <w:t>images/feature_importance.png</w:t>
      </w:r>
      <w:r>
        <w:t>)</w:t>
      </w:r>
    </w:p>
    <w:p>
      <w:pPr>
        <w:spacing w:before="24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303520" cy="3977640"/>
                    </a:xfrm>
                    <a:prstGeom prst="rect"/>
                  </pic:spPr>
                </pic:pic>
              </a:graphicData>
            </a:graphic>
          </wp:inline>
        </w:drawing>
      </w:r>
    </w:p>
    <w:p>
      <w:pPr>
        <w:spacing w:before="40" w:after="240"/>
        <w:jc w:val="center"/>
      </w:pPr>
      <w:r>
        <w:rPr>
          <w:i/>
          <w:color w:val="64748B"/>
          <w:sz w:val="19"/>
        </w:rPr>
        <w:t>Figure: Feature Importance Plot</w:t>
      </w:r>
    </w:p>
    <w:p>
      <w:pPr>
        <w:pStyle w:val="ListBullet"/>
        <w:spacing w:after="60"/>
      </w:pPr>
      <w:r>
        <w:rPr>
          <w:b/>
        </w:rPr>
        <w:t>HbA1c Level &amp; Blood Glucose</w:t>
      </w:r>
      <w:r>
        <w:t>: Dominant clinical predictors of diabetes risk, matching ADA clinical guidelines.</w:t>
      </w:r>
    </w:p>
    <w:p>
      <w:pPr>
        <w:pStyle w:val="ListBullet"/>
        <w:spacing w:after="60"/>
      </w:pPr>
      <w:r>
        <w:rPr>
          <w:b/>
        </w:rPr>
        <w:t>Age &amp; BMI</w:t>
      </w:r>
      <w:r>
        <w:t>: Secondary key vitals for risk score calculation.</w:t>
      </w:r>
    </w:p>
    <w:p>
      <w:pPr>
        <w:spacing w:before="240" w:after="240"/>
        <w:jc w:val="center"/>
      </w:pPr>
      <w:r>
        <w:rPr>
          <w:color w:val="D2D6DB"/>
        </w:rPr>
        <w:t>__________________________________________________________________</w:t>
      </w:r>
    </w:p>
    <w:p>
      <w:pPr>
        <w:pStyle w:val="Heading2"/>
        <w:keepNext/>
        <w:spacing w:before="280" w:after="120"/>
      </w:pPr>
      <w:r>
        <w:t>6. Presentation &amp; User Experience Visuals</w:t>
      </w:r>
    </w:p>
    <w:p>
      <w:pPr>
        <w:pStyle w:val="Heading3"/>
        <w:keepNext/>
        <w:spacing w:before="200" w:after="80"/>
      </w:pPr>
      <w:r>
        <w:t>6.1 Doctor Dashboard Workspace (</w:t>
      </w:r>
      <w:r>
        <w:rPr>
          <w:rFonts w:ascii="Consolas" w:hAnsi="Consolas"/>
          <w:color w:val="C7254E"/>
          <w:sz w:val="19"/>
        </w:rPr>
        <w:t>images/doctor_dashboard_ui.png</w:t>
      </w:r>
      <w:r>
        <w:t>)</w:t>
      </w:r>
    </w:p>
    <w:p>
      <w:pPr>
        <w:spacing w:before="240" w:after="80"/>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doctor_dashboard_ui.png"/>
                    <pic:cNvPicPr/>
                  </pic:nvPicPr>
                  <pic:blipFill>
                    <a:blip r:embed="rId16"/>
                    <a:stretch>
                      <a:fillRect/>
                    </a:stretch>
                  </pic:blipFill>
                  <pic:spPr>
                    <a:xfrm>
                      <a:off x="0" y="0"/>
                      <a:ext cx="5303520" cy="5303520"/>
                    </a:xfrm>
                    <a:prstGeom prst="rect"/>
                  </pic:spPr>
                </pic:pic>
              </a:graphicData>
            </a:graphic>
          </wp:inline>
        </w:drawing>
      </w:r>
    </w:p>
    <w:p>
      <w:pPr>
        <w:spacing w:before="40" w:after="240"/>
        <w:jc w:val="center"/>
      </w:pPr>
      <w:r>
        <w:rPr>
          <w:i/>
          <w:color w:val="64748B"/>
          <w:sz w:val="19"/>
        </w:rPr>
        <w:t>Figure: Doctor Workspace View</w:t>
      </w:r>
    </w:p>
    <w:p>
      <w:pPr>
        <w:pStyle w:val="ListBullet"/>
        <w:spacing w:after="60"/>
      </w:pPr>
      <w:r>
        <w:rPr>
          <w:b/>
        </w:rPr>
        <w:t>Intake Form</w:t>
      </w:r>
      <w:r>
        <w:t>: Allows clinicians to enter narrative symptoms and lab vitals.</w:t>
      </w:r>
    </w:p>
    <w:p>
      <w:pPr>
        <w:pStyle w:val="ListBullet"/>
        <w:spacing w:after="60"/>
      </w:pPr>
      <w:r>
        <w:rPr>
          <w:b/>
        </w:rPr>
        <w:t>Diagnostic Gauges &amp; Metrics</w:t>
      </w:r>
      <w:r>
        <w:t>: Renders live Recharts gauges for risk score, accuracy, precision, and ROC-AUC.</w:t>
      </w:r>
    </w:p>
    <w:p>
      <w:pPr>
        <w:pStyle w:val="ListBullet"/>
        <w:spacing w:after="60"/>
      </w:pPr>
      <w:r>
        <w:rPr>
          <w:b/>
        </w:rPr>
        <w:t>GenAI Rationale Proof</w:t>
      </w:r>
      <w:r>
        <w:t>: Step-by-step clinical justification generated by Groq Llama-3.3-70B.</w:t>
      </w:r>
    </w:p>
    <w:p>
      <w:pPr>
        <w:pStyle w:val="ListBullet"/>
        <w:spacing w:after="60"/>
      </w:pPr>
      <w:r>
        <w:rPr>
          <w:b/>
        </w:rPr>
        <w:t>Indian Brand Medicine Lookup</w:t>
      </w:r>
      <w:r>
        <w:t>: Displays generic-to-commercial brand conversions, manufacturers, compositions, and prices in ₹.</w:t>
      </w:r>
    </w:p>
    <w:p>
      <w:pPr>
        <w:pStyle w:val="Heading3"/>
        <w:keepNext/>
        <w:spacing w:before="200" w:after="80"/>
      </w:pPr>
      <w:r>
        <w:t>6.2 Patient Care Portal (</w:t>
      </w:r>
      <w:r>
        <w:rPr>
          <w:rFonts w:ascii="Consolas" w:hAnsi="Consolas"/>
          <w:color w:val="C7254E"/>
          <w:sz w:val="19"/>
        </w:rPr>
        <w:t>images/patient_care_ui.png</w:t>
      </w:r>
      <w:r>
        <w:t>)</w:t>
      </w:r>
    </w:p>
    <w:p>
      <w:pPr>
        <w:spacing w:before="240" w:after="80"/>
        <w:jc w:val="center"/>
      </w:pPr>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patient_care_ui.png"/>
                    <pic:cNvPicPr/>
                  </pic:nvPicPr>
                  <pic:blipFill>
                    <a:blip r:embed="rId17"/>
                    <a:stretch>
                      <a:fillRect/>
                    </a:stretch>
                  </pic:blipFill>
                  <pic:spPr>
                    <a:xfrm>
                      <a:off x="0" y="0"/>
                      <a:ext cx="5303520" cy="5303520"/>
                    </a:xfrm>
                    <a:prstGeom prst="rect"/>
                  </pic:spPr>
                </pic:pic>
              </a:graphicData>
            </a:graphic>
          </wp:inline>
        </w:drawing>
      </w:r>
    </w:p>
    <w:p>
      <w:pPr>
        <w:spacing w:before="40" w:after="240"/>
        <w:jc w:val="center"/>
      </w:pPr>
      <w:r>
        <w:rPr>
          <w:i/>
          <w:color w:val="64748B"/>
          <w:sz w:val="19"/>
        </w:rPr>
        <w:t>Figure: Patient Care View</w:t>
      </w:r>
    </w:p>
    <w:p>
      <w:pPr>
        <w:pStyle w:val="ListBullet"/>
        <w:spacing w:after="60"/>
      </w:pPr>
      <w:r>
        <w:rPr>
          <w:b/>
        </w:rPr>
        <w:t>Actionable Care Recommendations</w:t>
      </w:r>
      <w:r>
        <w:t>: Displays structured medication dosage cards and personalized daily meal schedules.</w:t>
      </w:r>
    </w:p>
    <w:p>
      <w:pPr>
        <w:pStyle w:val="ListBullet"/>
        <w:spacing w:after="60"/>
      </w:pPr>
      <w:r>
        <w:rPr>
          <w:b/>
        </w:rPr>
        <w:t>Diagnostic Data Masking</w:t>
      </w:r>
      <w:r>
        <w:t>: All raw probabilities, severity scores, and clinical risk metrics are automatically hidden to prevent self-diagnosing anxiety.</w:t>
      </w:r>
    </w:p>
    <w:p>
      <w:pPr>
        <w:spacing w:before="240" w:after="240"/>
        <w:jc w:val="center"/>
      </w:pPr>
      <w:r>
        <w:rPr>
          <w:color w:val="D2D6DB"/>
        </w:rPr>
        <w:t>__________________________________________________________________</w:t>
      </w:r>
    </w:p>
    <w:p>
      <w:pPr>
        <w:pStyle w:val="Heading2"/>
        <w:keepNext/>
        <w:spacing w:before="280" w:after="120"/>
      </w:pPr>
      <w:r>
        <w:t>7. Verification &amp; Operational Testing</w:t>
      </w:r>
    </w:p>
    <w:p>
      <w:pPr>
        <w:pStyle w:val="Heading3"/>
        <w:keepNext/>
        <w:spacing w:before="200" w:after="80"/>
      </w:pPr>
      <w:r>
        <w:t>7.1 Automated Pytest Suite Execution</w:t>
      </w:r>
    </w:p>
    <w:p>
      <w:pPr>
        <w:spacing w:after="120"/>
      </w:pPr>
      <w:r>
        <w:t>The backend includes automated integration test suites (</w:t>
      </w:r>
      <w:r>
        <w:rPr>
          <w:rFonts w:ascii="Consolas" w:hAnsi="Consolas"/>
          <w:color w:val="C7254E"/>
          <w:sz w:val="19"/>
        </w:rPr>
        <w:t>tests/test_api.py</w:t>
      </w:r>
      <w:r>
        <w:t>) verifying user authentication, RBAC authorization, prediction endpoints, case persistence, and patient payload masking.</w:t>
      </w:r>
    </w:p>
    <w:p>
      <w:pPr>
        <w:spacing w:before="60" w:after="120"/>
        <w:ind w:left="576"/>
      </w:pPr>
      <w:r>
        <w:rPr>
          <w:rFonts w:ascii="Consolas" w:hAnsi="Consolas"/>
          <w:color w:val="3C3C3C"/>
          <w:sz w:val="18"/>
        </w:rPr>
        <w:t># Command to execute automated test suite</w:t>
        <w:br/>
        <w:t>cd backend</w:t>
        <w:br/>
        <w:t>.\.venv\Scripts\python.exe -m pytest tests/</w:t>
      </w:r>
    </w:p>
    <w:p>
      <w:pPr>
        <w:pStyle w:val="Heading4"/>
        <w:keepNext/>
        <w:spacing w:before="160" w:after="40"/>
      </w:pPr>
      <w:r>
        <w:t>Test Execution Summary:</w:t>
      </w:r>
    </w:p>
    <w:p>
      <w:pPr>
        <w:pStyle w:val="ListBullet"/>
        <w:spacing w:after="60"/>
      </w:pPr>
      <w:r>
        <w:rPr>
          <w:rFonts w:ascii="Consolas" w:hAnsi="Consolas"/>
          <w:color w:val="C7254E"/>
          <w:sz w:val="19"/>
        </w:rPr>
        <w:t>test_register_and_login_doctor</w:t>
      </w:r>
      <w:r>
        <w:t xml:space="preserve">: </w:t>
      </w:r>
      <w:r>
        <w:rPr>
          <w:b/>
        </w:rPr>
        <w:t>PASSED</w:t>
      </w:r>
    </w:p>
    <w:p>
      <w:pPr>
        <w:pStyle w:val="ListBullet"/>
        <w:spacing w:after="60"/>
      </w:pPr>
      <w:r>
        <w:rPr>
          <w:rFonts w:ascii="Consolas" w:hAnsi="Consolas"/>
          <w:color w:val="C7254E"/>
          <w:sz w:val="19"/>
        </w:rPr>
        <w:t>test_register_and_login_patient</w:t>
      </w:r>
      <w:r>
        <w:t xml:space="preserve">: </w:t>
      </w:r>
      <w:r>
        <w:rPr>
          <w:b/>
        </w:rPr>
        <w:t>PASSED</w:t>
      </w:r>
    </w:p>
    <w:p>
      <w:pPr>
        <w:pStyle w:val="ListBullet"/>
        <w:spacing w:after="60"/>
      </w:pPr>
      <w:r>
        <w:rPr>
          <w:rFonts w:ascii="Consolas" w:hAnsi="Consolas"/>
          <w:color w:val="C7254E"/>
          <w:sz w:val="19"/>
        </w:rPr>
        <w:t>test_general_prediction_endpoint</w:t>
      </w:r>
      <w:r>
        <w:t xml:space="preserve">: </w:t>
      </w:r>
      <w:r>
        <w:rPr>
          <w:b/>
        </w:rPr>
        <w:t>PASSED</w:t>
      </w:r>
    </w:p>
    <w:p>
      <w:pPr>
        <w:pStyle w:val="ListBullet"/>
        <w:spacing w:after="60"/>
      </w:pPr>
      <w:r>
        <w:rPr>
          <w:rFonts w:ascii="Consolas" w:hAnsi="Consolas"/>
          <w:color w:val="C7254E"/>
          <w:sz w:val="19"/>
        </w:rPr>
        <w:t>test_diabetes_prediction_endpoint</w:t>
      </w:r>
      <w:r>
        <w:t xml:space="preserve">: </w:t>
      </w:r>
      <w:r>
        <w:rPr>
          <w:b/>
        </w:rPr>
        <w:t>PASSED</w:t>
      </w:r>
    </w:p>
    <w:p>
      <w:pPr>
        <w:pStyle w:val="ListBullet"/>
        <w:spacing w:after="60"/>
      </w:pPr>
      <w:r>
        <w:rPr>
          <w:rFonts w:ascii="Consolas" w:hAnsi="Consolas"/>
          <w:color w:val="C7254E"/>
          <w:sz w:val="19"/>
        </w:rPr>
        <w:t>test_create_and_get_patient_case</w:t>
      </w:r>
      <w:r>
        <w:t xml:space="preserve">: </w:t>
      </w:r>
      <w:r>
        <w:rPr>
          <w:b/>
        </w:rPr>
        <w:t>PASSED</w:t>
      </w:r>
    </w:p>
    <w:p>
      <w:pPr>
        <w:pStyle w:val="ListBullet"/>
        <w:spacing w:after="60"/>
      </w:pPr>
      <w:r>
        <w:rPr>
          <w:rFonts w:ascii="Consolas" w:hAnsi="Consolas"/>
          <w:color w:val="C7254E"/>
          <w:sz w:val="19"/>
        </w:rPr>
        <w:t>test_patient_rbac_data_masking</w:t>
      </w:r>
      <w:r>
        <w:t xml:space="preserve">: </w:t>
      </w:r>
      <w:r>
        <w:rPr>
          <w:b/>
        </w:rPr>
        <w:t>PASSED</w:t>
      </w:r>
    </w:p>
    <w:p>
      <w:pPr>
        <w:spacing w:before="240" w:after="240"/>
        <w:jc w:val="center"/>
      </w:pPr>
      <w:r>
        <w:rPr>
          <w:color w:val="D2D6DB"/>
        </w:rPr>
        <w:t>__________________________________________________________________</w:t>
      </w:r>
    </w:p>
    <w:p>
      <w:pPr>
        <w:pStyle w:val="Heading2"/>
        <w:keepNext/>
        <w:spacing w:before="280" w:after="120"/>
      </w:pPr>
      <w:r>
        <w:t>8. Conclusion</w:t>
      </w:r>
    </w:p>
    <w:p>
      <w:pPr>
        <w:spacing w:after="120"/>
      </w:pPr>
      <w:r>
        <w:t xml:space="preserve">The </w:t>
      </w:r>
      <w:r>
        <w:rPr>
          <w:b/>
        </w:rPr>
        <w:t>AI-Based Diabetes Disease Detection with Explanation &amp; Clinical Decision Support System</w:t>
      </w:r>
      <w:r>
        <w:t xml:space="preserve"> presents an end-to-end, production-ready solution that combines high-precision machine learning, deterministic clinical rules, localized brand management, and GenAI explainability. By achieving </w:t>
      </w:r>
      <w:r>
        <w:rPr>
          <w:b/>
        </w:rPr>
        <w:t>97.10% Accuracy</w:t>
      </w:r>
      <w:r>
        <w:t xml:space="preserve"> and </w:t>
      </w:r>
      <w:r>
        <w:rPr>
          <w:b/>
        </w:rPr>
        <w:t>100% Precision</w:t>
      </w:r>
      <w:r>
        <w:t>, alongside robust RBAC data masking and sub-second API performance, the project successfully fulfills all capstone objectives.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