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spacing w:before="360" w:after="160"/>
      </w:pPr>
      <w:r>
        <w:t>End-to-End Technical Explanation &amp; Architecture</w:t>
      </w:r>
    </w:p>
    <w:p>
      <w:pPr>
        <w:spacing w:after="120"/>
      </w:pPr>
      <w:r>
        <w:t>This document provides a rigorous, end-to-end technical overview of the Agentic AI Healthcare Platform. It covers the system architecture, machine learning pipelines, clinical decision support rules, database optimizations, role-based access control, and startup/testing procedures.</w:t>
      </w:r>
    </w:p>
    <w:p>
      <w:pPr>
        <w:spacing w:before="240" w:after="240"/>
        <w:jc w:val="center"/>
      </w:pPr>
      <w:r>
        <w:rPr>
          <w:color w:val="D2D6DB"/>
        </w:rPr>
        <w:t>__________________________________________________________________</w:t>
      </w:r>
    </w:p>
    <w:p>
      <w:pPr>
        <w:pStyle w:val="Heading2"/>
        <w:keepNext/>
        <w:spacing w:before="280" w:after="120"/>
      </w:pPr>
      <w:r>
        <w:t>1. System &amp; Integration Architecture</w:t>
      </w:r>
    </w:p>
    <w:p>
      <w:pPr>
        <w:spacing w:after="120"/>
      </w:pPr>
      <w:r>
        <w:t>The application implements a decoupled client-server architecture with a stateless API layer and server-side state cache, backed by an optimized relational SQLite database.</w:t>
      </w:r>
    </w:p>
    <w:p>
      <w:pPr>
        <w:spacing w:before="240" w:after="80"/>
        <w:jc w:val="center"/>
      </w:pPr>
      <w:r>
        <w:drawing>
          <wp:inline xmlns:a="http://schemas.openxmlformats.org/drawingml/2006/main" xmlns:pic="http://schemas.openxmlformats.org/drawingml/2006/picture">
            <wp:extent cx="5029200" cy="2361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61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40" w:after="240"/>
        <w:jc w:val="center"/>
      </w:pPr>
      <w:r>
        <w:rPr>
          <w:i/>
          <w:color w:val="808080"/>
          <w:sz w:val="19"/>
        </w:rPr>
        <w:t>Figure: 1. System &amp; Integration Architecture</w:t>
      </w:r>
    </w:p>
    <w:p>
      <w:pPr>
        <w:pStyle w:val="Heading3"/>
        <w:keepNext/>
        <w:spacing w:before="200" w:after="80"/>
      </w:pPr>
      <w:r>
        <w:t>Components Details</w:t>
      </w:r>
    </w:p>
    <w:p>
      <w:pPr>
        <w:pStyle w:val="ListBullet"/>
        <w:spacing w:after="60"/>
      </w:pPr>
      <w:r>
        <w:t xml:space="preserve">  </w:t>
      </w:r>
      <w:r>
        <w:rPr>
          <w:b/>
        </w:rPr>
        <w:t>Client Layer</w:t>
      </w:r>
      <w:r>
        <w:t xml:space="preserve">: Built as a Single Page Application (SPA) using React and Vite, running by default on </w:t>
      </w:r>
      <w:r>
        <w:rPr>
          <w:rFonts w:ascii="Consolas" w:hAnsi="Consolas"/>
          <w:color w:val="C7254E"/>
          <w:sz w:val="19"/>
        </w:rPr>
        <w:t>http://localhost:5173</w:t>
      </w:r>
      <w:r>
        <w:t xml:space="preserve">. It initiates asynchronous REST API requests over HTTP using </w:t>
      </w:r>
      <w:r>
        <w:rPr>
          <w:rFonts w:ascii="Consolas" w:hAnsi="Consolas"/>
          <w:color w:val="C7254E"/>
          <w:sz w:val="19"/>
        </w:rPr>
        <w:t>axios</w:t>
      </w:r>
      <w:r>
        <w:t>. It contains dedicated dashboard panels for Doctors (intake form, full reports) and Patients (care recommendations view).</w:t>
      </w:r>
    </w:p>
    <w:p>
      <w:pPr>
        <w:pStyle w:val="ListBullet"/>
        <w:spacing w:after="60"/>
      </w:pPr>
      <w:r>
        <w:t xml:space="preserve">  </w:t>
      </w:r>
      <w:r>
        <w:rPr>
          <w:b/>
        </w:rPr>
        <w:t>API &amp; Routing Layer</w:t>
      </w:r>
      <w:r>
        <w:t>: Powered by FastAPI and executed using the Uvicorn ASGI server. It manages cross-origin resource sharing (CORS), applies Pydantic request-body structural validation, and evaluates role-based auth permissions using FastAPI's dependency injection (</w:t>
      </w:r>
      <w:r>
        <w:rPr>
          <w:rFonts w:ascii="Consolas" w:hAnsi="Consolas"/>
          <w:color w:val="C7254E"/>
          <w:sz w:val="19"/>
        </w:rPr>
        <w:t>Depends(get_current_user)</w:t>
      </w:r>
      <w:r>
        <w:t>).</w:t>
      </w:r>
    </w:p>
    <w:p>
      <w:pPr>
        <w:pStyle w:val="ListBullet"/>
        <w:spacing w:after="60"/>
      </w:pPr>
      <w:r>
        <w:t xml:space="preserve">  </w:t>
      </w:r>
      <w:r>
        <w:rPr>
          <w:b/>
        </w:rPr>
        <w:t>Session Management</w:t>
      </w:r>
      <w:r>
        <w:t xml:space="preserve">: Authentication tokens are generated using </w:t>
      </w:r>
      <w:r>
        <w:rPr>
          <w:rFonts w:ascii="Consolas" w:hAnsi="Consolas"/>
          <w:color w:val="C7254E"/>
          <w:sz w:val="19"/>
        </w:rPr>
        <w:t>secrets.token_urlsafe(32)</w:t>
      </w:r>
      <w:r>
        <w:t xml:space="preserve"> on login and mapped in a transient server-side dictionary memory cache (</w:t>
      </w:r>
      <w:r>
        <w:rPr>
          <w:rFonts w:ascii="Consolas" w:hAnsi="Consolas"/>
          <w:color w:val="C7254E"/>
          <w:sz w:val="19"/>
        </w:rPr>
        <w:t>_sessions</w:t>
      </w:r>
      <w:r>
        <w:t>). This structure avoids JWT storage while remaining highly secure against token modification attacks.</w:t>
      </w:r>
    </w:p>
    <w:p>
      <w:pPr>
        <w:pStyle w:val="ListBullet"/>
        <w:spacing w:after="60"/>
      </w:pPr>
      <w:r>
        <w:t xml:space="preserve">  </w:t>
      </w:r>
      <w:r>
        <w:rPr>
          <w:b/>
        </w:rPr>
        <w:t>Database Engine</w:t>
      </w:r>
      <w:r>
        <w:t xml:space="preserve">: Uses SQLite operating with </w:t>
      </w:r>
      <w:r>
        <w:rPr>
          <w:b/>
        </w:rPr>
        <w:t>Write-Ahead Logging (WAL)</w:t>
      </w:r>
      <w:r>
        <w:t xml:space="preserve"> enabled (</w:t>
      </w:r>
      <w:r>
        <w:rPr>
          <w:rFonts w:ascii="Consolas" w:hAnsi="Consolas"/>
          <w:color w:val="C7254E"/>
          <w:sz w:val="19"/>
        </w:rPr>
        <w:t>PRAGMA journal_mode=WAL</w:t>
      </w:r>
      <w:r>
        <w:t>). WAL allows multiple concurrent readers to query database records while a writer modifies tables, avoiding database locks on multi-threaded environments. Foreign key constraints are enforced (</w:t>
      </w:r>
      <w:r>
        <w:rPr>
          <w:rFonts w:ascii="Consolas" w:hAnsi="Consolas"/>
          <w:color w:val="C7254E"/>
          <w:sz w:val="19"/>
        </w:rPr>
        <w:t>PRAGMA foreign_keys=ON</w:t>
      </w:r>
      <w:r>
        <w:t>).</w:t>
      </w:r>
    </w:p>
    <w:p>
      <w:pPr>
        <w:pStyle w:val="ListBullet"/>
        <w:spacing w:after="60"/>
      </w:pPr>
      <w:r>
        <w:t xml:space="preserve">  </w:t>
      </w:r>
      <w:r>
        <w:rPr>
          <w:b/>
        </w:rPr>
        <w:t>External LLM Integration</w:t>
      </w:r>
      <w:r>
        <w:t>: The LLM Explanation Engine connects to the Groq API utilizing an asynchronous-compatible HTTP Client (</w:t>
      </w:r>
      <w:r>
        <w:rPr>
          <w:rFonts w:ascii="Consolas" w:hAnsi="Consolas"/>
          <w:color w:val="C7254E"/>
          <w:sz w:val="19"/>
        </w:rPr>
        <w:t>httpx.Client</w:t>
      </w:r>
      <w:r>
        <w:t xml:space="preserve">) pointing to </w:t>
      </w:r>
      <w:r>
        <w:rPr>
          <w:rFonts w:ascii="Consolas" w:hAnsi="Consolas"/>
          <w:color w:val="C7254E"/>
          <w:sz w:val="19"/>
        </w:rPr>
        <w:t>llama-3.3-70b-versatile</w:t>
      </w:r>
      <w:r>
        <w:t xml:space="preserve">. It uses a strict </w:t>
      </w:r>
      <w:r>
        <w:rPr>
          <w:rFonts w:ascii="Consolas" w:hAnsi="Consolas"/>
          <w:color w:val="C7254E"/>
          <w:sz w:val="19"/>
        </w:rPr>
        <w:t>5.0</w:t>
      </w:r>
      <w:r>
        <w:t xml:space="preserve"> second execution timeout to prevent network failures or long API waits from blocking client threads, falling back automatically to local rules-based templates.</w:t>
      </w:r>
    </w:p>
    <w:p>
      <w:pPr>
        <w:spacing w:before="240" w:after="240"/>
        <w:jc w:val="center"/>
      </w:pPr>
      <w:r>
        <w:rPr>
          <w:color w:val="D2D6DB"/>
        </w:rPr>
        <w:t>__________________________________________________________________</w:t>
      </w:r>
    </w:p>
    <w:p>
      <w:pPr>
        <w:pStyle w:val="Heading2"/>
        <w:keepNext/>
        <w:spacing w:before="280" w:after="120"/>
      </w:pPr>
      <w:r>
        <w:t>2. Machine Learning Training &amp; Inference Pipelines</w:t>
      </w:r>
    </w:p>
    <w:p>
      <w:pPr>
        <w:spacing w:after="120"/>
      </w:pPr>
      <w:r>
        <w:t>The platform maintains two ML models: a general medicine text classification model and a specialist diabetes risk assessment model.</w:t>
      </w:r>
    </w:p>
    <w:p>
      <w:pPr>
        <w:spacing w:before="240" w:after="80"/>
        <w:jc w:val="center"/>
      </w:pPr>
      <w:r>
        <w:drawing>
          <wp:inline xmlns:a="http://schemas.openxmlformats.org/drawingml/2006/main" xmlns:pic="http://schemas.openxmlformats.org/drawingml/2006/picture">
            <wp:extent cx="5029200" cy="878808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87880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40" w:after="240"/>
        <w:jc w:val="center"/>
      </w:pPr>
      <w:r>
        <w:rPr>
          <w:i/>
          <w:color w:val="808080"/>
          <w:sz w:val="19"/>
        </w:rPr>
        <w:t>Figure: 2. Machine Learning Training &amp; Inference Pipelines</w:t>
      </w:r>
    </w:p>
    <w:p>
      <w:pPr>
        <w:pStyle w:val="Heading3"/>
        <w:keepNext/>
        <w:spacing w:before="200" w:after="80"/>
      </w:pPr>
      <w:r>
        <w:t>2.1 General Medicine Classifier</w:t>
      </w:r>
    </w:p>
    <w:p>
      <w:pPr>
        <w:pStyle w:val="ListBullet"/>
        <w:spacing w:after="60"/>
      </w:pPr>
      <w:r>
        <w:t xml:space="preserve">  </w:t>
      </w:r>
      <w:r>
        <w:rPr>
          <w:b/>
        </w:rPr>
        <w:t>Purpose</w:t>
      </w:r>
      <w:r>
        <w:t>: Processes patient symptom descriptions to predict top-3 clinical candidate diagnoses.</w:t>
      </w:r>
    </w:p>
    <w:p>
      <w:pPr>
        <w:pStyle w:val="ListBullet"/>
        <w:spacing w:after="60"/>
      </w:pPr>
      <w:r>
        <w:t xml:space="preserve">  </w:t>
      </w:r>
      <w:r>
        <w:rPr>
          <w:b/>
        </w:rPr>
        <w:t>Data Source</w:t>
      </w:r>
      <w:r>
        <w:t xml:space="preserve">: </w:t>
      </w:r>
      <w:r>
        <w:rPr>
          <w:rFonts w:ascii="Consolas" w:hAnsi="Consolas"/>
          <w:color w:val="C7254E"/>
          <w:sz w:val="19"/>
        </w:rPr>
        <w:t>general_symptom_disease.csv</w:t>
      </w:r>
      <w:r>
        <w:t xml:space="preserve"> mapping text symptoms to target conditions.</w:t>
      </w:r>
    </w:p>
    <w:p>
      <w:pPr>
        <w:pStyle w:val="ListBullet"/>
        <w:spacing w:after="60"/>
      </w:pPr>
      <w:r>
        <w:t xml:space="preserve">  </w:t>
      </w:r>
      <w:r>
        <w:rPr>
          <w:b/>
        </w:rPr>
        <w:t>Algorithm</w:t>
      </w:r>
      <w:r>
        <w:t>: Logistic Regression Classifier.</w:t>
      </w:r>
    </w:p>
    <w:p>
      <w:pPr>
        <w:pStyle w:val="ListBullet"/>
        <w:spacing w:after="60"/>
      </w:pPr>
      <w:r>
        <w:t xml:space="preserve">  </w:t>
      </w:r>
      <w:r>
        <w:rPr>
          <w:b/>
        </w:rPr>
        <w:t>Text Preprocessing</w:t>
      </w:r>
      <w:r>
        <w:t xml:space="preserve">: </w:t>
      </w:r>
      <w:r>
        <w:rPr>
          <w:rFonts w:ascii="Consolas" w:hAnsi="Consolas"/>
          <w:color w:val="C7254E"/>
          <w:sz w:val="19"/>
        </w:rPr>
        <w:t>TfidfVectorizer</w:t>
      </w:r>
      <w:r>
        <w:t xml:space="preserve"> mapping word tokens to TF-IDF weights:</w:t>
      </w:r>
    </w:p>
    <w:p>
      <w:pPr>
        <w:pStyle w:val="ListBullet"/>
        <w:spacing w:after="60"/>
      </w:pPr>
      <w:r>
        <w:t xml:space="preserve">  </w:t>
      </w:r>
      <w:r>
        <w:rPr>
          <w:rFonts w:ascii="Consolas" w:hAnsi="Consolas"/>
          <w:color w:val="C7254E"/>
          <w:sz w:val="19"/>
        </w:rPr>
        <w:t>ngram_range=(1, 2)</w:t>
      </w:r>
      <w:r>
        <w:t xml:space="preserve"> to capture dual-word contexts (e.g., "muscle aches").</w:t>
      </w:r>
    </w:p>
    <w:p>
      <w:pPr>
        <w:pStyle w:val="ListBullet"/>
        <w:spacing w:after="60"/>
      </w:pPr>
      <w:r>
        <w:t xml:space="preserve">  </w:t>
      </w:r>
      <w:r>
        <w:rPr>
          <w:rFonts w:ascii="Consolas" w:hAnsi="Consolas"/>
          <w:color w:val="C7254E"/>
          <w:sz w:val="19"/>
        </w:rPr>
        <w:t>min_df=1</w:t>
      </w:r>
      <w:r>
        <w:t xml:space="preserve"> to retain sparse or rare symptoms.</w:t>
      </w:r>
    </w:p>
    <w:p>
      <w:pPr>
        <w:pStyle w:val="ListBullet"/>
        <w:spacing w:after="60"/>
      </w:pPr>
      <w:r>
        <w:t xml:space="preserve">  </w:t>
      </w:r>
      <w:r>
        <w:rPr>
          <w:b/>
        </w:rPr>
        <w:t>Hyperparameters</w:t>
      </w:r>
      <w:r>
        <w:t xml:space="preserve">: </w:t>
      </w:r>
      <w:r>
        <w:rPr>
          <w:rFonts w:ascii="Consolas" w:hAnsi="Consolas"/>
          <w:color w:val="C7254E"/>
          <w:sz w:val="19"/>
        </w:rPr>
        <w:t>C=20</w:t>
      </w:r>
      <w:r>
        <w:t xml:space="preserve"> (inversion of regularization strength to prevent underfitting), </w:t>
      </w:r>
      <w:r>
        <w:rPr>
          <w:rFonts w:ascii="Consolas" w:hAnsi="Consolas"/>
          <w:color w:val="C7254E"/>
          <w:sz w:val="19"/>
        </w:rPr>
        <w:t>class_weight="balanced"</w:t>
      </w:r>
      <w:r>
        <w:t xml:space="preserve"> (adjusts weights inversely proportional to class frequencies to handle imbalanced symptom classifications), and </w:t>
      </w:r>
      <w:r>
        <w:rPr>
          <w:rFonts w:ascii="Consolas" w:hAnsi="Consolas"/>
          <w:color w:val="C7254E"/>
          <w:sz w:val="19"/>
        </w:rPr>
        <w:t>max_iter=1200</w:t>
      </w:r>
      <w:r>
        <w:t>.</w:t>
      </w:r>
    </w:p>
    <w:p>
      <w:pPr>
        <w:pStyle w:val="Heading3"/>
        <w:keepNext/>
        <w:spacing w:before="200" w:after="80"/>
      </w:pPr>
      <w:r>
        <w:t>2.2 Diabetes Risk Specialist Model</w:t>
      </w:r>
    </w:p>
    <w:p>
      <w:pPr>
        <w:pStyle w:val="ListBullet"/>
        <w:spacing w:after="60"/>
      </w:pPr>
      <w:r>
        <w:t xml:space="preserve">  </w:t>
      </w:r>
      <w:r>
        <w:rPr>
          <w:b/>
        </w:rPr>
        <w:t>Primary Data Source</w:t>
      </w:r>
      <w:r>
        <w:t>: Kaggle Dataset (</w:t>
      </w:r>
      <w:r>
        <w:rPr>
          <w:rFonts w:ascii="Consolas" w:hAnsi="Consolas"/>
          <w:color w:val="C7254E"/>
          <w:sz w:val="19"/>
        </w:rPr>
        <w:t>iammustafatz/diabetes-prediction-dataset</w:t>
      </w:r>
      <w:r>
        <w:t>).</w:t>
      </w:r>
    </w:p>
    <w:p>
      <w:pPr>
        <w:pStyle w:val="ListBullet"/>
        <w:spacing w:after="60"/>
      </w:pPr>
      <w:r>
        <w:t xml:space="preserve">  </w:t>
      </w:r>
      <w:r>
        <w:rPr>
          <w:i/>
        </w:rPr>
        <w:t>Features</w:t>
      </w:r>
      <w:r>
        <w:t xml:space="preserve">: </w:t>
      </w:r>
      <w:r>
        <w:rPr>
          <w:rFonts w:ascii="Consolas" w:hAnsi="Consolas"/>
          <w:color w:val="C7254E"/>
          <w:sz w:val="19"/>
        </w:rPr>
        <w:t>gender</w:t>
      </w:r>
      <w:r>
        <w:t xml:space="preserve">, </w:t>
      </w:r>
      <w:r>
        <w:rPr>
          <w:rFonts w:ascii="Consolas" w:hAnsi="Consolas"/>
          <w:color w:val="C7254E"/>
          <w:sz w:val="19"/>
        </w:rPr>
        <w:t>age</w:t>
      </w:r>
      <w:r>
        <w:t xml:space="preserve">, </w:t>
      </w:r>
      <w:r>
        <w:rPr>
          <w:rFonts w:ascii="Consolas" w:hAnsi="Consolas"/>
          <w:color w:val="C7254E"/>
          <w:sz w:val="19"/>
        </w:rPr>
        <w:t>hypertension</w:t>
      </w:r>
      <w:r>
        <w:t xml:space="preserve">, </w:t>
      </w:r>
      <w:r>
        <w:rPr>
          <w:rFonts w:ascii="Consolas" w:hAnsi="Consolas"/>
          <w:color w:val="C7254E"/>
          <w:sz w:val="19"/>
        </w:rPr>
        <w:t>heart_disease</w:t>
      </w:r>
      <w:r>
        <w:t xml:space="preserve">, </w:t>
      </w:r>
      <w:r>
        <w:rPr>
          <w:rFonts w:ascii="Consolas" w:hAnsi="Consolas"/>
          <w:color w:val="C7254E"/>
          <w:sz w:val="19"/>
        </w:rPr>
        <w:t>smoking_history</w:t>
      </w:r>
      <w:r>
        <w:t xml:space="preserve">, </w:t>
      </w:r>
      <w:r>
        <w:rPr>
          <w:rFonts w:ascii="Consolas" w:hAnsi="Consolas"/>
          <w:color w:val="C7254E"/>
          <w:sz w:val="19"/>
        </w:rPr>
        <w:t>bmi</w:t>
      </w:r>
      <w:r>
        <w:t xml:space="preserve">, </w:t>
      </w:r>
      <w:r>
        <w:rPr>
          <w:rFonts w:ascii="Consolas" w:hAnsi="Consolas"/>
          <w:color w:val="C7254E"/>
          <w:sz w:val="19"/>
        </w:rPr>
        <w:t>HbA1c_level</w:t>
      </w:r>
      <w:r>
        <w:t xml:space="preserve">, </w:t>
      </w:r>
      <w:r>
        <w:rPr>
          <w:rFonts w:ascii="Consolas" w:hAnsi="Consolas"/>
          <w:color w:val="C7254E"/>
          <w:sz w:val="19"/>
        </w:rPr>
        <w:t>blood_glucose_level</w:t>
      </w:r>
      <w:r>
        <w:t>.</w:t>
      </w:r>
    </w:p>
    <w:p>
      <w:pPr>
        <w:pStyle w:val="ListBullet"/>
        <w:spacing w:after="60"/>
      </w:pPr>
      <w:r>
        <w:t xml:space="preserve">  </w:t>
      </w:r>
      <w:r>
        <w:rPr>
          <w:b/>
        </w:rPr>
        <w:t>Fallback Data Source</w:t>
      </w:r>
      <w:r>
        <w:t>: Pima Indian Diabetes Dataset (</w:t>
      </w:r>
      <w:r>
        <w:rPr>
          <w:rFonts w:ascii="Consolas" w:hAnsi="Consolas"/>
          <w:color w:val="C7254E"/>
          <w:sz w:val="19"/>
        </w:rPr>
        <w:t>pima_diabetes.csv</w:t>
      </w:r>
      <w:r>
        <w:t>).</w:t>
      </w:r>
    </w:p>
    <w:p>
      <w:pPr>
        <w:pStyle w:val="ListBullet"/>
        <w:spacing w:after="60"/>
      </w:pPr>
      <w:r>
        <w:t xml:space="preserve">  </w:t>
      </w:r>
      <w:r>
        <w:rPr>
          <w:i/>
        </w:rPr>
        <w:t>Features</w:t>
      </w:r>
      <w:r>
        <w:t xml:space="preserve">: </w:t>
      </w:r>
      <w:r>
        <w:rPr>
          <w:rFonts w:ascii="Consolas" w:hAnsi="Consolas"/>
          <w:color w:val="C7254E"/>
          <w:sz w:val="19"/>
        </w:rPr>
        <w:t>Pregnancies</w:t>
      </w:r>
      <w:r>
        <w:t xml:space="preserve">, </w:t>
      </w:r>
      <w:r>
        <w:rPr>
          <w:rFonts w:ascii="Consolas" w:hAnsi="Consolas"/>
          <w:color w:val="C7254E"/>
          <w:sz w:val="19"/>
        </w:rPr>
        <w:t>Glucose</w:t>
      </w:r>
      <w:r>
        <w:t xml:space="preserve">, </w:t>
      </w:r>
      <w:r>
        <w:rPr>
          <w:rFonts w:ascii="Consolas" w:hAnsi="Consolas"/>
          <w:color w:val="C7254E"/>
          <w:sz w:val="19"/>
        </w:rPr>
        <w:t>BloodPressure</w:t>
      </w:r>
      <w:r>
        <w:t xml:space="preserve">, </w:t>
      </w:r>
      <w:r>
        <w:rPr>
          <w:rFonts w:ascii="Consolas" w:hAnsi="Consolas"/>
          <w:color w:val="C7254E"/>
          <w:sz w:val="19"/>
        </w:rPr>
        <w:t>SkinThickness</w:t>
      </w:r>
      <w:r>
        <w:t xml:space="preserve">, </w:t>
      </w:r>
      <w:r>
        <w:rPr>
          <w:rFonts w:ascii="Consolas" w:hAnsi="Consolas"/>
          <w:color w:val="C7254E"/>
          <w:sz w:val="19"/>
        </w:rPr>
        <w:t>Insulin</w:t>
      </w:r>
      <w:r>
        <w:t xml:space="preserve">, </w:t>
      </w:r>
      <w:r>
        <w:rPr>
          <w:rFonts w:ascii="Consolas" w:hAnsi="Consolas"/>
          <w:color w:val="C7254E"/>
          <w:sz w:val="19"/>
        </w:rPr>
        <w:t>BMI</w:t>
      </w:r>
      <w:r>
        <w:t xml:space="preserve">, </w:t>
      </w:r>
      <w:r>
        <w:rPr>
          <w:rFonts w:ascii="Consolas" w:hAnsi="Consolas"/>
          <w:color w:val="C7254E"/>
          <w:sz w:val="19"/>
        </w:rPr>
        <w:t>DiabetesPedigreeFunction</w:t>
      </w:r>
      <w:r>
        <w:t xml:space="preserve">, </w:t>
      </w:r>
      <w:r>
        <w:rPr>
          <w:rFonts w:ascii="Consolas" w:hAnsi="Consolas"/>
          <w:color w:val="C7254E"/>
          <w:sz w:val="19"/>
        </w:rPr>
        <w:t>Age</w:t>
      </w:r>
      <w:r>
        <w:t>.</w:t>
      </w:r>
    </w:p>
    <w:p>
      <w:pPr>
        <w:pStyle w:val="ListBullet"/>
        <w:spacing w:after="60"/>
      </w:pPr>
      <w:r>
        <w:t xml:space="preserve">  </w:t>
      </w:r>
      <w:r>
        <w:rPr>
          <w:b/>
        </w:rPr>
        <w:t>Pre-processing Pipeline</w:t>
      </w:r>
      <w:r>
        <w:t>:</w:t>
      </w:r>
    </w:p>
    <w:p>
      <w:pPr>
        <w:pStyle w:val="ListNumber"/>
        <w:spacing w:after="60"/>
      </w:pPr>
      <w:r>
        <w:t xml:space="preserve"> </w:t>
      </w:r>
      <w:r>
        <w:rPr>
          <w:b/>
        </w:rPr>
        <w:t>Imputation</w:t>
      </w:r>
      <w:r>
        <w:t>: Replaces clinical invalid placeholder zeroes (e.g., zero values in Blood Pressure or BMI) with feature medians.</w:t>
      </w:r>
    </w:p>
    <w:p>
      <w:pPr>
        <w:pStyle w:val="ListNumber"/>
        <w:spacing w:after="60"/>
      </w:pPr>
      <w:r>
        <w:t xml:space="preserve"> </w:t>
      </w:r>
      <w:r>
        <w:rPr>
          <w:b/>
        </w:rPr>
        <w:t>Outlier Mitigation</w:t>
      </w:r>
      <w:r>
        <w:t>: Features are clipped within Interquartile Range (IQR) boundaries:</w:t>
      </w:r>
    </w:p>
    <w:p>
      <w:pPr>
        <w:spacing w:after="120"/>
      </w:pPr>
      <w:r>
        <w:t>$$\text{Lower Bound} = Q1 - 1.5 \times IQR$$</w:t>
      </w:r>
    </w:p>
    <w:p>
      <w:pPr>
        <w:spacing w:after="120"/>
      </w:pPr>
      <w:r>
        <w:t>$$\text{Upper Bound} = Q3 + 1.5 \times IQR$$</w:t>
      </w:r>
    </w:p>
    <w:p>
      <w:pPr>
        <w:pStyle w:val="ListNumber"/>
        <w:spacing w:after="60"/>
      </w:pPr>
      <w:r>
        <w:t xml:space="preserve"> </w:t>
      </w:r>
      <w:r>
        <w:rPr>
          <w:b/>
        </w:rPr>
        <w:t>Standardization</w:t>
      </w:r>
      <w:r>
        <w:t xml:space="preserve">: Numeric features scaled to zero mean and unit variance via </w:t>
      </w:r>
      <w:r>
        <w:rPr>
          <w:rFonts w:ascii="Consolas" w:hAnsi="Consolas"/>
          <w:color w:val="C7254E"/>
          <w:sz w:val="19"/>
        </w:rPr>
        <w:t>StandardScaler</w:t>
      </w:r>
      <w:r>
        <w:t>.</w:t>
      </w:r>
    </w:p>
    <w:p>
      <w:pPr>
        <w:pStyle w:val="ListNumber"/>
        <w:spacing w:after="60"/>
      </w:pPr>
      <w:r>
        <w:t xml:space="preserve"> </w:t>
      </w:r>
      <w:r>
        <w:rPr>
          <w:b/>
        </w:rPr>
        <w:t>One-Hot Encoding</w:t>
      </w:r>
      <w:r>
        <w:t>: Encodes categorical variables (</w:t>
      </w:r>
      <w:r>
        <w:rPr>
          <w:rFonts w:ascii="Consolas" w:hAnsi="Consolas"/>
          <w:color w:val="C7254E"/>
          <w:sz w:val="19"/>
        </w:rPr>
        <w:t>gender</w:t>
      </w:r>
      <w:r>
        <w:t xml:space="preserve">, </w:t>
      </w:r>
      <w:r>
        <w:rPr>
          <w:rFonts w:ascii="Consolas" w:hAnsi="Consolas"/>
          <w:color w:val="C7254E"/>
          <w:sz w:val="19"/>
        </w:rPr>
        <w:t>smoking_history</w:t>
      </w:r>
      <w:r>
        <w:t xml:space="preserve">) via </w:t>
      </w:r>
      <w:r>
        <w:rPr>
          <w:rFonts w:ascii="Consolas" w:hAnsi="Consolas"/>
          <w:color w:val="C7254E"/>
          <w:sz w:val="19"/>
        </w:rPr>
        <w:t>OneHotEncoder(handle_unknown="ignore")</w:t>
      </w:r>
      <w:r>
        <w:t>.</w:t>
      </w:r>
    </w:p>
    <w:p>
      <w:pPr>
        <w:pStyle w:val="ListNumber"/>
        <w:spacing w:after="60"/>
      </w:pPr>
      <w:r>
        <w:t xml:space="preserve"> </w:t>
      </w:r>
      <w:r>
        <w:rPr>
          <w:b/>
        </w:rPr>
        <w:t>Assembly</w:t>
      </w:r>
      <w:r>
        <w:t xml:space="preserve">: Columns are encapsulated into a cohesive </w:t>
      </w:r>
      <w:r>
        <w:rPr>
          <w:rFonts w:ascii="Consolas" w:hAnsi="Consolas"/>
          <w:color w:val="C7254E"/>
          <w:sz w:val="19"/>
        </w:rPr>
        <w:t>ColumnTransformer</w:t>
      </w:r>
      <w:r>
        <w:t xml:space="preserve"> execution unit.</w:t>
      </w:r>
    </w:p>
    <w:p>
      <w:pPr>
        <w:pStyle w:val="ListBullet"/>
        <w:spacing w:after="60"/>
      </w:pPr>
      <w:r>
        <w:t xml:space="preserve">  </w:t>
      </w:r>
      <w:r>
        <w:rPr>
          <w:b/>
        </w:rPr>
        <w:t>Classifier Algorithm</w:t>
      </w:r>
      <w:r>
        <w:t>: Extreme Gradient Boosting Classifier (</w:t>
      </w:r>
      <w:r>
        <w:rPr>
          <w:rFonts w:ascii="Consolas" w:hAnsi="Consolas"/>
          <w:color w:val="C7254E"/>
          <w:sz w:val="19"/>
        </w:rPr>
        <w:t>XGBClassifier</w:t>
      </w:r>
      <w:r>
        <w:t>) with hyperparameters:</w:t>
      </w:r>
    </w:p>
    <w:p>
      <w:pPr>
        <w:pStyle w:val="ListBullet"/>
        <w:spacing w:after="60"/>
      </w:pPr>
      <w:r>
        <w:t xml:space="preserve">  </w:t>
      </w:r>
      <w:r>
        <w:rPr>
          <w:rFonts w:ascii="Consolas" w:hAnsi="Consolas"/>
          <w:color w:val="C7254E"/>
          <w:sz w:val="19"/>
        </w:rPr>
        <w:t>n_estimators=80</w:t>
      </w:r>
      <w:r>
        <w:t xml:space="preserve"> (number of boosting rounds).</w:t>
      </w:r>
    </w:p>
    <w:p>
      <w:pPr>
        <w:pStyle w:val="ListBullet"/>
        <w:spacing w:after="60"/>
      </w:pPr>
      <w:r>
        <w:t xml:space="preserve">  </w:t>
      </w:r>
      <w:r>
        <w:rPr>
          <w:rFonts w:ascii="Consolas" w:hAnsi="Consolas"/>
          <w:color w:val="C7254E"/>
          <w:sz w:val="19"/>
        </w:rPr>
        <w:t>max_depth=2</w:t>
      </w:r>
      <w:r>
        <w:t xml:space="preserve"> (maximum tree depth to limit high variance overfitting).</w:t>
      </w:r>
    </w:p>
    <w:p>
      <w:pPr>
        <w:pStyle w:val="ListBullet"/>
        <w:spacing w:after="60"/>
      </w:pPr>
      <w:r>
        <w:t xml:space="preserve">  </w:t>
      </w:r>
      <w:r>
        <w:rPr>
          <w:rFonts w:ascii="Consolas" w:hAnsi="Consolas"/>
          <w:color w:val="C7254E"/>
          <w:sz w:val="19"/>
        </w:rPr>
        <w:t>learning_rate=0.04</w:t>
      </w:r>
      <w:r>
        <w:t xml:space="preserve"> (shrinkage step size to prevent gradient descent overshoot).</w:t>
      </w:r>
    </w:p>
    <w:p>
      <w:pPr>
        <w:pStyle w:val="ListBullet"/>
        <w:spacing w:after="60"/>
      </w:pPr>
      <w:r>
        <w:t xml:space="preserve">  </w:t>
      </w:r>
      <w:r>
        <w:rPr>
          <w:rFonts w:ascii="Consolas" w:hAnsi="Consolas"/>
          <w:color w:val="C7254E"/>
          <w:sz w:val="19"/>
        </w:rPr>
        <w:t>subsample=0.8</w:t>
      </w:r>
      <w:r>
        <w:t xml:space="preserve"> (fraction of samples random-selected for tree building).</w:t>
      </w:r>
    </w:p>
    <w:p>
      <w:pPr>
        <w:pStyle w:val="ListBullet"/>
        <w:spacing w:after="60"/>
      </w:pPr>
      <w:r>
        <w:t xml:space="preserve">  </w:t>
      </w:r>
      <w:r>
        <w:rPr>
          <w:rFonts w:ascii="Consolas" w:hAnsi="Consolas"/>
          <w:color w:val="C7254E"/>
          <w:sz w:val="19"/>
        </w:rPr>
        <w:t>colsample_bytree=0.8</w:t>
      </w:r>
      <w:r>
        <w:t xml:space="preserve"> (subsample ratio of features selected per tree).</w:t>
      </w:r>
    </w:p>
    <w:p>
      <w:pPr>
        <w:pStyle w:val="ListBullet"/>
        <w:spacing w:after="60"/>
      </w:pPr>
      <w:r>
        <w:t xml:space="preserve">  </w:t>
      </w:r>
      <w:r>
        <w:rPr>
          <w:rFonts w:ascii="Consolas" w:hAnsi="Consolas"/>
          <w:color w:val="C7254E"/>
          <w:sz w:val="19"/>
        </w:rPr>
        <w:t>objective="binary:logistic"</w:t>
      </w:r>
      <w:r>
        <w:t xml:space="preserve"> (binary logistic regression loss function).</w:t>
      </w:r>
    </w:p>
    <w:p>
      <w:pPr>
        <w:pStyle w:val="ListBullet"/>
        <w:spacing w:after="60"/>
      </w:pPr>
      <w:r>
        <w:t xml:space="preserve">  </w:t>
      </w:r>
      <w:r>
        <w:rPr>
          <w:b/>
        </w:rPr>
        <w:t>Model Serialization</w:t>
      </w:r>
      <w:r>
        <w:t xml:space="preserve">: Saved via </w:t>
      </w:r>
      <w:r>
        <w:rPr>
          <w:rFonts w:ascii="Consolas" w:hAnsi="Consolas"/>
          <w:color w:val="C7254E"/>
          <w:sz w:val="19"/>
        </w:rPr>
        <w:t>joblib</w:t>
      </w:r>
      <w:r>
        <w:t xml:space="preserve"> inside </w:t>
      </w:r>
      <w:r>
        <w:rPr>
          <w:rFonts w:ascii="Consolas" w:hAnsi="Consolas"/>
          <w:color w:val="C7254E"/>
          <w:sz w:val="19"/>
        </w:rPr>
        <w:t>diabetes_xgb_pipeline.pkl</w:t>
      </w:r>
      <w:r>
        <w:t xml:space="preserve">. Model metrics (Accuracy, F1, Recall, Precision, ROC-AUC score, and Confusion Matrix) are written to </w:t>
      </w:r>
      <w:r>
        <w:rPr>
          <w:rFonts w:ascii="Consolas" w:hAnsi="Consolas"/>
          <w:color w:val="C7254E"/>
          <w:sz w:val="19"/>
        </w:rPr>
        <w:t>diabetes_metrics.json</w:t>
      </w:r>
      <w:r>
        <w:t>.</w:t>
      </w:r>
    </w:p>
    <w:p>
      <w:pPr>
        <w:spacing w:before="240" w:after="240"/>
        <w:jc w:val="center"/>
      </w:pPr>
      <w:r>
        <w:rPr>
          <w:color w:val="D2D6DB"/>
        </w:rPr>
        <w:t>__________________________________________________________________</w:t>
      </w:r>
    </w:p>
    <w:p>
      <w:pPr>
        <w:pStyle w:val="Heading2"/>
        <w:keepNext/>
        <w:spacing w:before="280" w:after="120"/>
      </w:pPr>
      <w:r>
        <w:t>3. Clinical Decision Support System (CDSS) Trigger &amp; Diagnosis Flow</w:t>
      </w:r>
    </w:p>
    <w:p>
      <w:pPr>
        <w:spacing w:after="120"/>
      </w:pPr>
      <w:r>
        <w:t>The agent utilizes a trigger-based activation gate to determine if a comprehensive diabetes risk assessment is required, subsequently routing through clinical classification logic.</w:t>
      </w:r>
    </w:p>
    <w:p>
      <w:pPr>
        <w:spacing w:before="240" w:after="80"/>
        <w:jc w:val="center"/>
      </w:pPr>
      <w:r>
        <w:drawing>
          <wp:inline xmlns:a="http://schemas.openxmlformats.org/drawingml/2006/main" xmlns:pic="http://schemas.openxmlformats.org/drawingml/2006/picture">
            <wp:extent cx="5029200" cy="1213835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21383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40" w:after="240"/>
        <w:jc w:val="center"/>
      </w:pPr>
      <w:r>
        <w:rPr>
          <w:i/>
          <w:color w:val="808080"/>
          <w:sz w:val="19"/>
        </w:rPr>
        <w:t>Figure: 3. Clinical Decision Support System (CDSS) Trigger &amp; Diagnosis Flow</w:t>
      </w:r>
    </w:p>
    <w:p>
      <w:pPr>
        <w:pStyle w:val="Heading3"/>
        <w:keepNext/>
        <w:spacing w:before="200" w:after="80"/>
      </w:pPr>
      <w:r>
        <w:t>3.1 Gated Trigger Conditions</w:t>
      </w:r>
    </w:p>
    <w:p>
      <w:pPr>
        <w:spacing w:after="120"/>
      </w:pPr>
      <w:r>
        <w:t xml:space="preserve">The system screens for diabetes triggers during the intake form check. The specialist agent is activated if </w:t>
      </w:r>
      <w:r>
        <w:rPr>
          <w:b/>
        </w:rPr>
        <w:t>either</w:t>
      </w:r>
      <w:r>
        <w:t xml:space="preserve"> of these thresholds are crossed:</w:t>
      </w:r>
    </w:p>
    <w:p>
      <w:pPr>
        <w:pStyle w:val="ListNumber"/>
        <w:spacing w:after="60"/>
      </w:pPr>
      <w:r>
        <w:t xml:space="preserve"> </w:t>
      </w:r>
      <w:r>
        <w:rPr>
          <w:b/>
        </w:rPr>
        <w:t>Direct Glycemic Trigger</w:t>
      </w:r>
      <w:r>
        <w:t xml:space="preserve">: </w:t>
      </w:r>
      <w:r>
        <w:rPr>
          <w:rFonts w:ascii="Consolas" w:hAnsi="Consolas"/>
          <w:color w:val="C7254E"/>
          <w:sz w:val="19"/>
        </w:rPr>
        <w:t>labs.glucose &gt;= 126</w:t>
      </w:r>
      <w:r>
        <w:t xml:space="preserve"> mg/dL (configured via </w:t>
      </w:r>
      <w:r>
        <w:rPr>
          <w:rFonts w:ascii="Consolas" w:hAnsi="Consolas"/>
          <w:color w:val="C7254E"/>
          <w:sz w:val="19"/>
        </w:rPr>
        <w:t>settings.diabetes_glucose_trigger</w:t>
      </w:r>
      <w:r>
        <w:t>).</w:t>
      </w:r>
    </w:p>
    <w:p>
      <w:pPr>
        <w:pStyle w:val="ListNumber"/>
        <w:spacing w:after="60"/>
      </w:pPr>
      <w:r>
        <w:t xml:space="preserve"> </w:t>
      </w:r>
      <w:r>
        <w:rPr>
          <w:b/>
        </w:rPr>
        <w:t>Symptom-Probability Trigger</w:t>
      </w:r>
      <w:r>
        <w:t xml:space="preserve">: The General Medicine Classifier returns a prediction probability of </w:t>
      </w:r>
      <w:r>
        <w:rPr>
          <w:rFonts w:ascii="Consolas" w:hAnsi="Consolas"/>
          <w:color w:val="C7254E"/>
          <w:sz w:val="19"/>
        </w:rPr>
        <w:t>"Diabetes Mellitus" &gt;= 0.60</w:t>
      </w:r>
      <w:r>
        <w:t xml:space="preserve"> (configured via </w:t>
      </w:r>
      <w:r>
        <w:rPr>
          <w:rFonts w:ascii="Consolas" w:hAnsi="Consolas"/>
          <w:color w:val="C7254E"/>
          <w:sz w:val="19"/>
        </w:rPr>
        <w:t>settings.diabetes_probability_trigger</w:t>
      </w:r>
      <w:r>
        <w:t>).</w:t>
      </w:r>
    </w:p>
    <w:p>
      <w:pPr>
        <w:pStyle w:val="Heading3"/>
        <w:keepNext/>
        <w:spacing w:before="200" w:after="80"/>
      </w:pPr>
      <w:r>
        <w:t>3.2 Clinical Decision Support Classification Rules</w:t>
      </w:r>
    </w:p>
    <w:p>
      <w:pPr>
        <w:spacing w:after="120"/>
      </w:pPr>
      <w:r>
        <w:t>Once triggered, the Specialist CDSS agent calculates classification categories and severity levels:</w:t>
      </w:r>
    </w:p>
    <w:p>
      <w:pPr>
        <w:pStyle w:val="ListBullet"/>
        <w:spacing w:after="60"/>
      </w:pPr>
      <w:r>
        <w:t xml:space="preserve">  </w:t>
      </w:r>
      <w:r>
        <w:rPr>
          <w:b/>
        </w:rPr>
        <w:t>Low Diabetes Risk</w:t>
      </w:r>
      <w:r>
        <w:t>: Risk probability $&lt; 0.35$ AND glucose $&lt; 100$ mg/dL.</w:t>
      </w:r>
    </w:p>
    <w:p>
      <w:pPr>
        <w:pStyle w:val="ListBullet"/>
        <w:spacing w:after="60"/>
      </w:pPr>
      <w:r>
        <w:t xml:space="preserve">  </w:t>
      </w:r>
      <w:r>
        <w:rPr>
          <w:b/>
        </w:rPr>
        <w:t>Prediabetes</w:t>
      </w:r>
      <w:r>
        <w:t>: Glucose is between $100$ mg/dL and $125$ mg/dL, OR Risk probability is between $0.35$ and $0.60$.</w:t>
      </w:r>
    </w:p>
    <w:p>
      <w:pPr>
        <w:pStyle w:val="ListBullet"/>
        <w:spacing w:after="60"/>
      </w:pPr>
      <w:r>
        <w:t xml:space="preserve">  </w:t>
      </w:r>
      <w:r>
        <w:rPr>
          <w:b/>
        </w:rPr>
        <w:t>Type 1 Diabetes</w:t>
      </w:r>
      <w:r>
        <w:t>: Patient's age $&lt; 30$ AND BMI $&lt; 25$ AND Insulin reading $\le 20$ uU/mL.</w:t>
      </w:r>
    </w:p>
    <w:p>
      <w:pPr>
        <w:pStyle w:val="ListBullet"/>
        <w:spacing w:after="60"/>
      </w:pPr>
      <w:r>
        <w:t xml:space="preserve">  </w:t>
      </w:r>
      <w:r>
        <w:rPr>
          <w:b/>
        </w:rPr>
        <w:t>Type 2 Diabetes</w:t>
      </w:r>
      <w:r>
        <w:t>: Classified if the patient does not fit the above and demonstrates elevated glucose and risk scores.</w:t>
      </w:r>
    </w:p>
    <w:p>
      <w:pPr>
        <w:pStyle w:val="ListBullet"/>
        <w:spacing w:after="60"/>
      </w:pPr>
      <w:r>
        <w:t xml:space="preserve">  </w:t>
      </w:r>
      <w:r>
        <w:rPr>
          <w:b/>
        </w:rPr>
        <w:t>Severity Gating</w:t>
      </w:r>
      <w:r>
        <w:t>:</w:t>
      </w:r>
    </w:p>
    <w:p>
      <w:pPr>
        <w:pStyle w:val="ListBullet"/>
        <w:spacing w:after="60"/>
      </w:pPr>
      <w:r>
        <w:t xml:space="preserve">  </w:t>
      </w:r>
      <w:r>
        <w:rPr>
          <w:rFonts w:ascii="Consolas" w:hAnsi="Consolas"/>
          <w:color w:val="C7254E"/>
          <w:sz w:val="19"/>
        </w:rPr>
        <w:t>severe</w:t>
      </w:r>
      <w:r>
        <w:t>: Calculated if glucose $\ge 250$ mg/dL OR Risk probability $\ge 0.85$.</w:t>
      </w:r>
    </w:p>
    <w:p>
      <w:pPr>
        <w:pStyle w:val="ListBullet"/>
        <w:spacing w:after="60"/>
      </w:pPr>
      <w:r>
        <w:t xml:space="preserve">  </w:t>
      </w:r>
      <w:r>
        <w:rPr>
          <w:rFonts w:ascii="Consolas" w:hAnsi="Consolas"/>
          <w:color w:val="C7254E"/>
          <w:sz w:val="19"/>
        </w:rPr>
        <w:t>high</w:t>
      </w:r>
      <w:r>
        <w:t>: Default for Type 1 and Type 2 classifications.</w:t>
      </w:r>
    </w:p>
    <w:p>
      <w:pPr>
        <w:pStyle w:val="ListBullet"/>
        <w:spacing w:after="60"/>
      </w:pPr>
      <w:r>
        <w:t xml:space="preserve">  </w:t>
      </w:r>
      <w:r>
        <w:rPr>
          <w:rFonts w:ascii="Consolas" w:hAnsi="Consolas"/>
          <w:color w:val="C7254E"/>
          <w:sz w:val="19"/>
        </w:rPr>
        <w:t>moderate</w:t>
      </w:r>
      <w:r>
        <w:t>: Default for Prediabetes classification.</w:t>
      </w:r>
    </w:p>
    <w:p>
      <w:pPr>
        <w:pStyle w:val="ListBullet"/>
        <w:spacing w:after="60"/>
      </w:pPr>
      <w:r>
        <w:t xml:space="preserve">  </w:t>
      </w:r>
      <w:r>
        <w:rPr>
          <w:rFonts w:ascii="Consolas" w:hAnsi="Consolas"/>
          <w:color w:val="C7254E"/>
          <w:sz w:val="19"/>
        </w:rPr>
        <w:t>low</w:t>
      </w:r>
      <w:r>
        <w:t>: Default for Low Diabetes Risk classification.</w:t>
      </w:r>
    </w:p>
    <w:p>
      <w:pPr>
        <w:spacing w:before="240" w:after="240"/>
        <w:jc w:val="center"/>
      </w:pPr>
      <w:r>
        <w:rPr>
          <w:color w:val="D2D6DB"/>
        </w:rPr>
        <w:t>__________________________________________________________________</w:t>
      </w:r>
    </w:p>
    <w:p>
      <w:pPr>
        <w:pStyle w:val="Heading2"/>
        <w:keepNext/>
        <w:spacing w:before="280" w:after="120"/>
      </w:pPr>
      <w:r>
        <w:t>4. Authentication &amp; RBAC Lifecycle Sequence</w:t>
      </w:r>
    </w:p>
    <w:p>
      <w:pPr>
        <w:spacing w:after="120"/>
      </w:pPr>
      <w:r>
        <w:t>Role-Based Access Control (RBAC) enforces distinct read/write paths for Doctors and Patients. The backend filters prediction details dynamically based on user identity.</w:t>
      </w:r>
    </w:p>
    <w:p>
      <w:pPr>
        <w:spacing w:before="240" w:after="80"/>
        <w:jc w:val="center"/>
      </w:pPr>
      <w:r>
        <w:drawing>
          <wp:inline xmlns:a="http://schemas.openxmlformats.org/drawingml/2006/main" xmlns:pic="http://schemas.openxmlformats.org/drawingml/2006/picture">
            <wp:extent cx="5029200" cy="386434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8643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40" w:after="240"/>
        <w:jc w:val="center"/>
      </w:pPr>
      <w:r>
        <w:rPr>
          <w:i/>
          <w:color w:val="808080"/>
          <w:sz w:val="19"/>
        </w:rPr>
        <w:t>Figure: 4. Authentication &amp; RBAC Lifecycle Sequence</w:t>
      </w:r>
    </w:p>
    <w:p>
      <w:pPr>
        <w:pStyle w:val="Heading3"/>
        <w:keepNext/>
        <w:spacing w:before="200" w:after="80"/>
      </w:pPr>
      <w:r>
        <w:t>Data Masking &amp; Security Logic</w:t>
      </w:r>
    </w:p>
    <w:p>
      <w:pPr>
        <w:pStyle w:val="ListBullet"/>
        <w:spacing w:after="60"/>
      </w:pPr>
      <w:r>
        <w:t xml:space="preserve">  </w:t>
      </w:r>
      <w:r>
        <w:rPr>
          <w:b/>
        </w:rPr>
        <w:t>Doctor Privileges</w:t>
      </w:r>
      <w:r>
        <w:t>: Full access to all database fields. Doctors view diagnostic charts, probability curves, raw classifier predictions, alternative herbal remedies, and LLM clinical proofs.</w:t>
      </w:r>
    </w:p>
    <w:p>
      <w:pPr>
        <w:pStyle w:val="ListBullet"/>
        <w:spacing w:after="60"/>
      </w:pPr>
      <w:r>
        <w:t xml:space="preserve">  </w:t>
      </w:r>
      <w:r>
        <w:rPr>
          <w:b/>
        </w:rPr>
        <w:t>Patient Protections</w:t>
      </w:r>
      <w:r>
        <w:t>: Patients are barred from viewing clinical raw assessments to prevent self-diagnosing panic.</w:t>
      </w:r>
    </w:p>
    <w:p>
      <w:pPr>
        <w:pStyle w:val="ListBullet"/>
        <w:spacing w:after="60"/>
      </w:pPr>
      <w:r>
        <w:t xml:space="preserve">  </w:t>
      </w:r>
      <w:r>
        <w:rPr>
          <w:rFonts w:ascii="Consolas" w:hAnsi="Consolas"/>
          <w:color w:val="C7254E"/>
          <w:sz w:val="19"/>
        </w:rPr>
        <w:t>general_prediction</w:t>
      </w:r>
      <w:r>
        <w:t xml:space="preserve"> is set to </w:t>
      </w:r>
      <w:r>
        <w:rPr>
          <w:rFonts w:ascii="Consolas" w:hAnsi="Consolas"/>
          <w:color w:val="C7254E"/>
          <w:sz w:val="19"/>
        </w:rPr>
        <w:t>null</w:t>
      </w:r>
      <w:r>
        <w:t xml:space="preserve"> on response serialization.</w:t>
      </w:r>
    </w:p>
    <w:p>
      <w:pPr>
        <w:pStyle w:val="ListBullet"/>
        <w:spacing w:after="60"/>
      </w:pPr>
      <w:r>
        <w:t xml:space="preserve">  Within the </w:t>
      </w:r>
      <w:r>
        <w:rPr>
          <w:rFonts w:ascii="Consolas" w:hAnsi="Consolas"/>
          <w:color w:val="C7254E"/>
          <w:sz w:val="19"/>
        </w:rPr>
        <w:t>diabetes_prediction</w:t>
      </w:r>
      <w:r>
        <w:t xml:space="preserve"> JSON block, the backend removes keys: </w:t>
      </w:r>
      <w:r>
        <w:rPr>
          <w:rFonts w:ascii="Consolas" w:hAnsi="Consolas"/>
          <w:color w:val="C7254E"/>
          <w:sz w:val="19"/>
        </w:rPr>
        <w:t>diagnosis</w:t>
      </w:r>
      <w:r>
        <w:t xml:space="preserve">, </w:t>
      </w:r>
      <w:r>
        <w:rPr>
          <w:rFonts w:ascii="Consolas" w:hAnsi="Consolas"/>
          <w:color w:val="C7254E"/>
          <w:sz w:val="19"/>
        </w:rPr>
        <w:t>risk_probability</w:t>
      </w:r>
      <w:r>
        <w:t xml:space="preserve">, </w:t>
      </w:r>
      <w:r>
        <w:rPr>
          <w:rFonts w:ascii="Consolas" w:hAnsi="Consolas"/>
          <w:color w:val="C7254E"/>
          <w:sz w:val="19"/>
        </w:rPr>
        <w:t>severity</w:t>
      </w:r>
      <w:r>
        <w:t xml:space="preserve">, </w:t>
      </w:r>
      <w:r>
        <w:rPr>
          <w:rFonts w:ascii="Consolas" w:hAnsi="Consolas"/>
          <w:color w:val="C7254E"/>
          <w:sz w:val="19"/>
        </w:rPr>
        <w:t>model_used</w:t>
      </w:r>
      <w:r>
        <w:t xml:space="preserve">, </w:t>
      </w:r>
      <w:r>
        <w:rPr>
          <w:rFonts w:ascii="Consolas" w:hAnsi="Consolas"/>
          <w:color w:val="C7254E"/>
          <w:sz w:val="19"/>
        </w:rPr>
        <w:t>model_metrics</w:t>
      </w:r>
      <w:r>
        <w:t xml:space="preserve">, and </w:t>
      </w:r>
      <w:r>
        <w:rPr>
          <w:rFonts w:ascii="Consolas" w:hAnsi="Consolas"/>
          <w:color w:val="C7254E"/>
          <w:sz w:val="19"/>
        </w:rPr>
        <w:t>alternative_medicine</w:t>
      </w:r>
      <w:r>
        <w:t>.</w:t>
      </w:r>
    </w:p>
    <w:p>
      <w:pPr>
        <w:pStyle w:val="ListBullet"/>
        <w:spacing w:after="60"/>
      </w:pPr>
      <w:r>
        <w:t xml:space="preserve">  Only </w:t>
      </w:r>
      <w:r>
        <w:rPr>
          <w:rFonts w:ascii="Consolas" w:hAnsi="Consolas"/>
          <w:color w:val="C7254E"/>
          <w:sz w:val="19"/>
        </w:rPr>
        <w:t>medication</w:t>
      </w:r>
      <w:r>
        <w:t xml:space="preserve"> details (prescribed drug, dosage, warnings) and </w:t>
      </w:r>
      <w:r>
        <w:rPr>
          <w:rFonts w:ascii="Consolas" w:hAnsi="Consolas"/>
          <w:color w:val="C7254E"/>
          <w:sz w:val="19"/>
        </w:rPr>
        <w:t>diet</w:t>
      </w:r>
      <w:r>
        <w:t xml:space="preserve"> plans are returned.</w:t>
      </w:r>
    </w:p>
    <w:p>
      <w:pPr>
        <w:spacing w:before="240" w:after="240"/>
        <w:jc w:val="center"/>
      </w:pPr>
      <w:r>
        <w:rPr>
          <w:color w:val="D2D6DB"/>
        </w:rPr>
        <w:t>__________________________________________________________________</w:t>
      </w:r>
    </w:p>
    <w:p>
      <w:pPr>
        <w:pStyle w:val="Heading2"/>
        <w:keepNext/>
        <w:spacing w:before="280" w:after="120"/>
      </w:pPr>
      <w:r>
        <w:t>5. Database Schema Design &amp; Optimization</w:t>
      </w:r>
    </w:p>
    <w:p>
      <w:pPr>
        <w:spacing w:after="120"/>
      </w:pPr>
      <w:r>
        <w:t>SQLite serves as the relational datastore. The schemas are modeled below:</w:t>
      </w:r>
    </w:p>
    <w:p>
      <w:pPr>
        <w:pStyle w:val="Heading3"/>
        <w:keepNext/>
        <w:spacing w:before="200" w:after="80"/>
      </w:pPr>
      <w:r>
        <w:t>5.1 Entity Relationship Diagram (ERD)</w:t>
      </w:r>
    </w:p>
    <w:p>
      <w:pPr>
        <w:spacing w:before="240" w:after="80"/>
        <w:jc w:val="center"/>
      </w:pPr>
      <w:r>
        <w:drawing>
          <wp:inline xmlns:a="http://schemas.openxmlformats.org/drawingml/2006/main" xmlns:pic="http://schemas.openxmlformats.org/drawingml/2006/picture">
            <wp:extent cx="5029200" cy="256851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5685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40" w:after="240"/>
        <w:jc w:val="center"/>
      </w:pPr>
      <w:r>
        <w:rPr>
          <w:i/>
          <w:color w:val="808080"/>
          <w:sz w:val="19"/>
        </w:rPr>
        <w:t>Figure: 5.1 Entity Relationship Diagram (ERD)</w:t>
      </w:r>
    </w:p>
    <w:p>
      <w:pPr>
        <w:pStyle w:val="Heading3"/>
        <w:keepNext/>
        <w:spacing w:before="200" w:after="80"/>
      </w:pPr>
      <w:r>
        <w:t>5.2 Hashing &amp; Security Policies</w:t>
      </w:r>
    </w:p>
    <w:p>
      <w:pPr>
        <w:spacing w:after="120"/>
      </w:pPr>
      <w:r>
        <w:t>User password protection implements a high-iteration hash routine to block offline brute-force attacks:</w:t>
      </w:r>
    </w:p>
    <w:p>
      <w:pPr>
        <w:pStyle w:val="ListBullet"/>
        <w:spacing w:after="60"/>
      </w:pPr>
      <w:r>
        <w:t xml:space="preserve">  </w:t>
      </w:r>
      <w:r>
        <w:rPr>
          <w:b/>
        </w:rPr>
        <w:t>Algorithm</w:t>
      </w:r>
      <w:r>
        <w:t>: PBKDF2-HMAC-SHA256.</w:t>
      </w:r>
    </w:p>
    <w:p>
      <w:pPr>
        <w:pStyle w:val="ListBullet"/>
        <w:spacing w:after="60"/>
      </w:pPr>
      <w:r>
        <w:t xml:space="preserve">  </w:t>
      </w:r>
      <w:r>
        <w:rPr>
          <w:b/>
        </w:rPr>
        <w:t>Salt Source</w:t>
      </w:r>
      <w:r>
        <w:t xml:space="preserve">: Cryptographically secure pseudo-random bytes generated using </w:t>
      </w:r>
      <w:r>
        <w:rPr>
          <w:rFonts w:ascii="Consolas" w:hAnsi="Consolas"/>
          <w:color w:val="C7254E"/>
          <w:sz w:val="19"/>
        </w:rPr>
        <w:t>secrets.token_hex(16)</w:t>
      </w:r>
      <w:r>
        <w:t>.</w:t>
      </w:r>
    </w:p>
    <w:p>
      <w:pPr>
        <w:pStyle w:val="ListBullet"/>
        <w:spacing w:after="60"/>
      </w:pPr>
      <w:r>
        <w:t xml:space="preserve">  </w:t>
      </w:r>
      <w:r>
        <w:rPr>
          <w:b/>
        </w:rPr>
        <w:t>Complexity</w:t>
      </w:r>
      <w:r>
        <w:t>: $120,000$ iterations.</w:t>
      </w:r>
    </w:p>
    <w:p>
      <w:pPr>
        <w:pStyle w:val="ListBullet"/>
        <w:spacing w:after="60"/>
      </w:pPr>
      <w:r>
        <w:t xml:space="preserve">  </w:t>
      </w:r>
      <w:r>
        <w:rPr>
          <w:b/>
        </w:rPr>
        <w:t>Format</w:t>
      </w:r>
      <w:r>
        <w:t xml:space="preserve">: </w:t>
      </w:r>
      <w:r>
        <w:rPr>
          <w:rFonts w:ascii="Consolas" w:hAnsi="Consolas"/>
          <w:color w:val="C7254E"/>
          <w:sz w:val="19"/>
        </w:rPr>
        <w:t>salt$hash</w:t>
      </w:r>
      <w:r>
        <w:t xml:space="preserve"> stored in the database.</w:t>
      </w:r>
    </w:p>
    <w:p>
      <w:pPr>
        <w:pStyle w:val="Heading3"/>
        <w:keepNext/>
        <w:spacing w:before="200" w:after="80"/>
      </w:pPr>
      <w:r>
        <w:t>5.3 Database Index Optimization</w:t>
      </w:r>
    </w:p>
    <w:p>
      <w:pPr>
        <w:spacing w:after="120"/>
      </w:pPr>
      <w:r>
        <w:t>Three key database indices are implemented to ensure O(log N) lookup times during scaling:</w:t>
      </w:r>
    </w:p>
    <w:p>
      <w:pPr>
        <w:pStyle w:val="ListNumber"/>
        <w:spacing w:after="60"/>
      </w:pPr>
      <w:r>
        <w:t xml:space="preserve"> </w:t>
      </w:r>
      <w:r>
        <w:rPr>
          <w:rFonts w:ascii="Consolas" w:hAnsi="Consolas"/>
          <w:color w:val="C7254E"/>
          <w:sz w:val="19"/>
        </w:rPr>
        <w:t>idx_patient_cases_email</w:t>
      </w:r>
      <w:r>
        <w:t xml:space="preserve"> on </w:t>
      </w:r>
      <w:r>
        <w:rPr>
          <w:rFonts w:ascii="Consolas" w:hAnsi="Consolas"/>
          <w:color w:val="C7254E"/>
          <w:sz w:val="19"/>
        </w:rPr>
        <w:t>patient_cases(patient_email)</w:t>
      </w:r>
      <w:r>
        <w:t>:</w:t>
      </w:r>
    </w:p>
    <w:p>
      <w:pPr>
        <w:pStyle w:val="ListBullet"/>
        <w:spacing w:after="60"/>
      </w:pPr>
      <w:r>
        <w:t xml:space="preserve">  </w:t>
      </w:r>
      <w:r>
        <w:rPr>
          <w:i/>
        </w:rPr>
        <w:t>Purpose</w:t>
      </w:r>
      <w:r>
        <w:t>: Speeds up dashboard retrieval times when querying patient medical histories.</w:t>
      </w:r>
    </w:p>
    <w:p>
      <w:pPr>
        <w:pStyle w:val="ListBullet"/>
        <w:spacing w:after="60"/>
      </w:pPr>
      <w:r>
        <w:t xml:space="preserve">  </w:t>
      </w:r>
      <w:r>
        <w:rPr>
          <w:i/>
        </w:rPr>
        <w:t>Benefit</w:t>
      </w:r>
      <w:r>
        <w:t>: Avoids full table scans (O(N)) during patient queries, translating into sub-millisecond retrieval speeds as patient histories expand.</w:t>
      </w:r>
    </w:p>
    <w:p>
      <w:pPr>
        <w:pStyle w:val="ListNumber"/>
        <w:spacing w:after="60"/>
      </w:pPr>
      <w:r>
        <w:t xml:space="preserve"> </w:t>
      </w:r>
      <w:r>
        <w:rPr>
          <w:rFonts w:ascii="Consolas" w:hAnsi="Consolas"/>
          <w:color w:val="C7254E"/>
          <w:sz w:val="19"/>
        </w:rPr>
        <w:t>idx_medicines_comp1</w:t>
      </w:r>
      <w:r>
        <w:t xml:space="preserve"> on </w:t>
      </w:r>
      <w:r>
        <w:rPr>
          <w:rFonts w:ascii="Consolas" w:hAnsi="Consolas"/>
          <w:color w:val="C7254E"/>
          <w:sz w:val="19"/>
        </w:rPr>
        <w:t>medicines(short_composition1)</w:t>
      </w:r>
      <w:r>
        <w:t>:</w:t>
      </w:r>
    </w:p>
    <w:p>
      <w:pPr>
        <w:pStyle w:val="ListBullet"/>
        <w:spacing w:after="60"/>
      </w:pPr>
      <w:r>
        <w:t xml:space="preserve">  </w:t>
      </w:r>
      <w:r>
        <w:rPr>
          <w:i/>
        </w:rPr>
        <w:t>Purpose</w:t>
      </w:r>
      <w:r>
        <w:t>: Indexes the main chemical ingredient (composition) of commercial medicines.</w:t>
      </w:r>
    </w:p>
    <w:p>
      <w:pPr>
        <w:pStyle w:val="ListBullet"/>
        <w:spacing w:after="60"/>
      </w:pPr>
      <w:r>
        <w:t xml:space="preserve">  </w:t>
      </w:r>
      <w:r>
        <w:rPr>
          <w:i/>
        </w:rPr>
        <w:t>Benefit</w:t>
      </w:r>
      <w:r>
        <w:t>: Accelerates search lookups when matching generic recommended medicines (e.g., Metformin) against commercial brand names.</w:t>
      </w:r>
    </w:p>
    <w:p>
      <w:pPr>
        <w:pStyle w:val="ListNumber"/>
        <w:spacing w:after="60"/>
      </w:pPr>
      <w:r>
        <w:t xml:space="preserve"> </w:t>
      </w:r>
      <w:r>
        <w:rPr>
          <w:rFonts w:ascii="Consolas" w:hAnsi="Consolas"/>
          <w:color w:val="C7254E"/>
          <w:sz w:val="19"/>
        </w:rPr>
        <w:t>idx_medicines_comp2</w:t>
      </w:r>
      <w:r>
        <w:t xml:space="preserve"> on </w:t>
      </w:r>
      <w:r>
        <w:rPr>
          <w:rFonts w:ascii="Consolas" w:hAnsi="Consolas"/>
          <w:color w:val="C7254E"/>
          <w:sz w:val="19"/>
        </w:rPr>
        <w:t>medicines(short_composition2)</w:t>
      </w:r>
      <w:r>
        <w:t>:</w:t>
      </w:r>
    </w:p>
    <w:p>
      <w:pPr>
        <w:pStyle w:val="ListBullet"/>
        <w:spacing w:after="60"/>
      </w:pPr>
      <w:r>
        <w:t xml:space="preserve">  </w:t>
      </w:r>
      <w:r>
        <w:rPr>
          <w:i/>
        </w:rPr>
        <w:t>Purpose</w:t>
      </w:r>
      <w:r>
        <w:t>: Indexes co-formulated active ingredients.</w:t>
      </w:r>
    </w:p>
    <w:p>
      <w:pPr>
        <w:pStyle w:val="ListBullet"/>
        <w:spacing w:after="60"/>
      </w:pPr>
      <w:r>
        <w:t xml:space="preserve">  </w:t>
      </w:r>
      <w:r>
        <w:rPr>
          <w:i/>
        </w:rPr>
        <w:t>Benefit</w:t>
      </w:r>
      <w:r>
        <w:t>: Accelerates query performance when searching for combination therapy brands (e.g., Metformin + Sitagliptin).</w:t>
      </w:r>
    </w:p>
    <w:p>
      <w:pPr>
        <w:spacing w:before="240" w:after="240"/>
        <w:jc w:val="center"/>
      </w:pPr>
      <w:r>
        <w:rPr>
          <w:color w:val="D2D6DB"/>
        </w:rPr>
        <w:t>__________________________________________________________________</w:t>
      </w:r>
    </w:p>
    <w:p>
      <w:pPr>
        <w:pStyle w:val="Heading2"/>
        <w:keepNext/>
        <w:spacing w:before="280" w:after="120"/>
      </w:pPr>
      <w:r>
        <w:t>6. Troubleshooting &amp; Developer Notes</w:t>
      </w:r>
    </w:p>
    <w:p>
      <w:pPr>
        <w:pStyle w:val="Heading3"/>
        <w:keepNext/>
        <w:spacing w:before="200" w:after="80"/>
      </w:pPr>
      <w:r>
        <w:t>Issue A: WatchFiles Reload Storm</w:t>
      </w:r>
    </w:p>
    <w:p>
      <w:pPr>
        <w:pStyle w:val="ListBullet"/>
        <w:spacing w:after="60"/>
      </w:pPr>
      <w:r>
        <w:t xml:space="preserve">  </w:t>
      </w:r>
      <w:r>
        <w:rPr>
          <w:b/>
        </w:rPr>
        <w:t>Symptom</w:t>
      </w:r>
      <w:r>
        <w:t>: Uvicorn endlessly reloaded during startup.</w:t>
      </w:r>
    </w:p>
    <w:p>
      <w:pPr>
        <w:pStyle w:val="ListBullet"/>
        <w:spacing w:after="60"/>
      </w:pPr>
      <w:r>
        <w:t xml:space="preserve">  </w:t>
      </w:r>
      <w:r>
        <w:rPr>
          <w:b/>
        </w:rPr>
        <w:t>Root Cause</w:t>
      </w:r>
      <w:r>
        <w:t xml:space="preserve">: In Windows environments with OneDrive cloud-sync enabled, OneDrive continually updates folder access attributes within </w:t>
      </w:r>
      <w:r>
        <w:rPr>
          <w:rFonts w:ascii="Consolas" w:hAnsi="Consolas"/>
          <w:color w:val="C7254E"/>
          <w:sz w:val="19"/>
        </w:rPr>
        <w:t>.venv</w:t>
      </w:r>
      <w:r>
        <w:t xml:space="preserve"> upon package imports. Uvicorn's default file watcher flags these metadata adjustments as file changes, initiating infinite reloads.</w:t>
      </w:r>
    </w:p>
    <w:p>
      <w:pPr>
        <w:pStyle w:val="ListBullet"/>
        <w:spacing w:after="60"/>
      </w:pPr>
      <w:r>
        <w:t xml:space="preserve">  </w:t>
      </w:r>
      <w:r>
        <w:rPr>
          <w:b/>
        </w:rPr>
        <w:t>Solution</w:t>
      </w:r>
      <w:r>
        <w:t xml:space="preserve">: </w:t>
      </w:r>
      <w:r>
        <w:rPr>
          <w:rFonts w:ascii="Consolas" w:hAnsi="Consolas"/>
          <w:color w:val="C7254E"/>
          <w:sz w:val="19"/>
        </w:rPr>
        <w:t>backend/main.py</w:t>
      </w:r>
      <w:r>
        <w:t xml:space="preserve"> dynamically checks for the presence of </w:t>
      </w:r>
      <w:r>
        <w:rPr>
          <w:rFonts w:ascii="Consolas" w:hAnsi="Consolas"/>
          <w:color w:val="C7254E"/>
          <w:sz w:val="19"/>
        </w:rPr>
        <w:t>.venv</w:t>
      </w:r>
      <w:r>
        <w:t xml:space="preserve"> and adds its absolute path directly to Uvicorn's </w:t>
      </w:r>
      <w:r>
        <w:rPr>
          <w:rFonts w:ascii="Consolas" w:hAnsi="Consolas"/>
          <w:color w:val="C7254E"/>
          <w:sz w:val="19"/>
        </w:rPr>
        <w:t>reload_excludes</w:t>
      </w:r>
      <w:r>
        <w:t xml:space="preserve"> list.</w:t>
      </w:r>
    </w:p>
    <w:p>
      <w:pPr>
        <w:pStyle w:val="Heading3"/>
        <w:keepNext/>
        <w:spacing w:before="200" w:after="80"/>
      </w:pPr>
      <w:r>
        <w:t>Issue B: PowerShell Script Execution Policies</w:t>
      </w:r>
    </w:p>
    <w:p>
      <w:pPr>
        <w:pStyle w:val="ListBullet"/>
        <w:spacing w:after="60"/>
      </w:pPr>
      <w:r>
        <w:t xml:space="preserve">  </w:t>
      </w:r>
      <w:r>
        <w:rPr>
          <w:b/>
        </w:rPr>
        <w:t>Symptom</w:t>
      </w:r>
      <w:r>
        <w:t xml:space="preserve">: Virtualenv scripts like </w:t>
      </w:r>
      <w:r>
        <w:rPr>
          <w:rFonts w:ascii="Consolas" w:hAnsi="Consolas"/>
          <w:color w:val="C7254E"/>
          <w:sz w:val="19"/>
        </w:rPr>
        <w:t>Activate.ps1</w:t>
      </w:r>
      <w:r>
        <w:t xml:space="preserve"> fail to execute.</w:t>
      </w:r>
    </w:p>
    <w:p>
      <w:pPr>
        <w:pStyle w:val="ListBullet"/>
        <w:spacing w:after="60"/>
      </w:pPr>
      <w:r>
        <w:t xml:space="preserve">  </w:t>
      </w:r>
      <w:r>
        <w:rPr>
          <w:b/>
        </w:rPr>
        <w:t>Solution</w:t>
      </w:r>
      <w:r>
        <w:t xml:space="preserve">: Execute python commands directly from the environment using </w:t>
      </w:r>
      <w:r>
        <w:rPr>
          <w:rFonts w:ascii="Consolas" w:hAnsi="Consolas"/>
          <w:color w:val="C7254E"/>
          <w:sz w:val="19"/>
        </w:rPr>
        <w:t>.\.venv\Scripts\python.exe main.py</w:t>
      </w:r>
      <w:r>
        <w:t xml:space="preserve"> rather than activating the shell script, bypassing system policies.</w:t>
      </w:r>
    </w:p>
    <w:p>
      <w:pPr>
        <w:pStyle w:val="Heading3"/>
        <w:keepNext/>
        <w:spacing w:before="200" w:after="80"/>
      </w:pPr>
      <w:r>
        <w:t>Issue C: Duplicate Database Initialization &amp; Deprecation Warnings</w:t>
      </w:r>
    </w:p>
    <w:p>
      <w:pPr>
        <w:pStyle w:val="ListBullet"/>
        <w:spacing w:after="60"/>
      </w:pPr>
      <w:r>
        <w:t xml:space="preserve">  </w:t>
      </w:r>
      <w:r>
        <w:rPr>
          <w:b/>
        </w:rPr>
        <w:t>Symptom</w:t>
      </w:r>
      <w:r>
        <w:t>: Duplicate database operations and deprecated calls during startup.</w:t>
      </w:r>
    </w:p>
    <w:p>
      <w:pPr>
        <w:pStyle w:val="ListBullet"/>
        <w:spacing w:after="60"/>
      </w:pPr>
      <w:r>
        <w:t xml:space="preserve">  </w:t>
      </w:r>
      <w:r>
        <w:rPr>
          <w:b/>
        </w:rPr>
        <w:t>Solution</w:t>
      </w:r>
      <w:r>
        <w:t xml:space="preserve">: Bound database initialization routines to FastAPI's lifespan </w:t>
      </w:r>
      <w:r>
        <w:rPr>
          <w:rFonts w:ascii="Consolas" w:hAnsi="Consolas"/>
          <w:color w:val="C7254E"/>
          <w:sz w:val="19"/>
        </w:rPr>
        <w:t>asynccontextmanager</w:t>
      </w:r>
      <w:r>
        <w:t xml:space="preserve"> in </w:t>
      </w:r>
      <w:r>
        <w:rPr>
          <w:rFonts w:ascii="Consolas" w:hAnsi="Consolas"/>
          <w:color w:val="C7254E"/>
          <w:sz w:val="19"/>
        </w:rPr>
        <w:t>backend/main.py</w:t>
      </w:r>
      <w:r>
        <w:t>, guaranteeing execution exactly once during worker thread launch.</w:t>
      </w:r>
    </w:p>
    <w:p>
      <w:pPr>
        <w:spacing w:before="240" w:after="240"/>
        <w:jc w:val="center"/>
      </w:pPr>
      <w:r>
        <w:rPr>
          <w:color w:val="D2D6DB"/>
        </w:rPr>
        <w:t>__________________________________________________________________</w:t>
      </w:r>
    </w:p>
    <w:p>
      <w:pPr>
        <w:pStyle w:val="Heading2"/>
        <w:keepNext/>
        <w:spacing w:before="280" w:after="120"/>
      </w:pPr>
      <w:r>
        <w:t>7. Startup &amp; Verification Guide</w:t>
      </w:r>
    </w:p>
    <w:p>
      <w:pPr>
        <w:pStyle w:val="Heading3"/>
        <w:keepNext/>
        <w:spacing w:before="200" w:after="80"/>
      </w:pPr>
      <w:r>
        <w:t>7.1 Running the Applications</w:t>
      </w:r>
    </w:p>
    <w:p>
      <w:pPr>
        <w:pStyle w:val="ListNumber"/>
        <w:spacing w:after="60"/>
      </w:pPr>
      <w:r>
        <w:t xml:space="preserve"> </w:t>
      </w:r>
      <w:r>
        <w:rPr>
          <w:b/>
        </w:rPr>
        <w:t>Launch Backend Services</w:t>
      </w:r>
      <w:r>
        <w:t>:</w:t>
      </w:r>
    </w:p>
    <w:p>
      <w:pPr>
        <w:spacing w:before="60" w:after="120"/>
        <w:ind w:left="576"/>
      </w:pPr>
      <w:r>
        <w:rPr>
          <w:rFonts w:ascii="Consolas" w:hAnsi="Consolas"/>
          <w:color w:val="3C3C3C"/>
          <w:sz w:val="18"/>
        </w:rPr>
        <w:t xml:space="preserve">    cd backend</w:t>
        <w:br/>
        <w:t xml:space="preserve">    .\.venv\Scripts\python.exe main.py</w:t>
      </w:r>
    </w:p>
    <w:p>
      <w:pPr>
        <w:pStyle w:val="ListNumber"/>
        <w:spacing w:after="60"/>
      </w:pPr>
      <w:r>
        <w:t xml:space="preserve"> </w:t>
      </w:r>
      <w:r>
        <w:rPr>
          <w:b/>
        </w:rPr>
        <w:t>Launch Frontend Services</w:t>
      </w:r>
      <w:r>
        <w:t>:</w:t>
      </w:r>
    </w:p>
    <w:p>
      <w:pPr>
        <w:spacing w:before="60" w:after="120"/>
        <w:ind w:left="576"/>
      </w:pPr>
      <w:r>
        <w:rPr>
          <w:rFonts w:ascii="Consolas" w:hAnsi="Consolas"/>
          <w:color w:val="3C3C3C"/>
          <w:sz w:val="18"/>
        </w:rPr>
        <w:t xml:space="preserve">    cd frontend</w:t>
        <w:br/>
        <w:t xml:space="preserve">    npm.cmd run dev</w:t>
      </w:r>
    </w:p>
    <w:p>
      <w:pPr>
        <w:spacing w:after="120"/>
      </w:pPr>
      <w:r>
        <w:t xml:space="preserve">Access the application dashboard at </w:t>
      </w:r>
      <w:r>
        <w:rPr>
          <w:rFonts w:ascii="Consolas" w:hAnsi="Consolas"/>
          <w:color w:val="C7254E"/>
          <w:sz w:val="19"/>
        </w:rPr>
        <w:t>http://localhost:5173</w:t>
      </w:r>
      <w:r>
        <w:t>.</w:t>
      </w:r>
    </w:p>
    <w:p>
      <w:pPr>
        <w:pStyle w:val="Heading3"/>
        <w:keepNext/>
        <w:spacing w:before="200" w:after="80"/>
      </w:pPr>
      <w:r>
        <w:t>7.2 Verifying via Automated Test Suites</w:t>
      </w:r>
    </w:p>
    <w:p>
      <w:pPr>
        <w:spacing w:after="120"/>
      </w:pPr>
      <w:r>
        <w:t>Run the pytest test suite in the backend folder to verify registration, logins, roles, and patient data masking:</w:t>
      </w:r>
    </w:p>
    <w:p>
      <w:pPr>
        <w:spacing w:before="60" w:after="120"/>
        <w:ind w:left="576"/>
      </w:pPr>
      <w:r>
        <w:rPr>
          <w:rFonts w:ascii="Consolas" w:hAnsi="Consolas"/>
          <w:color w:val="3C3C3C"/>
          <w:sz w:val="18"/>
        </w:rPr>
        <w:t>.\.venv\Scripts\python.exe -m pytest tests/</w:t>
      </w:r>
    </w:p>
    <w:p>
      <w:pPr>
        <w:spacing w:after="120"/>
      </w:pPr>
      <w:r>
        <w:t>All tests should pass, confirming that RBAC is functioning correctly and data masking is successfully applied to patient roles.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12529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