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77EC" w14:textId="0AE49272" w:rsidR="00E51059" w:rsidRDefault="009763FE" w:rsidP="009763FE">
      <w:pPr>
        <w:jc w:val="center"/>
        <w:rPr>
          <w:b/>
          <w:bCs/>
          <w:sz w:val="48"/>
          <w:szCs w:val="48"/>
        </w:rPr>
      </w:pPr>
      <w:r w:rsidRPr="009763FE">
        <w:rPr>
          <w:b/>
          <w:bCs/>
          <w:sz w:val="48"/>
          <w:szCs w:val="48"/>
        </w:rPr>
        <w:t>PROBLEM STATEMENT</w:t>
      </w:r>
    </w:p>
    <w:p w14:paraId="062E1BF1" w14:textId="77777777" w:rsidR="009763FE" w:rsidRDefault="009763FE" w:rsidP="009763FE">
      <w:pPr>
        <w:rPr>
          <w:b/>
          <w:bCs/>
          <w:sz w:val="48"/>
          <w:szCs w:val="48"/>
        </w:rPr>
      </w:pPr>
    </w:p>
    <w:p w14:paraId="5DE89F42" w14:textId="1DB2B567" w:rsidR="009763FE" w:rsidRDefault="009763FE" w:rsidP="009763FE">
      <w:pPr>
        <w:spacing w:line="360" w:lineRule="auto"/>
        <w:ind w:left="720" w:firstLine="720"/>
        <w:jc w:val="both"/>
        <w:rPr>
          <w:rFonts w:ascii="Calibri" w:hAnsi="Calibri" w:cs="Calibri"/>
          <w:sz w:val="24"/>
          <w:szCs w:val="24"/>
        </w:rPr>
      </w:pPr>
      <w:r w:rsidRPr="009763FE">
        <w:rPr>
          <w:rFonts w:ascii="Calibri" w:hAnsi="Calibri" w:cs="Calibri"/>
          <w:sz w:val="24"/>
          <w:szCs w:val="24"/>
        </w:rPr>
        <w:t>Residential solar micro-grids suffer from acute voltage instability caused by the unpredictable, intermittent nature of solar irradiance, such as sudden cloud cover. During these ambient voltage sags, standard consumer inverters and stabilizers react with primitive, "all-or-nothing" binary protection, shutting down power to an entire household indiscriminately. This triggers avoidable blackouts because heavy, non-essential inductive loads (like air conditioners or refrigerators) remain connected during a dip, drawing massive current spikes that completely crash the localized grid infrastructure. Consequently, a critical engineering gap exists for a low-cost, real-time edge computing solution that can dynamically segment and manage demand—proactively shedding non-essential appliances within milliseconds while continuously powering critical assets—to prevent total grid collapse and achieve net-zero power wastage.</w:t>
      </w:r>
    </w:p>
    <w:p w14:paraId="6335CF78" w14:textId="77777777" w:rsidR="009763FE" w:rsidRDefault="009763FE" w:rsidP="009763FE">
      <w:pPr>
        <w:spacing w:line="360" w:lineRule="auto"/>
        <w:ind w:left="720" w:firstLine="720"/>
        <w:jc w:val="both"/>
        <w:rPr>
          <w:rFonts w:ascii="Calibri" w:hAnsi="Calibri" w:cs="Calibri"/>
          <w:sz w:val="24"/>
          <w:szCs w:val="24"/>
        </w:rPr>
      </w:pPr>
    </w:p>
    <w:p w14:paraId="1C20780C" w14:textId="0D4C62F9" w:rsidR="009763FE" w:rsidRDefault="009763FE" w:rsidP="009763FE">
      <w:pPr>
        <w:pStyle w:val="ListParagraph"/>
        <w:numPr>
          <w:ilvl w:val="0"/>
          <w:numId w:val="1"/>
        </w:numPr>
        <w:spacing w:line="360" w:lineRule="auto"/>
        <w:jc w:val="both"/>
        <w:rPr>
          <w:rFonts w:ascii="Calibri" w:hAnsi="Calibri" w:cs="Calibri"/>
          <w:sz w:val="24"/>
          <w:szCs w:val="24"/>
        </w:rPr>
      </w:pPr>
      <w:r w:rsidRPr="009763FE">
        <w:rPr>
          <w:rFonts w:ascii="Calibri" w:hAnsi="Calibri" w:cs="Calibri"/>
          <w:sz w:val="24"/>
          <w:szCs w:val="24"/>
        </w:rPr>
        <w:t>Solar Power Intermittency</w:t>
      </w:r>
    </w:p>
    <w:p w14:paraId="19CBBB6D" w14:textId="6C97EE82" w:rsidR="009763FE" w:rsidRDefault="009763FE" w:rsidP="009763FE">
      <w:pPr>
        <w:pStyle w:val="ListParagraph"/>
        <w:numPr>
          <w:ilvl w:val="0"/>
          <w:numId w:val="1"/>
        </w:numPr>
        <w:spacing w:line="360" w:lineRule="auto"/>
        <w:jc w:val="both"/>
        <w:rPr>
          <w:rFonts w:ascii="Calibri" w:hAnsi="Calibri" w:cs="Calibri"/>
          <w:sz w:val="24"/>
          <w:szCs w:val="24"/>
        </w:rPr>
      </w:pPr>
      <w:r w:rsidRPr="009763FE">
        <w:rPr>
          <w:rFonts w:ascii="Calibri" w:hAnsi="Calibri" w:cs="Calibri"/>
          <w:sz w:val="24"/>
          <w:szCs w:val="24"/>
        </w:rPr>
        <w:t>Inflexible System Protection</w:t>
      </w:r>
      <w:r>
        <w:rPr>
          <w:rFonts w:ascii="Calibri" w:hAnsi="Calibri" w:cs="Calibri"/>
          <w:sz w:val="24"/>
          <w:szCs w:val="24"/>
        </w:rPr>
        <w:t xml:space="preserve"> </w:t>
      </w:r>
    </w:p>
    <w:p w14:paraId="4312D56C" w14:textId="5DF75A00" w:rsidR="009763FE" w:rsidRDefault="009763FE" w:rsidP="009763FE">
      <w:pPr>
        <w:pStyle w:val="ListParagraph"/>
        <w:numPr>
          <w:ilvl w:val="0"/>
          <w:numId w:val="1"/>
        </w:numPr>
        <w:spacing w:line="360" w:lineRule="auto"/>
        <w:jc w:val="both"/>
        <w:rPr>
          <w:rFonts w:ascii="Calibri" w:hAnsi="Calibri" w:cs="Calibri"/>
          <w:sz w:val="24"/>
          <w:szCs w:val="24"/>
        </w:rPr>
      </w:pPr>
      <w:r w:rsidRPr="009763FE">
        <w:rPr>
          <w:rFonts w:ascii="Calibri" w:hAnsi="Calibri" w:cs="Calibri"/>
          <w:sz w:val="24"/>
          <w:szCs w:val="24"/>
        </w:rPr>
        <w:t>Grid Cascading Collapses</w:t>
      </w:r>
    </w:p>
    <w:p w14:paraId="093F21EF" w14:textId="08B294AC" w:rsidR="009763FE" w:rsidRDefault="009763FE" w:rsidP="009763FE">
      <w:pPr>
        <w:pStyle w:val="ListParagraph"/>
        <w:numPr>
          <w:ilvl w:val="0"/>
          <w:numId w:val="1"/>
        </w:numPr>
        <w:spacing w:line="360" w:lineRule="auto"/>
        <w:jc w:val="both"/>
        <w:rPr>
          <w:rFonts w:ascii="Calibri" w:hAnsi="Calibri" w:cs="Calibri"/>
          <w:sz w:val="24"/>
          <w:szCs w:val="24"/>
        </w:rPr>
      </w:pPr>
      <w:r w:rsidRPr="009763FE">
        <w:rPr>
          <w:rFonts w:ascii="Calibri" w:hAnsi="Calibri" w:cs="Calibri"/>
          <w:sz w:val="24"/>
          <w:szCs w:val="24"/>
        </w:rPr>
        <w:t>Lack of Intelligent Load Prioritization</w:t>
      </w:r>
    </w:p>
    <w:p w14:paraId="4590E67A" w14:textId="77777777" w:rsidR="009763FE" w:rsidRDefault="009763FE" w:rsidP="009763FE">
      <w:pPr>
        <w:spacing w:line="360" w:lineRule="auto"/>
        <w:jc w:val="both"/>
        <w:rPr>
          <w:rFonts w:ascii="Calibri" w:hAnsi="Calibri" w:cs="Calibri"/>
          <w:sz w:val="24"/>
          <w:szCs w:val="24"/>
        </w:rPr>
      </w:pPr>
    </w:p>
    <w:p w14:paraId="3C94A0EE" w14:textId="77777777" w:rsidR="009763FE" w:rsidRDefault="009763FE" w:rsidP="009763FE">
      <w:pPr>
        <w:spacing w:line="360" w:lineRule="auto"/>
        <w:jc w:val="both"/>
        <w:rPr>
          <w:rFonts w:ascii="Calibri" w:hAnsi="Calibri" w:cs="Calibri"/>
          <w:sz w:val="24"/>
          <w:szCs w:val="24"/>
        </w:rPr>
      </w:pPr>
    </w:p>
    <w:p w14:paraId="5BD6DBFC" w14:textId="77777777" w:rsidR="009763FE" w:rsidRDefault="009763FE" w:rsidP="009763FE">
      <w:pPr>
        <w:spacing w:line="360" w:lineRule="auto"/>
        <w:jc w:val="both"/>
        <w:rPr>
          <w:rFonts w:ascii="Calibri" w:hAnsi="Calibri" w:cs="Calibri"/>
          <w:sz w:val="24"/>
          <w:szCs w:val="24"/>
        </w:rPr>
      </w:pPr>
    </w:p>
    <w:p w14:paraId="23F937ED" w14:textId="77777777" w:rsidR="009763FE" w:rsidRDefault="009763FE" w:rsidP="009763FE">
      <w:pPr>
        <w:spacing w:line="360" w:lineRule="auto"/>
        <w:jc w:val="both"/>
        <w:rPr>
          <w:rFonts w:ascii="Calibri" w:hAnsi="Calibri" w:cs="Calibri"/>
          <w:sz w:val="24"/>
          <w:szCs w:val="24"/>
        </w:rPr>
      </w:pPr>
    </w:p>
    <w:p w14:paraId="6D005611" w14:textId="77777777" w:rsidR="009763FE" w:rsidRDefault="009763FE" w:rsidP="009763FE">
      <w:pPr>
        <w:spacing w:line="360" w:lineRule="auto"/>
        <w:jc w:val="both"/>
        <w:rPr>
          <w:rFonts w:ascii="Calibri" w:hAnsi="Calibri" w:cs="Calibri"/>
          <w:sz w:val="24"/>
          <w:szCs w:val="24"/>
        </w:rPr>
      </w:pPr>
    </w:p>
    <w:p w14:paraId="3B06171C" w14:textId="77777777" w:rsidR="009763FE" w:rsidRDefault="009763FE" w:rsidP="009763FE">
      <w:pPr>
        <w:spacing w:line="360" w:lineRule="auto"/>
        <w:jc w:val="both"/>
        <w:rPr>
          <w:rFonts w:ascii="Calibri" w:hAnsi="Calibri" w:cs="Calibri"/>
          <w:sz w:val="24"/>
          <w:szCs w:val="24"/>
        </w:rPr>
      </w:pPr>
    </w:p>
    <w:p w14:paraId="0CA849AD" w14:textId="77777777" w:rsidR="009763FE" w:rsidRDefault="009763FE" w:rsidP="009763FE">
      <w:pPr>
        <w:spacing w:line="360" w:lineRule="auto"/>
        <w:jc w:val="both"/>
        <w:rPr>
          <w:rFonts w:ascii="Calibri" w:hAnsi="Calibri" w:cs="Calibri"/>
          <w:sz w:val="24"/>
          <w:szCs w:val="24"/>
        </w:rPr>
      </w:pPr>
    </w:p>
    <w:p w14:paraId="57EABE34" w14:textId="0175F466" w:rsidR="009763FE" w:rsidRPr="009763FE" w:rsidRDefault="009763FE" w:rsidP="009763FE">
      <w:pPr>
        <w:spacing w:line="360" w:lineRule="auto"/>
        <w:jc w:val="center"/>
        <w:rPr>
          <w:rFonts w:ascii="Calibri" w:hAnsi="Calibri" w:cs="Calibri"/>
          <w:b/>
          <w:bCs/>
          <w:sz w:val="56"/>
          <w:szCs w:val="56"/>
        </w:rPr>
      </w:pPr>
      <w:r w:rsidRPr="009763FE">
        <w:rPr>
          <w:rFonts w:ascii="Calibri" w:hAnsi="Calibri" w:cs="Calibri"/>
          <w:b/>
          <w:bCs/>
          <w:sz w:val="56"/>
          <w:szCs w:val="56"/>
        </w:rPr>
        <w:lastRenderedPageBreak/>
        <w:t>PROJECT TITLE</w:t>
      </w:r>
    </w:p>
    <w:p w14:paraId="6E1E0C42" w14:textId="77777777" w:rsidR="009763FE" w:rsidRDefault="009763FE" w:rsidP="009763FE">
      <w:pPr>
        <w:spacing w:line="360" w:lineRule="auto"/>
        <w:jc w:val="center"/>
        <w:rPr>
          <w:rFonts w:ascii="Calibri" w:hAnsi="Calibri" w:cs="Calibri"/>
          <w:b/>
          <w:bCs/>
          <w:sz w:val="44"/>
          <w:szCs w:val="44"/>
        </w:rPr>
      </w:pPr>
    </w:p>
    <w:p w14:paraId="6D239F52" w14:textId="77777777" w:rsidR="009763FE" w:rsidRDefault="009763FE" w:rsidP="009763FE">
      <w:pPr>
        <w:spacing w:line="360" w:lineRule="auto"/>
        <w:jc w:val="center"/>
        <w:rPr>
          <w:rFonts w:ascii="Calibri" w:hAnsi="Calibri" w:cs="Calibri"/>
          <w:b/>
          <w:bCs/>
          <w:sz w:val="44"/>
          <w:szCs w:val="44"/>
        </w:rPr>
      </w:pPr>
    </w:p>
    <w:p w14:paraId="72053C4E" w14:textId="2DBC6B5F" w:rsidR="009763FE" w:rsidRPr="009763FE" w:rsidRDefault="009763FE" w:rsidP="009763FE">
      <w:pPr>
        <w:spacing w:line="360" w:lineRule="auto"/>
        <w:jc w:val="center"/>
        <w:rPr>
          <w:rFonts w:ascii="Calibri" w:hAnsi="Calibri" w:cs="Calibri"/>
          <w:b/>
          <w:bCs/>
          <w:sz w:val="44"/>
          <w:szCs w:val="44"/>
        </w:rPr>
      </w:pPr>
      <w:r w:rsidRPr="009763FE">
        <w:rPr>
          <w:rFonts w:ascii="Calibri" w:hAnsi="Calibri" w:cs="Calibri"/>
          <w:b/>
          <w:bCs/>
          <w:sz w:val="44"/>
          <w:szCs w:val="44"/>
        </w:rPr>
        <w:t>SMART IOT-BASED DEMAND-SIDE LOAD MANAGEMENT AND VOLTAGE STABILIZER FOR SOLAR-POWERED MICRO-GRIDS</w:t>
      </w:r>
    </w:p>
    <w:p w14:paraId="2D193623" w14:textId="77777777" w:rsidR="009763FE" w:rsidRDefault="009763FE" w:rsidP="009763FE">
      <w:pPr>
        <w:spacing w:line="360" w:lineRule="auto"/>
        <w:ind w:left="720" w:firstLine="720"/>
        <w:jc w:val="both"/>
        <w:rPr>
          <w:rFonts w:ascii="Calibri" w:hAnsi="Calibri" w:cs="Calibri"/>
          <w:sz w:val="24"/>
          <w:szCs w:val="24"/>
        </w:rPr>
      </w:pPr>
    </w:p>
    <w:p w14:paraId="7094EFC1" w14:textId="77777777" w:rsidR="009763FE" w:rsidRDefault="009763FE" w:rsidP="009763FE">
      <w:pPr>
        <w:spacing w:line="360" w:lineRule="auto"/>
        <w:ind w:left="720" w:firstLine="720"/>
        <w:jc w:val="both"/>
        <w:rPr>
          <w:rFonts w:ascii="Calibri" w:hAnsi="Calibri" w:cs="Calibri"/>
          <w:sz w:val="24"/>
          <w:szCs w:val="24"/>
        </w:rPr>
      </w:pPr>
    </w:p>
    <w:p w14:paraId="086F95A8" w14:textId="77777777" w:rsidR="009763FE" w:rsidRDefault="009763FE" w:rsidP="009763FE">
      <w:pPr>
        <w:spacing w:line="360" w:lineRule="auto"/>
        <w:ind w:left="720" w:firstLine="720"/>
        <w:jc w:val="both"/>
        <w:rPr>
          <w:rFonts w:ascii="Calibri" w:hAnsi="Calibri" w:cs="Calibri"/>
          <w:sz w:val="24"/>
          <w:szCs w:val="24"/>
        </w:rPr>
      </w:pPr>
    </w:p>
    <w:p w14:paraId="40EDFED9" w14:textId="77777777" w:rsidR="009763FE" w:rsidRDefault="009763FE" w:rsidP="009763FE">
      <w:pPr>
        <w:spacing w:line="360" w:lineRule="auto"/>
        <w:ind w:left="720" w:firstLine="720"/>
        <w:jc w:val="both"/>
        <w:rPr>
          <w:rFonts w:ascii="Calibri" w:hAnsi="Calibri" w:cs="Calibri"/>
          <w:sz w:val="24"/>
          <w:szCs w:val="24"/>
        </w:rPr>
      </w:pPr>
    </w:p>
    <w:p w14:paraId="6A37124A" w14:textId="77777777" w:rsidR="009763FE" w:rsidRDefault="009763FE" w:rsidP="009763FE">
      <w:pPr>
        <w:spacing w:line="360" w:lineRule="auto"/>
        <w:ind w:left="720" w:firstLine="720"/>
        <w:jc w:val="both"/>
        <w:rPr>
          <w:rFonts w:ascii="Calibri" w:hAnsi="Calibri" w:cs="Calibri"/>
          <w:sz w:val="24"/>
          <w:szCs w:val="24"/>
        </w:rPr>
      </w:pPr>
    </w:p>
    <w:p w14:paraId="7EE77B82" w14:textId="77777777" w:rsidR="009763FE" w:rsidRDefault="009763FE" w:rsidP="009763FE">
      <w:pPr>
        <w:spacing w:line="360" w:lineRule="auto"/>
        <w:ind w:left="720" w:firstLine="720"/>
        <w:jc w:val="both"/>
        <w:rPr>
          <w:rFonts w:ascii="Calibri" w:hAnsi="Calibri" w:cs="Calibri"/>
          <w:sz w:val="24"/>
          <w:szCs w:val="24"/>
        </w:rPr>
      </w:pPr>
    </w:p>
    <w:p w14:paraId="184CFD9B" w14:textId="77777777" w:rsidR="009763FE" w:rsidRDefault="009763FE" w:rsidP="009763FE">
      <w:pPr>
        <w:spacing w:line="360" w:lineRule="auto"/>
        <w:ind w:left="720" w:firstLine="720"/>
        <w:jc w:val="both"/>
        <w:rPr>
          <w:rFonts w:ascii="Calibri" w:hAnsi="Calibri" w:cs="Calibri"/>
          <w:sz w:val="24"/>
          <w:szCs w:val="24"/>
        </w:rPr>
      </w:pPr>
    </w:p>
    <w:p w14:paraId="7B624606" w14:textId="77777777" w:rsidR="009763FE" w:rsidRDefault="009763FE" w:rsidP="009763FE">
      <w:pPr>
        <w:spacing w:line="360" w:lineRule="auto"/>
        <w:ind w:left="720" w:firstLine="720"/>
        <w:jc w:val="both"/>
        <w:rPr>
          <w:rFonts w:ascii="Calibri" w:hAnsi="Calibri" w:cs="Calibri"/>
          <w:sz w:val="24"/>
          <w:szCs w:val="24"/>
        </w:rPr>
      </w:pPr>
    </w:p>
    <w:p w14:paraId="25EF731D" w14:textId="77777777" w:rsidR="009763FE" w:rsidRDefault="009763FE" w:rsidP="009763FE">
      <w:pPr>
        <w:spacing w:line="360" w:lineRule="auto"/>
        <w:ind w:left="720" w:firstLine="720"/>
        <w:jc w:val="both"/>
        <w:rPr>
          <w:rFonts w:ascii="Calibri" w:hAnsi="Calibri" w:cs="Calibri"/>
          <w:sz w:val="24"/>
          <w:szCs w:val="24"/>
        </w:rPr>
      </w:pPr>
    </w:p>
    <w:p w14:paraId="58B4EBD1" w14:textId="77777777" w:rsidR="009763FE" w:rsidRDefault="009763FE" w:rsidP="009763FE">
      <w:pPr>
        <w:spacing w:line="360" w:lineRule="auto"/>
        <w:ind w:left="720" w:firstLine="720"/>
        <w:jc w:val="both"/>
        <w:rPr>
          <w:rFonts w:ascii="Calibri" w:hAnsi="Calibri" w:cs="Calibri"/>
          <w:sz w:val="24"/>
          <w:szCs w:val="24"/>
        </w:rPr>
      </w:pPr>
    </w:p>
    <w:p w14:paraId="17C3F49E" w14:textId="77777777" w:rsidR="009763FE" w:rsidRDefault="009763FE" w:rsidP="009763FE">
      <w:pPr>
        <w:spacing w:line="360" w:lineRule="auto"/>
        <w:ind w:left="720" w:firstLine="720"/>
        <w:jc w:val="both"/>
        <w:rPr>
          <w:rFonts w:ascii="Calibri" w:hAnsi="Calibri" w:cs="Calibri"/>
          <w:sz w:val="24"/>
          <w:szCs w:val="24"/>
        </w:rPr>
      </w:pPr>
    </w:p>
    <w:p w14:paraId="3CC960E0" w14:textId="77777777" w:rsidR="009763FE" w:rsidRDefault="009763FE" w:rsidP="009763FE">
      <w:pPr>
        <w:spacing w:line="360" w:lineRule="auto"/>
        <w:ind w:left="720" w:firstLine="720"/>
        <w:jc w:val="both"/>
        <w:rPr>
          <w:rFonts w:ascii="Calibri" w:hAnsi="Calibri" w:cs="Calibri"/>
          <w:sz w:val="24"/>
          <w:szCs w:val="24"/>
        </w:rPr>
      </w:pPr>
    </w:p>
    <w:p w14:paraId="65B08490" w14:textId="77777777" w:rsidR="009763FE" w:rsidRDefault="009763FE" w:rsidP="009763FE">
      <w:pPr>
        <w:spacing w:line="360" w:lineRule="auto"/>
        <w:ind w:left="720" w:firstLine="720"/>
        <w:jc w:val="both"/>
        <w:rPr>
          <w:rFonts w:ascii="Calibri" w:hAnsi="Calibri" w:cs="Calibri"/>
          <w:sz w:val="24"/>
          <w:szCs w:val="24"/>
        </w:rPr>
      </w:pPr>
    </w:p>
    <w:p w14:paraId="3B751B7E" w14:textId="77777777" w:rsidR="009763FE" w:rsidRDefault="009763FE" w:rsidP="009763FE">
      <w:pPr>
        <w:spacing w:line="360" w:lineRule="auto"/>
        <w:ind w:left="720" w:firstLine="720"/>
        <w:jc w:val="both"/>
        <w:rPr>
          <w:rFonts w:ascii="Calibri" w:hAnsi="Calibri" w:cs="Calibri"/>
          <w:sz w:val="24"/>
          <w:szCs w:val="24"/>
        </w:rPr>
      </w:pPr>
    </w:p>
    <w:p w14:paraId="2A4E57D4" w14:textId="328F076A" w:rsidR="009763FE" w:rsidRDefault="009763FE" w:rsidP="009763FE">
      <w:pPr>
        <w:spacing w:line="360" w:lineRule="auto"/>
        <w:ind w:left="2880"/>
        <w:rPr>
          <w:rFonts w:ascii="Calibri" w:hAnsi="Calibri" w:cs="Calibri"/>
          <w:b/>
          <w:bCs/>
          <w:sz w:val="56"/>
          <w:szCs w:val="56"/>
        </w:rPr>
      </w:pPr>
      <w:r w:rsidRPr="009763FE">
        <w:rPr>
          <w:rFonts w:ascii="Calibri" w:hAnsi="Calibri" w:cs="Calibri"/>
          <w:b/>
          <w:bCs/>
          <w:sz w:val="56"/>
          <w:szCs w:val="56"/>
        </w:rPr>
        <w:lastRenderedPageBreak/>
        <w:t>ABSTRACT</w:t>
      </w:r>
    </w:p>
    <w:p w14:paraId="3CFDE697" w14:textId="77777777" w:rsidR="009763FE" w:rsidRDefault="009763FE" w:rsidP="009763FE">
      <w:pPr>
        <w:spacing w:line="360" w:lineRule="auto"/>
        <w:ind w:left="2880"/>
        <w:rPr>
          <w:rFonts w:ascii="Calibri" w:hAnsi="Calibri" w:cs="Calibri"/>
          <w:b/>
          <w:bCs/>
          <w:sz w:val="56"/>
          <w:szCs w:val="56"/>
        </w:rPr>
      </w:pPr>
    </w:p>
    <w:p w14:paraId="29713BCE" w14:textId="33864CF6" w:rsidR="009763FE" w:rsidRDefault="009763FE" w:rsidP="009763FE">
      <w:pPr>
        <w:spacing w:line="360" w:lineRule="auto"/>
        <w:jc w:val="both"/>
        <w:rPr>
          <w:rFonts w:ascii="Calibri" w:hAnsi="Calibri" w:cs="Calibri"/>
        </w:rPr>
      </w:pPr>
      <w:r w:rsidRPr="009763FE">
        <w:rPr>
          <w:rFonts w:ascii="Calibri" w:hAnsi="Calibri" w:cs="Calibri"/>
        </w:rPr>
        <w:t>Residential solar micro-grids suffer from acute voltage instability caused by the unpredictable, intermittent nature of solar irradiance, such as sudden cloud cover. During these ambient voltage sags, standard consumer inverters and stabilizers react with primitive, "all-or-nothing" binary protection, shutting down power to an entire household indiscriminately. This triggers avoidable blackouts because heavy, non-essential inductive loads (like air conditioners or refrigerators) remain connected during a dip, drawing massive current spikes that completely crash the localized grid infrastructure. Consequently, a critical engineering gap exists for a low-cost, real-time edge computing solution that can dynamically segment and manage demand—proactively shedding non-essential appliances within milliseconds while continuously powering critical assets—to prevent total grid collapse and achieve net-zero power wastage.</w:t>
      </w:r>
    </w:p>
    <w:p w14:paraId="47D1A8F1" w14:textId="77777777" w:rsidR="009763FE" w:rsidRDefault="009763FE" w:rsidP="009763FE">
      <w:pPr>
        <w:spacing w:line="360" w:lineRule="auto"/>
        <w:jc w:val="both"/>
        <w:rPr>
          <w:rFonts w:ascii="Calibri" w:hAnsi="Calibri" w:cs="Calibri"/>
        </w:rPr>
      </w:pPr>
    </w:p>
    <w:p w14:paraId="4365A5D2" w14:textId="77777777" w:rsidR="009763FE" w:rsidRDefault="009763FE" w:rsidP="009763FE">
      <w:pPr>
        <w:spacing w:line="360" w:lineRule="auto"/>
        <w:jc w:val="both"/>
        <w:rPr>
          <w:rFonts w:ascii="Calibri" w:hAnsi="Calibri" w:cs="Calibri"/>
        </w:rPr>
      </w:pPr>
    </w:p>
    <w:p w14:paraId="2097E7E9" w14:textId="77777777" w:rsidR="009763FE" w:rsidRDefault="009763FE" w:rsidP="009763FE">
      <w:pPr>
        <w:spacing w:line="360" w:lineRule="auto"/>
        <w:jc w:val="both"/>
        <w:rPr>
          <w:rFonts w:ascii="Calibri" w:hAnsi="Calibri" w:cs="Calibri"/>
        </w:rPr>
      </w:pPr>
    </w:p>
    <w:p w14:paraId="24FFC0A6" w14:textId="77777777" w:rsidR="009763FE" w:rsidRDefault="009763FE" w:rsidP="009763FE">
      <w:pPr>
        <w:spacing w:line="360" w:lineRule="auto"/>
        <w:jc w:val="both"/>
        <w:rPr>
          <w:rFonts w:ascii="Calibri" w:hAnsi="Calibri" w:cs="Calibri"/>
        </w:rPr>
      </w:pPr>
    </w:p>
    <w:p w14:paraId="2B0E1BDD" w14:textId="77777777" w:rsidR="009763FE" w:rsidRDefault="009763FE" w:rsidP="009763FE">
      <w:pPr>
        <w:spacing w:line="360" w:lineRule="auto"/>
        <w:jc w:val="both"/>
        <w:rPr>
          <w:rFonts w:ascii="Calibri" w:hAnsi="Calibri" w:cs="Calibri"/>
        </w:rPr>
      </w:pPr>
    </w:p>
    <w:p w14:paraId="25BD372C" w14:textId="77777777" w:rsidR="009763FE" w:rsidRDefault="009763FE" w:rsidP="009763FE">
      <w:pPr>
        <w:spacing w:line="360" w:lineRule="auto"/>
        <w:jc w:val="both"/>
        <w:rPr>
          <w:rFonts w:ascii="Calibri" w:hAnsi="Calibri" w:cs="Calibri"/>
        </w:rPr>
      </w:pPr>
    </w:p>
    <w:p w14:paraId="2B56C411" w14:textId="77777777" w:rsidR="009763FE" w:rsidRDefault="009763FE" w:rsidP="009763FE">
      <w:pPr>
        <w:spacing w:line="360" w:lineRule="auto"/>
        <w:jc w:val="both"/>
        <w:rPr>
          <w:rFonts w:ascii="Calibri" w:hAnsi="Calibri" w:cs="Calibri"/>
        </w:rPr>
      </w:pPr>
    </w:p>
    <w:p w14:paraId="06842C55" w14:textId="77777777" w:rsidR="009763FE" w:rsidRDefault="009763FE" w:rsidP="009763FE">
      <w:pPr>
        <w:spacing w:line="360" w:lineRule="auto"/>
        <w:jc w:val="both"/>
        <w:rPr>
          <w:rFonts w:ascii="Calibri" w:hAnsi="Calibri" w:cs="Calibri"/>
        </w:rPr>
      </w:pPr>
    </w:p>
    <w:p w14:paraId="415D03AB" w14:textId="77777777" w:rsidR="009763FE" w:rsidRDefault="009763FE" w:rsidP="009763FE">
      <w:pPr>
        <w:spacing w:line="360" w:lineRule="auto"/>
        <w:jc w:val="both"/>
        <w:rPr>
          <w:rFonts w:ascii="Calibri" w:hAnsi="Calibri" w:cs="Calibri"/>
        </w:rPr>
      </w:pPr>
    </w:p>
    <w:p w14:paraId="692C15DB" w14:textId="77777777" w:rsidR="009763FE" w:rsidRDefault="009763FE" w:rsidP="009763FE">
      <w:pPr>
        <w:spacing w:line="360" w:lineRule="auto"/>
        <w:jc w:val="both"/>
        <w:rPr>
          <w:rFonts w:ascii="Calibri" w:hAnsi="Calibri" w:cs="Calibri"/>
        </w:rPr>
      </w:pPr>
    </w:p>
    <w:p w14:paraId="0E467ECE" w14:textId="77777777" w:rsidR="009763FE" w:rsidRDefault="009763FE" w:rsidP="009763FE">
      <w:pPr>
        <w:spacing w:line="360" w:lineRule="auto"/>
        <w:jc w:val="both"/>
        <w:rPr>
          <w:rFonts w:ascii="Calibri" w:hAnsi="Calibri" w:cs="Calibri"/>
        </w:rPr>
      </w:pPr>
    </w:p>
    <w:p w14:paraId="34A15F1B" w14:textId="77777777" w:rsidR="009763FE" w:rsidRDefault="009763FE" w:rsidP="009763FE">
      <w:pPr>
        <w:spacing w:line="360" w:lineRule="auto"/>
        <w:jc w:val="both"/>
        <w:rPr>
          <w:rFonts w:ascii="Calibri" w:hAnsi="Calibri" w:cs="Calibri"/>
        </w:rPr>
      </w:pPr>
    </w:p>
    <w:p w14:paraId="471AF120" w14:textId="77777777" w:rsidR="009763FE" w:rsidRDefault="009763FE" w:rsidP="009763FE">
      <w:pPr>
        <w:spacing w:line="360" w:lineRule="auto"/>
        <w:jc w:val="both"/>
        <w:rPr>
          <w:rFonts w:ascii="Calibri" w:hAnsi="Calibri" w:cs="Calibri"/>
        </w:rPr>
      </w:pPr>
    </w:p>
    <w:p w14:paraId="633295F8" w14:textId="77777777" w:rsidR="009763FE" w:rsidRDefault="009763FE" w:rsidP="009763FE">
      <w:pPr>
        <w:spacing w:after="80"/>
        <w:jc w:val="center"/>
      </w:pPr>
      <w:r>
        <w:rPr>
          <w:rFonts w:ascii="Arial" w:hAnsi="Arial"/>
          <w:b/>
          <w:color w:val="0F172A"/>
          <w:sz w:val="48"/>
        </w:rPr>
        <w:lastRenderedPageBreak/>
        <w:t>TECHNICAL STACK SPECIFICATION</w:t>
      </w:r>
    </w:p>
    <w:p w14:paraId="508E0A8D" w14:textId="77777777" w:rsidR="009763FE" w:rsidRDefault="009763FE" w:rsidP="009763FE">
      <w:pPr>
        <w:keepNext/>
        <w:spacing w:before="360" w:after="120"/>
      </w:pPr>
      <w:r>
        <w:rPr>
          <w:rFonts w:ascii="Arial" w:hAnsi="Arial"/>
          <w:b/>
          <w:color w:val="0F172A"/>
          <w:sz w:val="32"/>
        </w:rPr>
        <w:t>1. Hardware Architecture &amp; Edge Infrastructure</w:t>
      </w:r>
    </w:p>
    <w:p w14:paraId="7437A9F2" w14:textId="77777777" w:rsidR="009763FE" w:rsidRDefault="009763FE" w:rsidP="009763FE">
      <w:pPr>
        <w:spacing w:after="120"/>
      </w:pPr>
      <w:r>
        <w:rPr>
          <w:rFonts w:ascii="Arial" w:hAnsi="Arial"/>
          <w:b/>
          <w:color w:val="1E293B"/>
        </w:rPr>
        <w:t xml:space="preserve">Overview: </w:t>
      </w:r>
      <w:r>
        <w:rPr>
          <w:rFonts w:ascii="Arial" w:hAnsi="Arial"/>
          <w:color w:val="1E293B"/>
        </w:rPr>
        <w:t>The hardware infrastructure is structured to provide resilient, low-latency data acquisition, safe electrical isolation, and localized real-time edge processing.</w:t>
      </w:r>
    </w:p>
    <w:p w14:paraId="167FAA3E" w14:textId="77777777" w:rsidR="009763FE" w:rsidRDefault="009763FE" w:rsidP="009763FE">
      <w:pPr>
        <w:pStyle w:val="ListBullet"/>
        <w:tabs>
          <w:tab w:val="num" w:pos="360"/>
        </w:tabs>
        <w:spacing w:after="120"/>
        <w:ind w:left="360" w:hanging="360"/>
      </w:pPr>
      <w:r>
        <w:rPr>
          <w:rFonts w:ascii="Arial" w:hAnsi="Arial"/>
          <w:b/>
          <w:color w:val="1E293B"/>
        </w:rPr>
        <w:t xml:space="preserve">• ESP32 WROOM-32 Development Board: </w:t>
      </w:r>
      <w:r>
        <w:rPr>
          <w:rFonts w:ascii="Arial" w:hAnsi="Arial"/>
          <w:color w:val="1E293B"/>
        </w:rPr>
        <w:t>Serves as the core processing engine. Features a 32-bit dual-core Xtensa LX6 microprocessor operating at 240 MHz. Selected for its native Wi-Fi/Bluetooth stacks, precise multi-channel Analog-to-Digital Converters (ADCs), and sufficient GPIO footprint to execute millisecond-level local priority logic without relying on cloud computation.</w:t>
      </w:r>
    </w:p>
    <w:p w14:paraId="3AB2D3C8" w14:textId="77777777" w:rsidR="009763FE" w:rsidRDefault="009763FE" w:rsidP="009763FE">
      <w:pPr>
        <w:pStyle w:val="ListBullet"/>
        <w:tabs>
          <w:tab w:val="num" w:pos="360"/>
        </w:tabs>
        <w:spacing w:after="120"/>
        <w:ind w:left="360" w:hanging="360"/>
      </w:pPr>
      <w:r>
        <w:rPr>
          <w:rFonts w:ascii="Arial" w:hAnsi="Arial"/>
          <w:b/>
          <w:color w:val="1E293B"/>
        </w:rPr>
        <w:t xml:space="preserve">• ZMPT101B AC Voltage Sensor: </w:t>
      </w:r>
      <w:r>
        <w:rPr>
          <w:rFonts w:ascii="Arial" w:hAnsi="Arial"/>
          <w:color w:val="1E293B"/>
        </w:rPr>
        <w:t>An active single-phase AC voltage transformer module. It performs precise step-down voltage scaling combined with an onboard operational amplifier circuit, delivering an isolated, calibrated low-voltage analog signal directly to the ESP32 ADC for transient voltage sag detection.</w:t>
      </w:r>
    </w:p>
    <w:p w14:paraId="79736F87" w14:textId="77777777" w:rsidR="009763FE" w:rsidRDefault="009763FE" w:rsidP="009763FE">
      <w:pPr>
        <w:pStyle w:val="ListBullet"/>
        <w:tabs>
          <w:tab w:val="num" w:pos="360"/>
        </w:tabs>
        <w:spacing w:after="120"/>
        <w:ind w:left="360" w:hanging="360"/>
      </w:pPr>
      <w:r>
        <w:rPr>
          <w:rFonts w:ascii="Arial" w:hAnsi="Arial"/>
          <w:b/>
          <w:color w:val="1E293B"/>
        </w:rPr>
        <w:t xml:space="preserve">• ACS712 Current Sensor (Low-Invasive): </w:t>
      </w:r>
      <w:r>
        <w:rPr>
          <w:rFonts w:ascii="Arial" w:hAnsi="Arial"/>
          <w:color w:val="1E293B"/>
        </w:rPr>
        <w:t>A Hall-effect based linear current sensor module. Provides precise current path telemetry, outputting an analog voltage proportional to the sampled AC current. This allows the edge algorithm to compute the aggregate active power consumption of active household appliances.</w:t>
      </w:r>
    </w:p>
    <w:p w14:paraId="5C8A8002" w14:textId="77777777" w:rsidR="009763FE" w:rsidRDefault="009763FE" w:rsidP="009763FE">
      <w:pPr>
        <w:pStyle w:val="ListBullet"/>
        <w:tabs>
          <w:tab w:val="num" w:pos="360"/>
        </w:tabs>
        <w:spacing w:after="120"/>
        <w:ind w:left="360" w:hanging="360"/>
      </w:pPr>
      <w:r>
        <w:rPr>
          <w:rFonts w:ascii="Arial" w:hAnsi="Arial"/>
          <w:b/>
          <w:color w:val="1E293B"/>
        </w:rPr>
        <w:t xml:space="preserve">• 4-Channel Opto-Isolated Relay Module: </w:t>
      </w:r>
      <w:r>
        <w:rPr>
          <w:rFonts w:ascii="Arial" w:hAnsi="Arial"/>
          <w:color w:val="1E293B"/>
        </w:rPr>
        <w:t>A 5V opto-isolated relay assembly acting as the physical actuator network. Isolates the low-voltage DC microcontroller logic from the high-voltage 230V AC home appliance power grid. Configured to systematically decouple designated non-essential loads based on logic states.</w:t>
      </w:r>
    </w:p>
    <w:p w14:paraId="485DB135" w14:textId="77777777" w:rsidR="009763FE" w:rsidRDefault="009763FE" w:rsidP="009763FE">
      <w:pPr>
        <w:pStyle w:val="ListBullet"/>
        <w:tabs>
          <w:tab w:val="num" w:pos="360"/>
        </w:tabs>
        <w:spacing w:after="120"/>
        <w:ind w:left="360" w:hanging="360"/>
      </w:pPr>
      <w:r>
        <w:rPr>
          <w:rFonts w:ascii="Arial" w:hAnsi="Arial"/>
          <w:b/>
          <w:color w:val="1E293B"/>
        </w:rPr>
        <w:t xml:space="preserve">• Hardware-Level Schmitt Trigger (Hysteresis Guard): </w:t>
      </w:r>
      <w:r>
        <w:rPr>
          <w:rFonts w:ascii="Arial" w:hAnsi="Arial"/>
          <w:color w:val="1E293B"/>
        </w:rPr>
        <w:t>An operational-amplifier or NE555-based custom analog circuit designed to introduce hardware-level hysteresis. It establishes distinct high and low switching boundaries, completely eliminating rapid relay toggling (chattering) when the micro-grid voltage hovers directly on the software threshold boundary.</w:t>
      </w:r>
    </w:p>
    <w:p w14:paraId="4D6407FC" w14:textId="77777777" w:rsidR="009763FE" w:rsidRDefault="009763FE" w:rsidP="009763FE">
      <w:pPr>
        <w:keepNext/>
        <w:spacing w:before="360" w:after="120"/>
      </w:pPr>
      <w:r>
        <w:rPr>
          <w:rFonts w:ascii="Arial" w:hAnsi="Arial"/>
          <w:b/>
          <w:color w:val="0F172A"/>
          <w:sz w:val="32"/>
        </w:rPr>
        <w:t>2. Software Stack &amp; Edge Intelligence</w:t>
      </w:r>
    </w:p>
    <w:p w14:paraId="11931E33" w14:textId="77777777" w:rsidR="009763FE" w:rsidRDefault="009763FE" w:rsidP="009763FE">
      <w:pPr>
        <w:spacing w:after="120"/>
      </w:pPr>
      <w:r>
        <w:rPr>
          <w:rFonts w:ascii="Arial" w:hAnsi="Arial"/>
          <w:b/>
          <w:color w:val="1E293B"/>
        </w:rPr>
        <w:t xml:space="preserve">Overview: </w:t>
      </w:r>
      <w:r>
        <w:rPr>
          <w:rFonts w:ascii="Arial" w:hAnsi="Arial"/>
          <w:color w:val="1E293B"/>
        </w:rPr>
        <w:t>The software architecture uses a hybrid framework dividing critical tasks between local firmware execution and cloud telemetry dashboards.</w:t>
      </w:r>
    </w:p>
    <w:p w14:paraId="53FA4139" w14:textId="77777777" w:rsidR="009763FE" w:rsidRDefault="009763FE" w:rsidP="009763FE">
      <w:pPr>
        <w:pStyle w:val="ListBullet"/>
        <w:tabs>
          <w:tab w:val="num" w:pos="360"/>
        </w:tabs>
        <w:spacing w:after="120"/>
        <w:ind w:left="360" w:hanging="360"/>
      </w:pPr>
      <w:r>
        <w:rPr>
          <w:rFonts w:ascii="Arial" w:hAnsi="Arial"/>
          <w:b/>
          <w:color w:val="1E293B"/>
        </w:rPr>
        <w:t xml:space="preserve">• Core Firmware Framework (Embedded C++): </w:t>
      </w:r>
      <w:r>
        <w:rPr>
          <w:rFonts w:ascii="Arial" w:hAnsi="Arial"/>
          <w:color w:val="1E293B"/>
        </w:rPr>
        <w:t>The local edge code is compiled using an optimized Embedded C/C++ framework within the Arduino IDE environment. The firmware handles high-frequency sensor polling, continuous calibration mapping, digital filtering of AC noise, and the immediate execution of the demand-side priority tier algorithm.</w:t>
      </w:r>
    </w:p>
    <w:p w14:paraId="42A51879" w14:textId="77777777" w:rsidR="009763FE" w:rsidRDefault="009763FE" w:rsidP="009763FE">
      <w:pPr>
        <w:pStyle w:val="ListBullet"/>
        <w:tabs>
          <w:tab w:val="num" w:pos="360"/>
        </w:tabs>
        <w:spacing w:after="120"/>
        <w:ind w:left="360" w:hanging="360"/>
      </w:pPr>
      <w:r>
        <w:rPr>
          <w:rFonts w:ascii="Arial" w:hAnsi="Arial"/>
          <w:b/>
          <w:color w:val="1E293B"/>
        </w:rPr>
        <w:t xml:space="preserve">• Blynk IoT Cloud Platform (v2.0): </w:t>
      </w:r>
      <w:r>
        <w:rPr>
          <w:rFonts w:ascii="Arial" w:hAnsi="Arial"/>
          <w:color w:val="1E293B"/>
        </w:rPr>
        <w:t>An enterprise-grade IoT platform utilized for real-time visualization, cloud data logging, and asynchronous manual overrides. The ESP32 utilizes secure Wi-Fi handshakes to sync micro-grid metrics (Voltage, Load Status, Power Draw) to an interactive multi-widget mobile and web dashboard.</w:t>
      </w:r>
    </w:p>
    <w:p w14:paraId="52A8C1F5" w14:textId="77777777" w:rsidR="009763FE" w:rsidRDefault="009763FE" w:rsidP="009763FE">
      <w:pPr>
        <w:pStyle w:val="ListBullet"/>
        <w:tabs>
          <w:tab w:val="num" w:pos="360"/>
        </w:tabs>
        <w:spacing w:after="120"/>
        <w:ind w:left="360" w:hanging="360"/>
      </w:pPr>
      <w:r>
        <w:rPr>
          <w:rFonts w:ascii="Arial" w:hAnsi="Arial"/>
          <w:b/>
          <w:color w:val="1E293B"/>
        </w:rPr>
        <w:t xml:space="preserve">• ESP-NOW Communication Protocol: </w:t>
      </w:r>
      <w:r>
        <w:rPr>
          <w:rFonts w:ascii="Arial" w:hAnsi="Arial"/>
          <w:color w:val="1E293B"/>
        </w:rPr>
        <w:t>A high-speed, connectionless, peer-to-peer wireless protocol developed by Espressif. Utilized to establish a local master-slave infrastructure. The Master ESP32 (at the solar inverter) broadcasts instantaneous load-</w:t>
      </w:r>
      <w:r>
        <w:rPr>
          <w:rFonts w:ascii="Arial" w:hAnsi="Arial"/>
          <w:color w:val="1E293B"/>
        </w:rPr>
        <w:lastRenderedPageBreak/>
        <w:t>shedding packets directly to miniature distributed slave nodes hidden within individual room switchboards, removing the need for physical control lines across the building.</w:t>
      </w:r>
    </w:p>
    <w:p w14:paraId="2F25B257" w14:textId="77777777" w:rsidR="009763FE" w:rsidRDefault="009763FE" w:rsidP="009763FE">
      <w:pPr>
        <w:keepNext/>
        <w:spacing w:before="360" w:after="120"/>
      </w:pPr>
      <w:r>
        <w:rPr>
          <w:rFonts w:ascii="Arial" w:hAnsi="Arial"/>
          <w:b/>
          <w:color w:val="0F172A"/>
          <w:sz w:val="32"/>
        </w:rPr>
        <w:t>3. Technical Stack Matrix Summary</w:t>
      </w:r>
    </w:p>
    <w:tbl>
      <w:tblPr>
        <w:tblW w:w="0" w:type="auto"/>
        <w:jc w:val="center"/>
        <w:tblLook w:val="04A0" w:firstRow="1" w:lastRow="0" w:firstColumn="1" w:lastColumn="0" w:noHBand="0" w:noVBand="1"/>
      </w:tblPr>
      <w:tblGrid>
        <w:gridCol w:w="2511"/>
        <w:gridCol w:w="3039"/>
        <w:gridCol w:w="3476"/>
      </w:tblGrid>
      <w:tr w:rsidR="009763FE" w14:paraId="3BBB9E2F" w14:textId="77777777" w:rsidTr="00742426">
        <w:trPr>
          <w:jc w:val="center"/>
        </w:trPr>
        <w:tc>
          <w:tcPr>
            <w:tcW w:w="2592" w:type="dxa"/>
            <w:shd w:val="clear" w:color="auto" w:fill="0F172A"/>
            <w:tcMar>
              <w:top w:w="120" w:type="dxa"/>
              <w:left w:w="150" w:type="dxa"/>
              <w:bottom w:w="120" w:type="dxa"/>
              <w:right w:w="150" w:type="dxa"/>
            </w:tcMar>
          </w:tcPr>
          <w:p w14:paraId="54378161" w14:textId="77777777" w:rsidR="009763FE" w:rsidRDefault="009763FE" w:rsidP="00742426">
            <w:r>
              <w:rPr>
                <w:rFonts w:ascii="Arial" w:hAnsi="Arial"/>
                <w:b/>
                <w:color w:val="FFFFFF"/>
              </w:rPr>
              <w:t>Component Layer</w:t>
            </w:r>
          </w:p>
        </w:tc>
        <w:tc>
          <w:tcPr>
            <w:tcW w:w="3168" w:type="dxa"/>
            <w:shd w:val="clear" w:color="auto" w:fill="0F172A"/>
            <w:tcMar>
              <w:top w:w="120" w:type="dxa"/>
              <w:left w:w="150" w:type="dxa"/>
              <w:bottom w:w="120" w:type="dxa"/>
              <w:right w:w="150" w:type="dxa"/>
            </w:tcMar>
          </w:tcPr>
          <w:p w14:paraId="706B54E8" w14:textId="77777777" w:rsidR="009763FE" w:rsidRDefault="009763FE" w:rsidP="00742426">
            <w:r>
              <w:rPr>
                <w:rFonts w:ascii="Arial" w:hAnsi="Arial"/>
                <w:b/>
                <w:color w:val="FFFFFF"/>
              </w:rPr>
              <w:t>Technical Selection</w:t>
            </w:r>
          </w:p>
        </w:tc>
        <w:tc>
          <w:tcPr>
            <w:tcW w:w="3600" w:type="dxa"/>
            <w:shd w:val="clear" w:color="auto" w:fill="0F172A"/>
            <w:tcMar>
              <w:top w:w="120" w:type="dxa"/>
              <w:left w:w="150" w:type="dxa"/>
              <w:bottom w:w="120" w:type="dxa"/>
              <w:right w:w="150" w:type="dxa"/>
            </w:tcMar>
          </w:tcPr>
          <w:p w14:paraId="60A52CFC" w14:textId="77777777" w:rsidR="009763FE" w:rsidRDefault="009763FE" w:rsidP="00742426">
            <w:r>
              <w:rPr>
                <w:rFonts w:ascii="Arial" w:hAnsi="Arial"/>
                <w:b/>
                <w:color w:val="FFFFFF"/>
              </w:rPr>
              <w:t>Primary Engineering Function</w:t>
            </w:r>
          </w:p>
        </w:tc>
      </w:tr>
      <w:tr w:rsidR="009763FE" w14:paraId="2D493524" w14:textId="77777777" w:rsidTr="00742426">
        <w:trPr>
          <w:jc w:val="center"/>
        </w:trPr>
        <w:tc>
          <w:tcPr>
            <w:tcW w:w="2592" w:type="dxa"/>
            <w:tcBorders>
              <w:top w:val="single" w:sz="4" w:space="0" w:color="DDDDDD"/>
              <w:bottom w:val="single" w:sz="4" w:space="0" w:color="DDDDDD"/>
            </w:tcBorders>
            <w:tcMar>
              <w:top w:w="100" w:type="dxa"/>
              <w:left w:w="150" w:type="dxa"/>
              <w:bottom w:w="100" w:type="dxa"/>
              <w:right w:w="150" w:type="dxa"/>
            </w:tcMar>
          </w:tcPr>
          <w:p w14:paraId="27B0345D" w14:textId="77777777" w:rsidR="009763FE" w:rsidRDefault="009763FE" w:rsidP="00742426">
            <w:r>
              <w:rPr>
                <w:rFonts w:ascii="Arial" w:hAnsi="Arial"/>
                <w:color w:val="1E293B"/>
                <w:sz w:val="20"/>
              </w:rPr>
              <w:t>Logic / Edge Computing</w:t>
            </w:r>
          </w:p>
        </w:tc>
        <w:tc>
          <w:tcPr>
            <w:tcW w:w="3168" w:type="dxa"/>
            <w:tcBorders>
              <w:top w:val="single" w:sz="4" w:space="0" w:color="DDDDDD"/>
              <w:bottom w:val="single" w:sz="4" w:space="0" w:color="DDDDDD"/>
            </w:tcBorders>
            <w:tcMar>
              <w:top w:w="100" w:type="dxa"/>
              <w:left w:w="150" w:type="dxa"/>
              <w:bottom w:w="100" w:type="dxa"/>
              <w:right w:w="150" w:type="dxa"/>
            </w:tcMar>
          </w:tcPr>
          <w:p w14:paraId="2DD58B9C" w14:textId="77777777" w:rsidR="009763FE" w:rsidRDefault="009763FE" w:rsidP="00742426">
            <w:r>
              <w:rPr>
                <w:rFonts w:ascii="Arial" w:hAnsi="Arial"/>
                <w:b/>
                <w:color w:val="1E293B"/>
                <w:sz w:val="20"/>
              </w:rPr>
              <w:t>ESP32 WROOM-32 (32-Bit, 240MHz)</w:t>
            </w:r>
          </w:p>
        </w:tc>
        <w:tc>
          <w:tcPr>
            <w:tcW w:w="3600" w:type="dxa"/>
            <w:tcBorders>
              <w:top w:val="single" w:sz="4" w:space="0" w:color="DDDDDD"/>
              <w:bottom w:val="single" w:sz="4" w:space="0" w:color="DDDDDD"/>
            </w:tcBorders>
            <w:tcMar>
              <w:top w:w="100" w:type="dxa"/>
              <w:left w:w="150" w:type="dxa"/>
              <w:bottom w:w="100" w:type="dxa"/>
              <w:right w:w="150" w:type="dxa"/>
            </w:tcMar>
          </w:tcPr>
          <w:p w14:paraId="74599F82" w14:textId="77777777" w:rsidR="009763FE" w:rsidRDefault="009763FE" w:rsidP="00742426">
            <w:r>
              <w:rPr>
                <w:rFonts w:ascii="Arial" w:hAnsi="Arial"/>
                <w:color w:val="1E293B"/>
                <w:sz w:val="20"/>
              </w:rPr>
              <w:t>High-frequency polling, on-chip priority logic execution, native Wi-Fi handling.</w:t>
            </w:r>
          </w:p>
        </w:tc>
      </w:tr>
      <w:tr w:rsidR="009763FE" w14:paraId="336846B1" w14:textId="77777777" w:rsidTr="00742426">
        <w:trPr>
          <w:jc w:val="center"/>
        </w:trPr>
        <w:tc>
          <w:tcPr>
            <w:tcW w:w="2592" w:type="dxa"/>
            <w:tcBorders>
              <w:top w:val="single" w:sz="4" w:space="0" w:color="DDDDDD"/>
              <w:bottom w:val="single" w:sz="4" w:space="0" w:color="DDDDDD"/>
            </w:tcBorders>
            <w:shd w:val="clear" w:color="auto" w:fill="F8FAFC"/>
            <w:tcMar>
              <w:top w:w="100" w:type="dxa"/>
              <w:left w:w="150" w:type="dxa"/>
              <w:bottom w:w="100" w:type="dxa"/>
              <w:right w:w="150" w:type="dxa"/>
            </w:tcMar>
          </w:tcPr>
          <w:p w14:paraId="6C8863BE" w14:textId="77777777" w:rsidR="009763FE" w:rsidRDefault="009763FE" w:rsidP="00742426">
            <w:r>
              <w:rPr>
                <w:rFonts w:ascii="Arial" w:hAnsi="Arial"/>
                <w:color w:val="1E293B"/>
                <w:sz w:val="20"/>
              </w:rPr>
              <w:t>Voltage Telemetry</w:t>
            </w:r>
          </w:p>
        </w:tc>
        <w:tc>
          <w:tcPr>
            <w:tcW w:w="3168" w:type="dxa"/>
            <w:tcBorders>
              <w:top w:val="single" w:sz="4" w:space="0" w:color="DDDDDD"/>
              <w:bottom w:val="single" w:sz="4" w:space="0" w:color="DDDDDD"/>
            </w:tcBorders>
            <w:shd w:val="clear" w:color="auto" w:fill="F8FAFC"/>
            <w:tcMar>
              <w:top w:w="100" w:type="dxa"/>
              <w:left w:w="150" w:type="dxa"/>
              <w:bottom w:w="100" w:type="dxa"/>
              <w:right w:w="150" w:type="dxa"/>
            </w:tcMar>
          </w:tcPr>
          <w:p w14:paraId="47675CAB" w14:textId="77777777" w:rsidR="009763FE" w:rsidRDefault="009763FE" w:rsidP="00742426">
            <w:r>
              <w:rPr>
                <w:rFonts w:ascii="Arial" w:hAnsi="Arial"/>
                <w:b/>
                <w:color w:val="1E293B"/>
                <w:sz w:val="20"/>
              </w:rPr>
              <w:t>ZMPT101B Transformer Module</w:t>
            </w:r>
          </w:p>
        </w:tc>
        <w:tc>
          <w:tcPr>
            <w:tcW w:w="3600" w:type="dxa"/>
            <w:tcBorders>
              <w:top w:val="single" w:sz="4" w:space="0" w:color="DDDDDD"/>
              <w:bottom w:val="single" w:sz="4" w:space="0" w:color="DDDDDD"/>
            </w:tcBorders>
            <w:shd w:val="clear" w:color="auto" w:fill="F8FAFC"/>
            <w:tcMar>
              <w:top w:w="100" w:type="dxa"/>
              <w:left w:w="150" w:type="dxa"/>
              <w:bottom w:w="100" w:type="dxa"/>
              <w:right w:w="150" w:type="dxa"/>
            </w:tcMar>
          </w:tcPr>
          <w:p w14:paraId="635AF4A5" w14:textId="77777777" w:rsidR="009763FE" w:rsidRDefault="009763FE" w:rsidP="00742426">
            <w:r>
              <w:rPr>
                <w:rFonts w:ascii="Arial" w:hAnsi="Arial"/>
                <w:color w:val="1E293B"/>
                <w:sz w:val="20"/>
              </w:rPr>
              <w:t>Steps down 230V AC to safe isolated analog ranges for instant voltage sag capture.</w:t>
            </w:r>
          </w:p>
        </w:tc>
      </w:tr>
      <w:tr w:rsidR="009763FE" w14:paraId="4AE2BB69" w14:textId="77777777" w:rsidTr="00742426">
        <w:trPr>
          <w:jc w:val="center"/>
        </w:trPr>
        <w:tc>
          <w:tcPr>
            <w:tcW w:w="2592" w:type="dxa"/>
            <w:tcBorders>
              <w:top w:val="single" w:sz="4" w:space="0" w:color="DDDDDD"/>
              <w:bottom w:val="single" w:sz="4" w:space="0" w:color="DDDDDD"/>
            </w:tcBorders>
            <w:tcMar>
              <w:top w:w="100" w:type="dxa"/>
              <w:left w:w="150" w:type="dxa"/>
              <w:bottom w:w="100" w:type="dxa"/>
              <w:right w:w="150" w:type="dxa"/>
            </w:tcMar>
          </w:tcPr>
          <w:p w14:paraId="426CCB98" w14:textId="77777777" w:rsidR="009763FE" w:rsidRDefault="009763FE" w:rsidP="00742426">
            <w:r>
              <w:rPr>
                <w:rFonts w:ascii="Arial" w:hAnsi="Arial"/>
                <w:color w:val="1E293B"/>
                <w:sz w:val="20"/>
              </w:rPr>
              <w:t>Current Telemetry</w:t>
            </w:r>
          </w:p>
        </w:tc>
        <w:tc>
          <w:tcPr>
            <w:tcW w:w="3168" w:type="dxa"/>
            <w:tcBorders>
              <w:top w:val="single" w:sz="4" w:space="0" w:color="DDDDDD"/>
              <w:bottom w:val="single" w:sz="4" w:space="0" w:color="DDDDDD"/>
            </w:tcBorders>
            <w:tcMar>
              <w:top w:w="100" w:type="dxa"/>
              <w:left w:w="150" w:type="dxa"/>
              <w:bottom w:w="100" w:type="dxa"/>
              <w:right w:w="150" w:type="dxa"/>
            </w:tcMar>
          </w:tcPr>
          <w:p w14:paraId="62CB5125" w14:textId="77777777" w:rsidR="009763FE" w:rsidRDefault="009763FE" w:rsidP="00742426">
            <w:r>
              <w:rPr>
                <w:rFonts w:ascii="Arial" w:hAnsi="Arial"/>
                <w:b/>
                <w:color w:val="1E293B"/>
                <w:sz w:val="20"/>
              </w:rPr>
              <w:t>ACS712 Hall-Effect Sensor</w:t>
            </w:r>
          </w:p>
        </w:tc>
        <w:tc>
          <w:tcPr>
            <w:tcW w:w="3600" w:type="dxa"/>
            <w:tcBorders>
              <w:top w:val="single" w:sz="4" w:space="0" w:color="DDDDDD"/>
              <w:bottom w:val="single" w:sz="4" w:space="0" w:color="DDDDDD"/>
            </w:tcBorders>
            <w:tcMar>
              <w:top w:w="100" w:type="dxa"/>
              <w:left w:w="150" w:type="dxa"/>
              <w:bottom w:w="100" w:type="dxa"/>
              <w:right w:w="150" w:type="dxa"/>
            </w:tcMar>
          </w:tcPr>
          <w:p w14:paraId="2CF4EADC" w14:textId="77777777" w:rsidR="009763FE" w:rsidRDefault="009763FE" w:rsidP="00742426">
            <w:r>
              <w:rPr>
                <w:rFonts w:ascii="Arial" w:hAnsi="Arial"/>
                <w:color w:val="1E293B"/>
                <w:sz w:val="20"/>
              </w:rPr>
              <w:t>Monitors load current consumption to gauge total active household wattage demand.</w:t>
            </w:r>
          </w:p>
        </w:tc>
      </w:tr>
      <w:tr w:rsidR="009763FE" w14:paraId="3E653AF9" w14:textId="77777777" w:rsidTr="00742426">
        <w:trPr>
          <w:jc w:val="center"/>
        </w:trPr>
        <w:tc>
          <w:tcPr>
            <w:tcW w:w="2592" w:type="dxa"/>
            <w:tcBorders>
              <w:top w:val="single" w:sz="4" w:space="0" w:color="DDDDDD"/>
              <w:bottom w:val="single" w:sz="4" w:space="0" w:color="DDDDDD"/>
            </w:tcBorders>
            <w:shd w:val="clear" w:color="auto" w:fill="F8FAFC"/>
            <w:tcMar>
              <w:top w:w="100" w:type="dxa"/>
              <w:left w:w="150" w:type="dxa"/>
              <w:bottom w:w="100" w:type="dxa"/>
              <w:right w:w="150" w:type="dxa"/>
            </w:tcMar>
          </w:tcPr>
          <w:p w14:paraId="773C7B8A" w14:textId="77777777" w:rsidR="009763FE" w:rsidRDefault="009763FE" w:rsidP="00742426">
            <w:r>
              <w:rPr>
                <w:rFonts w:ascii="Arial" w:hAnsi="Arial"/>
                <w:color w:val="1E293B"/>
                <w:sz w:val="20"/>
              </w:rPr>
              <w:t>Physical Actuation</w:t>
            </w:r>
          </w:p>
        </w:tc>
        <w:tc>
          <w:tcPr>
            <w:tcW w:w="3168" w:type="dxa"/>
            <w:tcBorders>
              <w:top w:val="single" w:sz="4" w:space="0" w:color="DDDDDD"/>
              <w:bottom w:val="single" w:sz="4" w:space="0" w:color="DDDDDD"/>
            </w:tcBorders>
            <w:shd w:val="clear" w:color="auto" w:fill="F8FAFC"/>
            <w:tcMar>
              <w:top w:w="100" w:type="dxa"/>
              <w:left w:w="150" w:type="dxa"/>
              <w:bottom w:w="100" w:type="dxa"/>
              <w:right w:w="150" w:type="dxa"/>
            </w:tcMar>
          </w:tcPr>
          <w:p w14:paraId="665C5983" w14:textId="77777777" w:rsidR="009763FE" w:rsidRDefault="009763FE" w:rsidP="00742426">
            <w:r>
              <w:rPr>
                <w:rFonts w:ascii="Arial" w:hAnsi="Arial"/>
                <w:b/>
                <w:color w:val="1E293B"/>
                <w:sz w:val="20"/>
              </w:rPr>
              <w:t>4-Channel Opto-Isolated Relay</w:t>
            </w:r>
          </w:p>
        </w:tc>
        <w:tc>
          <w:tcPr>
            <w:tcW w:w="3600" w:type="dxa"/>
            <w:tcBorders>
              <w:top w:val="single" w:sz="4" w:space="0" w:color="DDDDDD"/>
              <w:bottom w:val="single" w:sz="4" w:space="0" w:color="DDDDDD"/>
            </w:tcBorders>
            <w:shd w:val="clear" w:color="auto" w:fill="F8FAFC"/>
            <w:tcMar>
              <w:top w:w="100" w:type="dxa"/>
              <w:left w:w="150" w:type="dxa"/>
              <w:bottom w:w="100" w:type="dxa"/>
              <w:right w:w="150" w:type="dxa"/>
            </w:tcMar>
          </w:tcPr>
          <w:p w14:paraId="7FE2E482" w14:textId="77777777" w:rsidR="009763FE" w:rsidRDefault="009763FE" w:rsidP="00742426">
            <w:r>
              <w:rPr>
                <w:rFonts w:ascii="Arial" w:hAnsi="Arial"/>
                <w:color w:val="1E293B"/>
                <w:sz w:val="20"/>
              </w:rPr>
              <w:t>Provides high-voltage circuit isolation and breaks/establishes 230V AC lines on command.</w:t>
            </w:r>
          </w:p>
        </w:tc>
      </w:tr>
      <w:tr w:rsidR="009763FE" w14:paraId="3DD25E3F" w14:textId="77777777" w:rsidTr="00742426">
        <w:trPr>
          <w:jc w:val="center"/>
        </w:trPr>
        <w:tc>
          <w:tcPr>
            <w:tcW w:w="2592" w:type="dxa"/>
            <w:tcBorders>
              <w:top w:val="single" w:sz="4" w:space="0" w:color="DDDDDD"/>
              <w:bottom w:val="single" w:sz="4" w:space="0" w:color="DDDDDD"/>
            </w:tcBorders>
            <w:tcMar>
              <w:top w:w="100" w:type="dxa"/>
              <w:left w:w="150" w:type="dxa"/>
              <w:bottom w:w="100" w:type="dxa"/>
              <w:right w:w="150" w:type="dxa"/>
            </w:tcMar>
          </w:tcPr>
          <w:p w14:paraId="4C944417" w14:textId="77777777" w:rsidR="009763FE" w:rsidRDefault="009763FE" w:rsidP="00742426">
            <w:r>
              <w:rPr>
                <w:rFonts w:ascii="Arial" w:hAnsi="Arial"/>
                <w:color w:val="1E293B"/>
                <w:sz w:val="20"/>
              </w:rPr>
              <w:t>Hardware Protection</w:t>
            </w:r>
          </w:p>
        </w:tc>
        <w:tc>
          <w:tcPr>
            <w:tcW w:w="3168" w:type="dxa"/>
            <w:tcBorders>
              <w:top w:val="single" w:sz="4" w:space="0" w:color="DDDDDD"/>
              <w:bottom w:val="single" w:sz="4" w:space="0" w:color="DDDDDD"/>
            </w:tcBorders>
            <w:tcMar>
              <w:top w:w="100" w:type="dxa"/>
              <w:left w:w="150" w:type="dxa"/>
              <w:bottom w:w="100" w:type="dxa"/>
              <w:right w:w="150" w:type="dxa"/>
            </w:tcMar>
          </w:tcPr>
          <w:p w14:paraId="6F04F3D4" w14:textId="77777777" w:rsidR="009763FE" w:rsidRDefault="009763FE" w:rsidP="00742426">
            <w:r>
              <w:rPr>
                <w:rFonts w:ascii="Arial" w:hAnsi="Arial"/>
                <w:b/>
                <w:color w:val="1E293B"/>
                <w:sz w:val="20"/>
              </w:rPr>
              <w:t>Analog Schmitt Trigger Logic</w:t>
            </w:r>
          </w:p>
        </w:tc>
        <w:tc>
          <w:tcPr>
            <w:tcW w:w="3600" w:type="dxa"/>
            <w:tcBorders>
              <w:top w:val="single" w:sz="4" w:space="0" w:color="DDDDDD"/>
              <w:bottom w:val="single" w:sz="4" w:space="0" w:color="DDDDDD"/>
            </w:tcBorders>
            <w:tcMar>
              <w:top w:w="100" w:type="dxa"/>
              <w:left w:w="150" w:type="dxa"/>
              <w:bottom w:w="100" w:type="dxa"/>
              <w:right w:w="150" w:type="dxa"/>
            </w:tcMar>
          </w:tcPr>
          <w:p w14:paraId="2C0B052D" w14:textId="77777777" w:rsidR="009763FE" w:rsidRDefault="009763FE" w:rsidP="00742426">
            <w:r>
              <w:rPr>
                <w:rFonts w:ascii="Arial" w:hAnsi="Arial"/>
                <w:color w:val="1E293B"/>
                <w:sz w:val="20"/>
              </w:rPr>
              <w:t>Introduces clear hysteresis bands to prevent destructive relay chattering at thresholds.</w:t>
            </w:r>
          </w:p>
        </w:tc>
      </w:tr>
      <w:tr w:rsidR="009763FE" w14:paraId="37B3AB03" w14:textId="77777777" w:rsidTr="00742426">
        <w:trPr>
          <w:jc w:val="center"/>
        </w:trPr>
        <w:tc>
          <w:tcPr>
            <w:tcW w:w="2592" w:type="dxa"/>
            <w:tcBorders>
              <w:top w:val="single" w:sz="4" w:space="0" w:color="DDDDDD"/>
              <w:bottom w:val="single" w:sz="4" w:space="0" w:color="DDDDDD"/>
            </w:tcBorders>
            <w:shd w:val="clear" w:color="auto" w:fill="F8FAFC"/>
            <w:tcMar>
              <w:top w:w="100" w:type="dxa"/>
              <w:left w:w="150" w:type="dxa"/>
              <w:bottom w:w="100" w:type="dxa"/>
              <w:right w:w="150" w:type="dxa"/>
            </w:tcMar>
          </w:tcPr>
          <w:p w14:paraId="4A767AFE" w14:textId="77777777" w:rsidR="009763FE" w:rsidRDefault="009763FE" w:rsidP="00742426">
            <w:r>
              <w:rPr>
                <w:rFonts w:ascii="Arial" w:hAnsi="Arial"/>
                <w:color w:val="1E293B"/>
                <w:sz w:val="20"/>
              </w:rPr>
              <w:t>Firmware Environment</w:t>
            </w:r>
          </w:p>
        </w:tc>
        <w:tc>
          <w:tcPr>
            <w:tcW w:w="3168" w:type="dxa"/>
            <w:tcBorders>
              <w:top w:val="single" w:sz="4" w:space="0" w:color="DDDDDD"/>
              <w:bottom w:val="single" w:sz="4" w:space="0" w:color="DDDDDD"/>
            </w:tcBorders>
            <w:shd w:val="clear" w:color="auto" w:fill="F8FAFC"/>
            <w:tcMar>
              <w:top w:w="100" w:type="dxa"/>
              <w:left w:w="150" w:type="dxa"/>
              <w:bottom w:w="100" w:type="dxa"/>
              <w:right w:w="150" w:type="dxa"/>
            </w:tcMar>
          </w:tcPr>
          <w:p w14:paraId="3E592F86" w14:textId="77777777" w:rsidR="009763FE" w:rsidRDefault="009763FE" w:rsidP="00742426">
            <w:r>
              <w:rPr>
                <w:rFonts w:ascii="Arial" w:hAnsi="Arial"/>
                <w:b/>
                <w:color w:val="1E293B"/>
                <w:sz w:val="20"/>
              </w:rPr>
              <w:t>Arduino IDE / Embedded C++</w:t>
            </w:r>
          </w:p>
        </w:tc>
        <w:tc>
          <w:tcPr>
            <w:tcW w:w="3600" w:type="dxa"/>
            <w:tcBorders>
              <w:top w:val="single" w:sz="4" w:space="0" w:color="DDDDDD"/>
              <w:bottom w:val="single" w:sz="4" w:space="0" w:color="DDDDDD"/>
            </w:tcBorders>
            <w:shd w:val="clear" w:color="auto" w:fill="F8FAFC"/>
            <w:tcMar>
              <w:top w:w="100" w:type="dxa"/>
              <w:left w:w="150" w:type="dxa"/>
              <w:bottom w:w="100" w:type="dxa"/>
              <w:right w:w="150" w:type="dxa"/>
            </w:tcMar>
          </w:tcPr>
          <w:p w14:paraId="7E810BEE" w14:textId="77777777" w:rsidR="009763FE" w:rsidRDefault="009763FE" w:rsidP="00742426">
            <w:r>
              <w:rPr>
                <w:rFonts w:ascii="Arial" w:hAnsi="Arial"/>
                <w:color w:val="1E293B"/>
                <w:sz w:val="20"/>
              </w:rPr>
              <w:t>Handles interrupt routines, hardware abstraction layers, and local algorithmic execution.</w:t>
            </w:r>
          </w:p>
        </w:tc>
      </w:tr>
      <w:tr w:rsidR="009763FE" w14:paraId="5820C455" w14:textId="77777777" w:rsidTr="00742426">
        <w:trPr>
          <w:jc w:val="center"/>
        </w:trPr>
        <w:tc>
          <w:tcPr>
            <w:tcW w:w="2592" w:type="dxa"/>
            <w:tcBorders>
              <w:top w:val="single" w:sz="4" w:space="0" w:color="DDDDDD"/>
              <w:bottom w:val="single" w:sz="4" w:space="0" w:color="DDDDDD"/>
            </w:tcBorders>
            <w:tcMar>
              <w:top w:w="100" w:type="dxa"/>
              <w:left w:w="150" w:type="dxa"/>
              <w:bottom w:w="100" w:type="dxa"/>
              <w:right w:w="150" w:type="dxa"/>
            </w:tcMar>
          </w:tcPr>
          <w:p w14:paraId="02B46E2E" w14:textId="77777777" w:rsidR="009763FE" w:rsidRDefault="009763FE" w:rsidP="00742426">
            <w:r>
              <w:rPr>
                <w:rFonts w:ascii="Arial" w:hAnsi="Arial"/>
                <w:color w:val="1E293B"/>
                <w:sz w:val="20"/>
              </w:rPr>
              <w:t>IoT Dashboard &amp; Cloud</w:t>
            </w:r>
          </w:p>
        </w:tc>
        <w:tc>
          <w:tcPr>
            <w:tcW w:w="3168" w:type="dxa"/>
            <w:tcBorders>
              <w:top w:val="single" w:sz="4" w:space="0" w:color="DDDDDD"/>
              <w:bottom w:val="single" w:sz="4" w:space="0" w:color="DDDDDD"/>
            </w:tcBorders>
            <w:tcMar>
              <w:top w:w="100" w:type="dxa"/>
              <w:left w:w="150" w:type="dxa"/>
              <w:bottom w:w="100" w:type="dxa"/>
              <w:right w:w="150" w:type="dxa"/>
            </w:tcMar>
          </w:tcPr>
          <w:p w14:paraId="5EF39740" w14:textId="77777777" w:rsidR="009763FE" w:rsidRDefault="009763FE" w:rsidP="00742426">
            <w:r>
              <w:rPr>
                <w:rFonts w:ascii="Arial" w:hAnsi="Arial"/>
                <w:b/>
                <w:color w:val="1E293B"/>
                <w:sz w:val="20"/>
              </w:rPr>
              <w:t>Blynk Cloud Platform API</w:t>
            </w:r>
          </w:p>
        </w:tc>
        <w:tc>
          <w:tcPr>
            <w:tcW w:w="3600" w:type="dxa"/>
            <w:tcBorders>
              <w:top w:val="single" w:sz="4" w:space="0" w:color="DDDDDD"/>
              <w:bottom w:val="single" w:sz="4" w:space="0" w:color="DDDDDD"/>
            </w:tcBorders>
            <w:tcMar>
              <w:top w:w="100" w:type="dxa"/>
              <w:left w:w="150" w:type="dxa"/>
              <w:bottom w:w="100" w:type="dxa"/>
              <w:right w:w="150" w:type="dxa"/>
            </w:tcMar>
          </w:tcPr>
          <w:p w14:paraId="41FE6977" w14:textId="77777777" w:rsidR="009763FE" w:rsidRDefault="009763FE" w:rsidP="00742426">
            <w:r>
              <w:rPr>
                <w:rFonts w:ascii="Arial" w:hAnsi="Arial"/>
                <w:color w:val="1E293B"/>
                <w:sz w:val="20"/>
              </w:rPr>
              <w:t>Real-time user telemetry visualization, push notification alerts, and remote configuration.</w:t>
            </w:r>
          </w:p>
        </w:tc>
      </w:tr>
    </w:tbl>
    <w:p w14:paraId="7C18E35E" w14:textId="77777777" w:rsidR="009763FE" w:rsidRDefault="009763FE" w:rsidP="009763FE"/>
    <w:p w14:paraId="1758E28D" w14:textId="77777777" w:rsidR="009763FE" w:rsidRDefault="009763FE" w:rsidP="009763FE">
      <w:pPr>
        <w:spacing w:line="360" w:lineRule="auto"/>
        <w:jc w:val="both"/>
        <w:rPr>
          <w:rFonts w:ascii="Calibri" w:hAnsi="Calibri" w:cs="Calibri"/>
        </w:rPr>
      </w:pPr>
    </w:p>
    <w:p w14:paraId="720B3C15" w14:textId="77777777" w:rsidR="00E611F5" w:rsidRDefault="00E611F5" w:rsidP="009763FE">
      <w:pPr>
        <w:spacing w:line="360" w:lineRule="auto"/>
        <w:jc w:val="both"/>
        <w:rPr>
          <w:rFonts w:ascii="Calibri" w:hAnsi="Calibri" w:cs="Calibri"/>
        </w:rPr>
      </w:pPr>
    </w:p>
    <w:p w14:paraId="6D1F874C" w14:textId="77777777" w:rsidR="00E611F5" w:rsidRDefault="00E611F5" w:rsidP="009763FE">
      <w:pPr>
        <w:spacing w:line="360" w:lineRule="auto"/>
        <w:jc w:val="both"/>
        <w:rPr>
          <w:rFonts w:ascii="Calibri" w:hAnsi="Calibri" w:cs="Calibri"/>
        </w:rPr>
      </w:pPr>
    </w:p>
    <w:p w14:paraId="3C65B312" w14:textId="77777777" w:rsidR="00E611F5" w:rsidRDefault="00E611F5" w:rsidP="009763FE">
      <w:pPr>
        <w:spacing w:line="360" w:lineRule="auto"/>
        <w:jc w:val="both"/>
        <w:rPr>
          <w:rFonts w:ascii="Calibri" w:hAnsi="Calibri" w:cs="Calibri"/>
        </w:rPr>
      </w:pPr>
    </w:p>
    <w:p w14:paraId="4AA6D7A3" w14:textId="77777777" w:rsidR="00E611F5" w:rsidRDefault="00E611F5" w:rsidP="009763FE">
      <w:pPr>
        <w:spacing w:line="360" w:lineRule="auto"/>
        <w:jc w:val="both"/>
        <w:rPr>
          <w:rFonts w:ascii="Calibri" w:hAnsi="Calibri" w:cs="Calibri"/>
        </w:rPr>
      </w:pPr>
    </w:p>
    <w:p w14:paraId="185BB32C" w14:textId="77777777" w:rsidR="00E611F5" w:rsidRDefault="00E611F5" w:rsidP="009763FE">
      <w:pPr>
        <w:spacing w:line="360" w:lineRule="auto"/>
        <w:jc w:val="both"/>
        <w:rPr>
          <w:rFonts w:ascii="Calibri" w:hAnsi="Calibri" w:cs="Calibri"/>
        </w:rPr>
      </w:pPr>
    </w:p>
    <w:p w14:paraId="3199A5D0" w14:textId="7796AD80" w:rsidR="00E611F5" w:rsidRDefault="00E611F5" w:rsidP="00E611F5">
      <w:pPr>
        <w:spacing w:line="360" w:lineRule="auto"/>
        <w:jc w:val="center"/>
        <w:rPr>
          <w:rFonts w:ascii="Calibri" w:hAnsi="Calibri" w:cs="Calibri"/>
          <w:b/>
          <w:bCs/>
          <w:sz w:val="56"/>
          <w:szCs w:val="56"/>
        </w:rPr>
      </w:pPr>
      <w:r w:rsidRPr="00E611F5">
        <w:rPr>
          <w:rFonts w:ascii="Calibri" w:hAnsi="Calibri" w:cs="Calibri"/>
          <w:b/>
          <w:bCs/>
          <w:sz w:val="56"/>
          <w:szCs w:val="56"/>
        </w:rPr>
        <w:lastRenderedPageBreak/>
        <w:t>NOVELTY</w:t>
      </w:r>
    </w:p>
    <w:p w14:paraId="4775F4E8" w14:textId="46070D88" w:rsidR="00E611F5" w:rsidRPr="00E611F5" w:rsidRDefault="00E611F5" w:rsidP="00E611F5">
      <w:pPr>
        <w:numPr>
          <w:ilvl w:val="0"/>
          <w:numId w:val="3"/>
        </w:numPr>
        <w:spacing w:line="360" w:lineRule="auto"/>
        <w:jc w:val="center"/>
        <w:rPr>
          <w:rFonts w:ascii="Calibri" w:hAnsi="Calibri" w:cs="Calibri"/>
        </w:rPr>
      </w:pPr>
      <w:r w:rsidRPr="00E611F5">
        <w:rPr>
          <w:rFonts w:ascii="Calibri" w:hAnsi="Calibri" w:cs="Calibri"/>
          <w:b/>
          <w:bCs/>
        </w:rPr>
        <w:t>Edge-Calculated Latency vs. Cloud Delay:</w:t>
      </w:r>
      <w:r w:rsidRPr="00E611F5">
        <w:rPr>
          <w:rFonts w:ascii="Calibri" w:hAnsi="Calibri" w:cs="Calibri"/>
        </w:rPr>
        <w:t xml:space="preserve"> Traditional smart-grid solutions process heavy load optimization algorithms on remote servers, introducing data latency (seconds). By executing the priority allocation algorithm directly on-chip at the edge, this system responds within milliseconds disconnecting non-essential loads </w:t>
      </w:r>
      <w:r w:rsidRPr="00E611F5">
        <w:rPr>
          <w:rFonts w:ascii="Calibri" w:hAnsi="Calibri" w:cs="Calibri"/>
          <w:i/>
          <w:iCs/>
        </w:rPr>
        <w:t>before</w:t>
      </w:r>
      <w:r w:rsidRPr="00E611F5">
        <w:rPr>
          <w:rFonts w:ascii="Calibri" w:hAnsi="Calibri" w:cs="Calibri"/>
        </w:rPr>
        <w:t xml:space="preserve"> the current surge can physically trip the master breaker.</w:t>
      </w:r>
    </w:p>
    <w:p w14:paraId="134148F2" w14:textId="77777777" w:rsidR="00E611F5" w:rsidRPr="00E611F5" w:rsidRDefault="00E611F5" w:rsidP="00E611F5">
      <w:pPr>
        <w:numPr>
          <w:ilvl w:val="0"/>
          <w:numId w:val="3"/>
        </w:numPr>
        <w:spacing w:line="360" w:lineRule="auto"/>
        <w:jc w:val="center"/>
        <w:rPr>
          <w:rFonts w:ascii="Calibri" w:hAnsi="Calibri" w:cs="Calibri"/>
        </w:rPr>
      </w:pPr>
      <w:r w:rsidRPr="00E611F5">
        <w:rPr>
          <w:rFonts w:ascii="Calibri" w:hAnsi="Calibri" w:cs="Calibri"/>
          <w:b/>
          <w:bCs/>
        </w:rPr>
        <w:t>Granular Graceful Degradation:</w:t>
      </w:r>
      <w:r w:rsidRPr="00E611F5">
        <w:rPr>
          <w:rFonts w:ascii="Calibri" w:hAnsi="Calibri" w:cs="Calibri"/>
        </w:rPr>
        <w:t xml:space="preserve"> Most contemporary commercial stabilizers perform blind voltage regulation or wholesale shutdowns. This architecture treats electricity as a dynamic, allocatable asset, sacrificing the comfort of high-power devices to maintain the continuity of critical workflows.</w:t>
      </w:r>
    </w:p>
    <w:p w14:paraId="4A981C2B" w14:textId="77777777" w:rsidR="00E611F5" w:rsidRPr="00E611F5" w:rsidRDefault="00E611F5" w:rsidP="00E611F5">
      <w:pPr>
        <w:numPr>
          <w:ilvl w:val="0"/>
          <w:numId w:val="3"/>
        </w:numPr>
        <w:spacing w:line="360" w:lineRule="auto"/>
        <w:jc w:val="center"/>
        <w:rPr>
          <w:rFonts w:ascii="Calibri" w:hAnsi="Calibri" w:cs="Calibri"/>
        </w:rPr>
      </w:pPr>
      <w:r w:rsidRPr="00E611F5">
        <w:rPr>
          <w:rFonts w:ascii="Calibri" w:hAnsi="Calibri" w:cs="Calibri"/>
          <w:b/>
          <w:bCs/>
        </w:rPr>
        <w:t>Hyper-Localized Cost Efficacy:</w:t>
      </w:r>
      <w:r w:rsidRPr="00E611F5">
        <w:rPr>
          <w:rFonts w:ascii="Calibri" w:hAnsi="Calibri" w:cs="Calibri"/>
        </w:rPr>
        <w:t xml:space="preserve"> Industrial-scale Demand-Side Management typically requires enterprise-level SCADA software and multi-lakh smart meters. This project delivers comparable consumer-level protective logic for a fraction of the cost, making advanced grid resilience highly accessible.</w:t>
      </w:r>
    </w:p>
    <w:p w14:paraId="70D06BDD" w14:textId="23747B9E" w:rsidR="00E611F5" w:rsidRPr="00E611F5" w:rsidRDefault="00E611F5" w:rsidP="00E611F5">
      <w:pPr>
        <w:spacing w:line="360" w:lineRule="auto"/>
        <w:jc w:val="center"/>
        <w:rPr>
          <w:rFonts w:ascii="Calibri" w:hAnsi="Calibri" w:cs="Calibri"/>
        </w:rPr>
      </w:pPr>
    </w:p>
    <w:sectPr w:rsidR="00E611F5" w:rsidRPr="00E61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1A43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597ABD"/>
    <w:multiLevelType w:val="multilevel"/>
    <w:tmpl w:val="E82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431FC"/>
    <w:multiLevelType w:val="hybridMultilevel"/>
    <w:tmpl w:val="3C62DB4C"/>
    <w:lvl w:ilvl="0" w:tplc="CD3293F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1709406338">
    <w:abstractNumId w:val="2"/>
  </w:num>
  <w:num w:numId="2" w16cid:durableId="726536083">
    <w:abstractNumId w:val="0"/>
  </w:num>
  <w:num w:numId="3" w16cid:durableId="93940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FE"/>
    <w:rsid w:val="007E15E5"/>
    <w:rsid w:val="009763FE"/>
    <w:rsid w:val="00AA77E4"/>
    <w:rsid w:val="00E51059"/>
    <w:rsid w:val="00E611F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1CA3"/>
  <w15:chartTrackingRefBased/>
  <w15:docId w15:val="{EBCE8FBF-05A8-4C09-BD53-5F4CD852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FE"/>
    <w:rPr>
      <w:rFonts w:eastAsiaTheme="majorEastAsia" w:cstheme="majorBidi"/>
      <w:color w:val="272727" w:themeColor="text1" w:themeTint="D8"/>
    </w:rPr>
  </w:style>
  <w:style w:type="paragraph" w:styleId="Title">
    <w:name w:val="Title"/>
    <w:basedOn w:val="Normal"/>
    <w:next w:val="Normal"/>
    <w:link w:val="TitleChar"/>
    <w:uiPriority w:val="10"/>
    <w:qFormat/>
    <w:rsid w:val="0097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FE"/>
    <w:pPr>
      <w:spacing w:before="160"/>
      <w:jc w:val="center"/>
    </w:pPr>
    <w:rPr>
      <w:i/>
      <w:iCs/>
      <w:color w:val="404040" w:themeColor="text1" w:themeTint="BF"/>
    </w:rPr>
  </w:style>
  <w:style w:type="character" w:customStyle="1" w:styleId="QuoteChar">
    <w:name w:val="Quote Char"/>
    <w:basedOn w:val="DefaultParagraphFont"/>
    <w:link w:val="Quote"/>
    <w:uiPriority w:val="29"/>
    <w:rsid w:val="009763FE"/>
    <w:rPr>
      <w:i/>
      <w:iCs/>
      <w:color w:val="404040" w:themeColor="text1" w:themeTint="BF"/>
    </w:rPr>
  </w:style>
  <w:style w:type="paragraph" w:styleId="ListParagraph">
    <w:name w:val="List Paragraph"/>
    <w:basedOn w:val="Normal"/>
    <w:uiPriority w:val="34"/>
    <w:qFormat/>
    <w:rsid w:val="009763FE"/>
    <w:pPr>
      <w:ind w:left="720"/>
      <w:contextualSpacing/>
    </w:pPr>
  </w:style>
  <w:style w:type="character" w:styleId="IntenseEmphasis">
    <w:name w:val="Intense Emphasis"/>
    <w:basedOn w:val="DefaultParagraphFont"/>
    <w:uiPriority w:val="21"/>
    <w:qFormat/>
    <w:rsid w:val="009763FE"/>
    <w:rPr>
      <w:i/>
      <w:iCs/>
      <w:color w:val="0F4761" w:themeColor="accent1" w:themeShade="BF"/>
    </w:rPr>
  </w:style>
  <w:style w:type="paragraph" w:styleId="IntenseQuote">
    <w:name w:val="Intense Quote"/>
    <w:basedOn w:val="Normal"/>
    <w:next w:val="Normal"/>
    <w:link w:val="IntenseQuoteChar"/>
    <w:uiPriority w:val="30"/>
    <w:qFormat/>
    <w:rsid w:val="00976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3FE"/>
    <w:rPr>
      <w:i/>
      <w:iCs/>
      <w:color w:val="0F4761" w:themeColor="accent1" w:themeShade="BF"/>
    </w:rPr>
  </w:style>
  <w:style w:type="character" w:styleId="IntenseReference">
    <w:name w:val="Intense Reference"/>
    <w:basedOn w:val="DefaultParagraphFont"/>
    <w:uiPriority w:val="32"/>
    <w:qFormat/>
    <w:rsid w:val="009763FE"/>
    <w:rPr>
      <w:b/>
      <w:bCs/>
      <w:smallCaps/>
      <w:color w:val="0F4761" w:themeColor="accent1" w:themeShade="BF"/>
      <w:spacing w:val="5"/>
    </w:rPr>
  </w:style>
  <w:style w:type="paragraph" w:styleId="ListBullet">
    <w:name w:val="List Bullet"/>
    <w:basedOn w:val="Normal"/>
    <w:uiPriority w:val="99"/>
    <w:unhideWhenUsed/>
    <w:rsid w:val="009763FE"/>
    <w:pPr>
      <w:numPr>
        <w:numId w:val="2"/>
      </w:numPr>
      <w:tabs>
        <w:tab w:val="clear" w:pos="360"/>
      </w:tabs>
      <w:spacing w:after="200" w:line="276" w:lineRule="auto"/>
      <w:ind w:left="0" w:firstLine="0"/>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 S</dc:creator>
  <cp:keywords/>
  <dc:description/>
  <cp:lastModifiedBy>SUREN S</cp:lastModifiedBy>
  <cp:revision>1</cp:revision>
  <dcterms:created xsi:type="dcterms:W3CDTF">2026-05-30T02:20:00Z</dcterms:created>
  <dcterms:modified xsi:type="dcterms:W3CDTF">2026-05-30T02:33:00Z</dcterms:modified>
</cp:coreProperties>
</file>