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sz="0"/>
          <w:left w:val="none" w:sz="0"/>
          <w:bottom w:val="none" w:sz="0"/>
          <w:right w:val="none"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0"/>
            </w:pPr>
            <w:r>
              <w:rPr>
                <w:rFonts w:ascii="Arial" w:cs="Arial" w:eastAsia="Arial" w:hAnsi="Arial"/>
                <w:b/>
                <w:bCs/>
                <w:color w:val="0D1B2E"/>
                <w:spacing w:val="30"/>
                <w:sz w:val="52"/>
                <w:szCs w:val="52"/>
              </w:rPr>
              <w:t xml:space="preserve">SURESH CHAND</w:t>
            </w:r>
          </w:p>
          <w:p>
            <w:pPr>
              <w:spacing w:after="0" w:before="0"/>
            </w:pPr>
            <w:r>
              <w:rPr>
                <w:rFonts w:ascii="Arial" w:cs="Arial" w:eastAsia="Arial" w:hAnsi="Arial"/>
                <w:color w:val="007BA8"/>
                <w:sz w:val="22"/>
                <w:szCs w:val="22"/>
              </w:rPr>
              <w:t xml:space="preserve">Director of IT  ·  Cloud Architect  ·  Security &amp; Compliance</w:t>
            </w:r>
          </w:p>
        </w:tc>
        <w:tc>
          <w:tcPr>
            <w:tcW w:type="dxa" w:w="3860"/>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spacing w:after="40" w:before="0"/>
              <w:jc w:val="right"/>
            </w:pPr>
            <w:r>
              <w:rPr>
                <w:rFonts w:ascii="Arial" w:cs="Arial" w:eastAsia="Arial" w:hAnsi="Arial"/>
                <w:color w:val="555E7A"/>
                <w:sz w:val="18"/>
                <w:szCs w:val="18"/>
              </w:rPr>
              <w:t xml:space="preserve">suresh@echand.com</w:t>
            </w:r>
          </w:p>
          <w:p>
            <w:pPr>
              <w:spacing w:after="40" w:before="0"/>
              <w:jc w:val="right"/>
            </w:pPr>
            <w:r>
              <w:rPr>
                <w:rFonts w:ascii="Arial" w:cs="Arial" w:eastAsia="Arial" w:hAnsi="Arial"/>
                <w:color w:val="555E7A"/>
                <w:sz w:val="18"/>
                <w:szCs w:val="18"/>
              </w:rPr>
              <w:t xml:space="preserve">(408) 420-7085</w:t>
            </w:r>
          </w:p>
          <w:p>
            <w:pPr>
              <w:spacing w:after="40" w:before="0"/>
              <w:jc w:val="right"/>
            </w:pPr>
            <w:r>
              <w:rPr>
                <w:rFonts w:ascii="Arial" w:cs="Arial" w:eastAsia="Arial" w:hAnsi="Arial"/>
                <w:color w:val="555E7A"/>
                <w:sz w:val="18"/>
                <w:szCs w:val="18"/>
              </w:rPr>
              <w:t xml:space="preserve">linkedin.com/in/sureshchand01</w:t>
            </w:r>
          </w:p>
          <w:p>
            <w:pPr>
              <w:spacing w:after="0" w:before="0"/>
              <w:jc w:val="right"/>
            </w:pPr>
            <w:r>
              <w:rPr>
                <w:rFonts w:ascii="Arial" w:cs="Arial" w:eastAsia="Arial" w:hAnsi="Arial"/>
                <w:color w:val="555E7A"/>
                <w:sz w:val="18"/>
                <w:szCs w:val="18"/>
              </w:rPr>
              <w:t xml:space="preserve">San Jose, CA</w:t>
            </w:r>
          </w:p>
        </w:tc>
      </w:tr>
    </w:tbl>
    <w:p>
      <w:pPr>
        <w:pBdr>
          <w:bottom w:val="single" w:color="0D1B2E" w:sz="12"/>
        </w:pBdr>
        <w:spacing w:after="0" w:before="120"/>
      </w:pPr>
    </w:p>
    <w:p>
      <w:pPr>
        <w:spacing w:after="0" w:before="120"/>
      </w:pPr>
    </w:p>
    <w:p>
      <w:pPr>
        <w:pBdr>
          <w:bottom w:val="single" w:color="007BA8" w:sz="8"/>
        </w:pBdr>
        <w:spacing w:after="80" w:before="320"/>
      </w:pPr>
      <w:r>
        <w:rPr>
          <w:rFonts w:ascii="Arial" w:cs="Arial" w:eastAsia="Arial" w:hAnsi="Arial"/>
          <w:b/>
          <w:bCs/>
          <w:color w:val="0D1B2E"/>
          <w:spacing w:val="40"/>
          <w:sz w:val="22"/>
          <w:szCs w:val="22"/>
        </w:rPr>
        <w:t xml:space="preserve">EXECUTIVE SUMMARY</w:t>
      </w:r>
    </w:p>
    <w:p>
      <w:pPr>
        <w:spacing w:after="80" w:before="120"/>
      </w:pPr>
      <w:r>
        <w:rPr>
          <w:rFonts w:ascii="Arial" w:cs="Arial" w:eastAsia="Arial" w:hAnsi="Arial"/>
          <w:color w:val="1A1A2E"/>
          <w:sz w:val="19"/>
          <w:szCs w:val="19"/>
        </w:rPr>
        <w:t xml:space="preserve">Director-level IT leader with 20+ years of experience designing, securing, and operating enterprise infrastructure across Microsoft and Linux environments. Deep expertise in hybrid cloud architecture, identity and access management, cybersecurity, and compliance frameworks including PCI DSS 4.0.1.</w:t>
      </w:r>
    </w:p>
    <w:p>
      <w:pPr>
        <w:spacing w:after="120" w:before="0"/>
      </w:pPr>
      <w:r>
        <w:rPr>
          <w:rFonts w:ascii="Arial" w:cs="Arial" w:eastAsia="Arial" w:hAnsi="Arial"/>
          <w:color w:val="1A1A2E"/>
          <w:sz w:val="19"/>
          <w:szCs w:val="19"/>
        </w:rPr>
        <w:t xml:space="preserve">Proven track record of leading organizations through successful PCI readiness and audit completion, while remaining highly hands-on across infrastructure, DevOps, and security operations. Strong partner to software engineering teams, enabling secure, scalable application delivery across on-prem and cloud platforms.</w:t>
      </w:r>
    </w:p>
    <w:p>
      <w:pPr>
        <w:pBdr>
          <w:bottom w:val="single" w:color="007BA8" w:sz="8"/>
        </w:pBdr>
        <w:spacing w:after="80" w:before="320"/>
      </w:pPr>
      <w:r>
        <w:rPr>
          <w:rFonts w:ascii="Arial" w:cs="Arial" w:eastAsia="Arial" w:hAnsi="Arial"/>
          <w:b/>
          <w:bCs/>
          <w:color w:val="0D1B2E"/>
          <w:spacing w:val="40"/>
          <w:sz w:val="22"/>
          <w:szCs w:val="22"/>
        </w:rPr>
        <w:t xml:space="preserve">CORE COMPETENCIES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Microsoft 365</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Exchange Online · SharePoint · Teams · Microsoft Intune · Defender · Microsoft Purview · PowerShell</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Identity &amp; IAM</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Microsoft Entra ID (Azure AD) · Conditional Access · MFA · Risk-Based Policies · Graph API · Active Directory</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Security</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PCI DSS 4.0.1 · CIS Benchmarks · NIST CSF · DKIM/DMARC/SPF · OME · Kali Linux · Penetration Testing · FreeRADIUS</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Linux / DevOps</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Ubuntu 22.04/24.04 · Fedora CoreOS · Docker · Docker Compose · Podman · NGINX · Prometheus · Grafana · Alertmanager · Loki · Wazuh</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Cloud &amp; Infra</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Azure · Oracle Cloud (OCI) · Hybrid Architecture · Windows Server · Cisco ASA · FortiGate · Juniper</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Virtualization</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VMware ESXi · vSphere · vCenter Server · vMotion · HA/DRS · Microsoft Hyper-V · Hyper-V Clustering · Proxmox VE · VM Templates · Snapshots · Storage vMotion</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Scripting &amp; Auto</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PowerShell · Bash · Microsoft Graph PowerShell SDK · Python (ML/AI coursework)</w:t>
            </w:r>
          </w:p>
        </w:tc>
      </w:tr>
    </w:tbl>
    <w:p>
      <w:pPr>
        <w:spacing w:after="0" w:before="80"/>
      </w:pPr>
    </w:p>
    <w:p>
      <w:pPr>
        <w:pBdr>
          <w:bottom w:val="single" w:color="007BA8" w:sz="8"/>
        </w:pBdr>
        <w:spacing w:after="80" w:before="320"/>
      </w:pPr>
      <w:r>
        <w:rPr>
          <w:rFonts w:ascii="Arial" w:cs="Arial" w:eastAsia="Arial" w:hAnsi="Arial"/>
          <w:b/>
          <w:bCs/>
          <w:color w:val="0D1B2E"/>
          <w:spacing w:val="40"/>
          <w:sz w:val="22"/>
          <w:szCs w:val="22"/>
        </w:rPr>
        <w:t xml:space="preserve">PROFESSIONAL EXPERIENCE</w:t>
      </w:r>
    </w:p>
    <w:tbl>
      <w:tblPr>
        <w:tblW w:type="dxa" w:w="9360"/>
        <w:tblBorders>
          <w:top w:val="none" w:sz="0"/>
          <w:left w:val="none" w:sz="0"/>
          <w:bottom w:val="none" w:sz="0"/>
          <w:right w:val="none"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240"/>
            </w:pPr>
            <w:r>
              <w:rPr>
                <w:rFonts w:ascii="Arial" w:cs="Arial" w:eastAsia="Arial" w:hAnsi="Arial"/>
                <w:b/>
                <w:bCs/>
                <w:color w:val="0D1B2E"/>
                <w:sz w:val="24"/>
                <w:szCs w:val="24"/>
              </w:rPr>
              <w:t xml:space="preserve">Director of IT  (Hands-On Identity &amp; Infrastructure Lead)</w:t>
            </w:r>
          </w:p>
          <w:p>
            <w:pPr>
              <w:spacing w:after="0" w:before="40"/>
            </w:pPr>
            <w:r>
              <w:rPr>
                <w:rFonts w:ascii="Arial" w:cs="Arial" w:eastAsia="Arial" w:hAnsi="Arial"/>
                <w:b/>
                <w:bCs/>
                <w:color w:val="007BA8"/>
                <w:sz w:val="20"/>
                <w:szCs w:val="20"/>
              </w:rPr>
              <w:t xml:space="preserve">Paynuity, Inc.  (Fintech)</w:t>
            </w:r>
            <w:r>
              <w:rPr>
                <w:rFonts w:ascii="Arial" w:cs="Arial" w:eastAsia="Arial" w:hAnsi="Arial"/>
                <w:color w:val="555E7A"/>
                <w:sz w:val="18"/>
                <w:szCs w:val="18"/>
              </w:rPr>
              <w:t xml:space="preserve">  ·  Remote / San Jose, CA</w:t>
            </w:r>
          </w:p>
        </w:tc>
        <w:tc>
          <w:tcPr>
            <w:tcW w:type="dxa" w:w="3960"/>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0" w:before="240"/>
              <w:jc w:val="right"/>
            </w:pPr>
            <w:r>
              <w:rPr>
                <w:rFonts w:ascii="Arial" w:cs="Arial" w:eastAsia="Arial" w:hAnsi="Arial"/>
                <w:i/>
                <w:iCs/>
                <w:color w:val="555E7A"/>
                <w:sz w:val="18"/>
                <w:szCs w:val="18"/>
              </w:rPr>
              <w:t xml:space="preserve">Dec 2022 – Sept 2025</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BA8" w:sz="4"/>
              <w:left w:val="single" w:color="007BA8" w:sz="16"/>
              <w:bottom w:val="single" w:color="007BA8" w:sz="4"/>
              <w:right w:val="single" w:color="007BA8" w:sz="4"/>
            </w:tcBorders>
            <w:shd w:fill="EBF5FA" w:val="clear"/>
            <w:tcMar>
              <w:top w:type="dxa" w:w="120"/>
              <w:left w:type="dxa" w:w="180"/>
              <w:bottom w:type="dxa" w:w="120"/>
              <w:right w:type="dxa" w:w="180"/>
            </w:tcMar>
          </w:tcPr>
          <w:p>
            <w:r>
              <w:rPr>
                <w:rFonts w:ascii="Arial" w:cs="Arial" w:eastAsia="Arial" w:hAnsi="Arial"/>
                <w:i/>
                <w:iCs/>
                <w:color w:val="1A1A2E"/>
                <w:sz w:val="19"/>
                <w:szCs w:val="19"/>
              </w:rPr>
              <w:t xml:space="preserve">Led IT strategy, cybersecurity, compliance, and infrastructure operations across a hybrid environment (On-Prem, Azure, OCI), supporting both internal systems and software development teams.</w:t>
            </w:r>
          </w:p>
        </w:tc>
      </w:tr>
    </w:tbl>
    <w:p>
      <w:pPr>
        <w:spacing w:after="0" w:before="80"/>
      </w:pPr>
    </w:p>
    <w:p>
      <w:pPr>
        <w:spacing w:after="40" w:before="160"/>
      </w:pPr>
      <w:r>
        <w:rPr>
          <w:rFonts w:ascii="Arial" w:cs="Arial" w:eastAsia="Arial" w:hAnsi="Arial"/>
          <w:b/>
          <w:bCs/>
          <w:caps/>
          <w:color w:val="B87800"/>
          <w:spacing w:val="20"/>
          <w:sz w:val="19"/>
          <w:szCs w:val="19"/>
        </w:rPr>
        <w:t xml:space="preserve">PCI DSS 4.0.1 Readiness, Certification &amp; Compliance Management</w:t>
      </w:r>
    </w:p>
    <w:p>
      <w:pPr>
        <w:pStyle w:val="ListParagraph"/>
        <w:numPr>
          <w:ilvl w:val="0"/>
          <w:numId w:val="2"/>
        </w:numPr>
        <w:spacing w:after="40" w:before="40"/>
      </w:pPr>
      <w:r>
        <w:rPr>
          <w:rFonts w:ascii="Arial" w:cs="Arial" w:eastAsia="Arial" w:hAnsi="Arial"/>
          <w:color w:val="1A1A2E"/>
          <w:sz w:val="19"/>
          <w:szCs w:val="19"/>
        </w:rPr>
        <w:t xml:space="preserve">Successfully led the organization through PCI DSS 4.0.1 certification — all applicable requirements passed.</w:t>
      </w:r>
    </w:p>
    <w:p>
      <w:pPr>
        <w:pStyle w:val="ListParagraph"/>
        <w:numPr>
          <w:ilvl w:val="0"/>
          <w:numId w:val="2"/>
        </w:numPr>
        <w:spacing w:after="40" w:before="40"/>
      </w:pPr>
      <w:r>
        <w:rPr>
          <w:rFonts w:ascii="Arial" w:cs="Arial" w:eastAsia="Arial" w:hAnsi="Arial"/>
          <w:color w:val="1A1A2E"/>
          <w:sz w:val="19"/>
          <w:szCs w:val="19"/>
        </w:rPr>
        <w:t xml:space="preserve">Owned the complete compliance lifecycle: gap analysis, remediation, SOPs, evidence repository, and audit readiness.</w:t>
      </w:r>
    </w:p>
    <w:p>
      <w:pPr>
        <w:pStyle w:val="ListParagraph"/>
        <w:numPr>
          <w:ilvl w:val="0"/>
          <w:numId w:val="2"/>
        </w:numPr>
        <w:spacing w:after="40" w:before="40"/>
      </w:pPr>
      <w:r>
        <w:rPr>
          <w:rFonts w:ascii="Arial" w:cs="Arial" w:eastAsia="Arial" w:hAnsi="Arial"/>
          <w:color w:val="1A1A2E"/>
          <w:sz w:val="19"/>
          <w:szCs w:val="19"/>
        </w:rPr>
        <w:t xml:space="preserve">Authored and maintained all compliance documentation, policies, and structured trackers used during audit cycles.</w:t>
      </w:r>
    </w:p>
    <w:p>
      <w:pPr>
        <w:pStyle w:val="ListParagraph"/>
        <w:numPr>
          <w:ilvl w:val="0"/>
          <w:numId w:val="2"/>
        </w:numPr>
        <w:spacing w:after="40" w:before="40"/>
      </w:pPr>
      <w:r>
        <w:rPr>
          <w:rFonts w:ascii="Arial" w:cs="Arial" w:eastAsia="Arial" w:hAnsi="Arial"/>
          <w:color w:val="1A1A2E"/>
          <w:sz w:val="19"/>
          <w:szCs w:val="19"/>
        </w:rPr>
        <w:t xml:space="preserve">Built PowerShell automation scripts for CIS benchmark checks and PCI control validation.</w:t>
      </w:r>
    </w:p>
    <w:p>
      <w:pPr>
        <w:pStyle w:val="ListParagraph"/>
        <w:numPr>
          <w:ilvl w:val="0"/>
          <w:numId w:val="2"/>
        </w:numPr>
        <w:spacing w:after="40" w:before="40"/>
      </w:pPr>
      <w:r>
        <w:rPr>
          <w:rFonts w:ascii="Arial" w:cs="Arial" w:eastAsia="Arial" w:hAnsi="Arial"/>
          <w:color w:val="1A1A2E"/>
          <w:sz w:val="19"/>
          <w:szCs w:val="19"/>
        </w:rPr>
        <w:t xml:space="preserve">Conducted internal security testing and penetration validation using Kali Linux to satisfy PCI certification requirements.</w:t>
      </w:r>
    </w:p>
    <w:p>
      <w:pPr>
        <w:spacing w:after="40" w:before="160"/>
      </w:pPr>
      <w:r>
        <w:rPr>
          <w:rFonts w:ascii="Arial" w:cs="Arial" w:eastAsia="Arial" w:hAnsi="Arial"/>
          <w:b/>
          <w:bCs/>
          <w:caps/>
          <w:color w:val="B87800"/>
          <w:spacing w:val="20"/>
          <w:sz w:val="19"/>
          <w:szCs w:val="19"/>
        </w:rPr>
        <w:t xml:space="preserve">Identity &amp; Security Architecture</w:t>
      </w:r>
    </w:p>
    <w:p>
      <w:pPr>
        <w:pStyle w:val="ListParagraph"/>
        <w:numPr>
          <w:ilvl w:val="0"/>
          <w:numId w:val="2"/>
        </w:numPr>
        <w:spacing w:after="40" w:before="40"/>
      </w:pPr>
      <w:r>
        <w:rPr>
          <w:rFonts w:ascii="Arial" w:cs="Arial" w:eastAsia="Arial" w:hAnsi="Arial"/>
          <w:color w:val="1A1A2E"/>
          <w:sz w:val="19"/>
          <w:szCs w:val="19"/>
        </w:rPr>
        <w:t xml:space="preserve">Designed and enforced Microsoft Entra ID Conditional Access policies: MFA, session controls, risk-based access, and SSPR.</w:t>
      </w:r>
    </w:p>
    <w:p>
      <w:pPr>
        <w:pStyle w:val="ListParagraph"/>
        <w:numPr>
          <w:ilvl w:val="0"/>
          <w:numId w:val="2"/>
        </w:numPr>
        <w:spacing w:after="40" w:before="40"/>
      </w:pPr>
      <w:r>
        <w:rPr>
          <w:rFonts w:ascii="Arial" w:cs="Arial" w:eastAsia="Arial" w:hAnsi="Arial"/>
          <w:color w:val="1A1A2E"/>
          <w:sz w:val="19"/>
          <w:szCs w:val="19"/>
        </w:rPr>
        <w:t xml:space="preserve">Hardened endpoint security using Microsoft Intune and Defender for Endpoint; enforced CIS security baselines.</w:t>
      </w:r>
    </w:p>
    <w:p>
      <w:pPr>
        <w:pStyle w:val="ListParagraph"/>
        <w:numPr>
          <w:ilvl w:val="0"/>
          <w:numId w:val="2"/>
        </w:numPr>
        <w:spacing w:after="40" w:before="40"/>
      </w:pPr>
      <w:r>
        <w:rPr>
          <w:rFonts w:ascii="Arial" w:cs="Arial" w:eastAsia="Arial" w:hAnsi="Arial"/>
          <w:color w:val="1A1A2E"/>
          <w:sz w:val="19"/>
          <w:szCs w:val="19"/>
        </w:rPr>
        <w:t xml:space="preserve">Resolved complex authentication and session-related issues across the M365 tenant.</w:t>
      </w:r>
    </w:p>
    <w:p>
      <w:pPr>
        <w:pStyle w:val="ListParagraph"/>
        <w:numPr>
          <w:ilvl w:val="0"/>
          <w:numId w:val="2"/>
        </w:numPr>
        <w:spacing w:after="40" w:before="40"/>
      </w:pPr>
      <w:r>
        <w:rPr>
          <w:rFonts w:ascii="Arial" w:cs="Arial" w:eastAsia="Arial" w:hAnsi="Arial"/>
          <w:color w:val="1A1A2E"/>
          <w:sz w:val="19"/>
          <w:szCs w:val="19"/>
        </w:rPr>
        <w:t xml:space="preserve">Strengthened Entra ID identity security posture through structured Conditional Access policy design and tuning.</w:t>
      </w:r>
    </w:p>
    <w:p>
      <w:pPr>
        <w:spacing w:after="40" w:before="160"/>
      </w:pPr>
      <w:r>
        <w:rPr>
          <w:rFonts w:ascii="Arial" w:cs="Arial" w:eastAsia="Arial" w:hAnsi="Arial"/>
          <w:b/>
          <w:bCs/>
          <w:caps/>
          <w:color w:val="B87800"/>
          <w:spacing w:val="20"/>
          <w:sz w:val="19"/>
          <w:szCs w:val="19"/>
        </w:rPr>
        <w:t xml:space="preserve">Microsoft 365 &amp; Email Systems</w:t>
      </w:r>
    </w:p>
    <w:p>
      <w:pPr>
        <w:pStyle w:val="ListParagraph"/>
        <w:numPr>
          <w:ilvl w:val="0"/>
          <w:numId w:val="2"/>
        </w:numPr>
        <w:spacing w:after="40" w:before="40"/>
      </w:pPr>
      <w:r>
        <w:rPr>
          <w:rFonts w:ascii="Arial" w:cs="Arial" w:eastAsia="Arial" w:hAnsi="Arial"/>
          <w:color w:val="1A1A2E"/>
          <w:sz w:val="19"/>
          <w:szCs w:val="19"/>
        </w:rPr>
        <w:t xml:space="preserve">Administered Exchange Online, SharePoint, and Teams environments.</w:t>
      </w:r>
    </w:p>
    <w:p>
      <w:pPr>
        <w:pStyle w:val="ListParagraph"/>
        <w:numPr>
          <w:ilvl w:val="0"/>
          <w:numId w:val="2"/>
        </w:numPr>
        <w:spacing w:after="40" w:before="40"/>
      </w:pPr>
      <w:r>
        <w:rPr>
          <w:rFonts w:ascii="Arial" w:cs="Arial" w:eastAsia="Arial" w:hAnsi="Arial"/>
          <w:color w:val="1A1A2E"/>
          <w:sz w:val="19"/>
          <w:szCs w:val="19"/>
        </w:rPr>
        <w:t xml:space="preserve">Root-caused and resolved a company-wide email outage caused by sensitivity label encryption misconfiguration (OME).</w:t>
      </w:r>
    </w:p>
    <w:p>
      <w:pPr>
        <w:pStyle w:val="ListParagraph"/>
        <w:numPr>
          <w:ilvl w:val="0"/>
          <w:numId w:val="2"/>
        </w:numPr>
        <w:spacing w:after="40" w:before="40"/>
      </w:pPr>
      <w:r>
        <w:rPr>
          <w:rFonts w:ascii="Arial" w:cs="Arial" w:eastAsia="Arial" w:hAnsi="Arial"/>
          <w:color w:val="1A1A2E"/>
          <w:sz w:val="19"/>
          <w:szCs w:val="19"/>
        </w:rPr>
        <w:t xml:space="preserve">Implemented DKIM, DMARC, and SPF across all company sending domains.</w:t>
      </w:r>
    </w:p>
    <w:p>
      <w:pPr>
        <w:spacing w:after="40" w:before="160"/>
      </w:pPr>
      <w:r>
        <w:rPr>
          <w:rFonts w:ascii="Arial" w:cs="Arial" w:eastAsia="Arial" w:hAnsi="Arial"/>
          <w:b/>
          <w:bCs/>
          <w:caps/>
          <w:color w:val="B87800"/>
          <w:spacing w:val="20"/>
          <w:sz w:val="19"/>
          <w:szCs w:val="19"/>
        </w:rPr>
        <w:t xml:space="preserve">Infrastructure, Virtualization, Monitoring &amp; DevOps Enablement</w:t>
      </w:r>
    </w:p>
    <w:p>
      <w:pPr>
        <w:pStyle w:val="ListParagraph"/>
        <w:numPr>
          <w:ilvl w:val="0"/>
          <w:numId w:val="2"/>
        </w:numPr>
        <w:spacing w:after="40" w:before="40"/>
      </w:pPr>
      <w:r>
        <w:rPr>
          <w:rFonts w:ascii="Arial" w:cs="Arial" w:eastAsia="Arial" w:hAnsi="Arial"/>
          <w:color w:val="1A1A2E"/>
          <w:sz w:val="19"/>
          <w:szCs w:val="19"/>
        </w:rPr>
        <w:t xml:space="preserve">Architected hybrid infrastructure spanning On-Premises, Microsoft Azure, and Oracle Cloud Infrastructure (OCI).</w:t>
      </w:r>
    </w:p>
    <w:p>
      <w:pPr>
        <w:pStyle w:val="ListParagraph"/>
        <w:numPr>
          <w:ilvl w:val="0"/>
          <w:numId w:val="2"/>
        </w:numPr>
        <w:spacing w:after="40" w:before="40"/>
      </w:pPr>
      <w:r>
        <w:rPr>
          <w:rFonts w:ascii="Arial" w:cs="Arial" w:eastAsia="Arial" w:hAnsi="Arial"/>
          <w:color w:val="1A1A2E"/>
          <w:sz w:val="19"/>
          <w:szCs w:val="19"/>
        </w:rPr>
        <w:t xml:space="preserve">Managed VMware ESXi/vSphere and Hyper-V environments; deployed and maintained VMs for production and lab workloads.</w:t>
      </w:r>
    </w:p>
    <w:p>
      <w:pPr>
        <w:pStyle w:val="ListParagraph"/>
        <w:numPr>
          <w:ilvl w:val="0"/>
          <w:numId w:val="2"/>
        </w:numPr>
        <w:spacing w:after="40" w:before="40"/>
      </w:pPr>
      <w:r>
        <w:rPr>
          <w:rFonts w:ascii="Arial" w:cs="Arial" w:eastAsia="Arial" w:hAnsi="Arial"/>
          <w:color w:val="1A1A2E"/>
          <w:sz w:val="19"/>
          <w:szCs w:val="19"/>
        </w:rPr>
        <w:t xml:space="preserve">Used Proxmox VE for internal lab virtualization, containerization testing, and Fedora CoreOS deployments.</w:t>
      </w:r>
    </w:p>
    <w:p>
      <w:pPr>
        <w:pStyle w:val="ListParagraph"/>
        <w:numPr>
          <w:ilvl w:val="0"/>
          <w:numId w:val="2"/>
        </w:numPr>
        <w:spacing w:after="40" w:before="40"/>
      </w:pPr>
      <w:r>
        <w:rPr>
          <w:rFonts w:ascii="Arial" w:cs="Arial" w:eastAsia="Arial" w:hAnsi="Arial"/>
          <w:color w:val="1A1A2E"/>
          <w:sz w:val="19"/>
          <w:szCs w:val="19"/>
        </w:rPr>
        <w:t xml:space="preserve">Built containerized IT service stack using Docker Compose: NGINX Proxy Manager, Portainer, Technitium DNS.</w:t>
      </w:r>
    </w:p>
    <w:p>
      <w:pPr>
        <w:pStyle w:val="ListParagraph"/>
        <w:numPr>
          <w:ilvl w:val="0"/>
          <w:numId w:val="2"/>
        </w:numPr>
        <w:spacing w:after="40" w:before="40"/>
      </w:pPr>
      <w:r>
        <w:rPr>
          <w:rFonts w:ascii="Arial" w:cs="Arial" w:eastAsia="Arial" w:hAnsi="Arial"/>
          <w:color w:val="1A1A2E"/>
          <w:sz w:val="19"/>
          <w:szCs w:val="19"/>
        </w:rPr>
        <w:t xml:space="preserve">Designed production observability stack: Prometheus, Grafana, Alertmanager with Telegram alert integration.</w:t>
      </w:r>
    </w:p>
    <w:p>
      <w:pPr>
        <w:pStyle w:val="ListParagraph"/>
        <w:numPr>
          <w:ilvl w:val="0"/>
          <w:numId w:val="2"/>
        </w:numPr>
        <w:spacing w:after="40" w:before="40"/>
      </w:pPr>
      <w:r>
        <w:rPr>
          <w:rFonts w:ascii="Arial" w:cs="Arial" w:eastAsia="Arial" w:hAnsi="Arial"/>
          <w:color w:val="1A1A2E"/>
          <w:sz w:val="19"/>
          <w:szCs w:val="19"/>
        </w:rPr>
        <w:t xml:space="preserve">Partnered with software development teams to support application deployments and ensure secure environment configurations.</w:t>
      </w:r>
    </w:p>
    <w:p>
      <w:pPr>
        <w:spacing w:after="0" w:before="80"/>
      </w:pPr>
    </w:p>
    <w:tbl>
      <w:tblPr>
        <w:tblW w:type="dxa" w:w="9360"/>
        <w:tblBorders>
          <w:top w:val="none" w:sz="0"/>
          <w:left w:val="none" w:sz="0"/>
          <w:bottom w:val="none" w:sz="0"/>
          <w:right w:val="none"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240"/>
            </w:pPr>
            <w:r>
              <w:rPr>
                <w:rFonts w:ascii="Arial" w:cs="Arial" w:eastAsia="Arial" w:hAnsi="Arial"/>
                <w:b/>
                <w:bCs/>
                <w:color w:val="0D1B2E"/>
                <w:sz w:val="24"/>
                <w:szCs w:val="24"/>
              </w:rPr>
              <w:t xml:space="preserve">Senior Cloud &amp; Systems Administrator</w:t>
            </w:r>
          </w:p>
          <w:p>
            <w:pPr>
              <w:spacing w:after="0" w:before="40"/>
            </w:pPr>
            <w:r>
              <w:rPr>
                <w:rFonts w:ascii="Arial" w:cs="Arial" w:eastAsia="Arial" w:hAnsi="Arial"/>
                <w:b/>
                <w:bCs/>
                <w:color w:val="007BA8"/>
                <w:sz w:val="20"/>
                <w:szCs w:val="20"/>
              </w:rPr>
              <w:t xml:space="preserve">SignMySigns</w:t>
            </w:r>
            <w:r>
              <w:rPr>
                <w:rFonts w:ascii="Arial" w:cs="Arial" w:eastAsia="Arial" w:hAnsi="Arial"/>
                <w:color w:val="555E7A"/>
                <w:sz w:val="18"/>
                <w:szCs w:val="18"/>
              </w:rPr>
              <w:t xml:space="preserve">  ·  San Jose, CA</w:t>
            </w:r>
          </w:p>
        </w:tc>
        <w:tc>
          <w:tcPr>
            <w:tcW w:type="dxa" w:w="3960"/>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0" w:before="240"/>
              <w:jc w:val="right"/>
            </w:pPr>
            <w:r>
              <w:rPr>
                <w:rFonts w:ascii="Arial" w:cs="Arial" w:eastAsia="Arial" w:hAnsi="Arial"/>
                <w:i/>
                <w:iCs/>
                <w:color w:val="555E7A"/>
                <w:sz w:val="18"/>
                <w:szCs w:val="18"/>
              </w:rPr>
              <w:t xml:space="preserve">Jul 2014 – Nov 2022</w:t>
            </w:r>
          </w:p>
        </w:tc>
      </w:tr>
    </w:tbl>
    <w:p>
      <w:pPr>
        <w:spacing w:after="0" w:before="80"/>
      </w:pPr>
    </w:p>
    <w:p>
      <w:pPr>
        <w:pStyle w:val="ListParagraph"/>
        <w:numPr>
          <w:ilvl w:val="0"/>
          <w:numId w:val="2"/>
        </w:numPr>
        <w:spacing w:after="40" w:before="40"/>
      </w:pPr>
      <w:r>
        <w:rPr>
          <w:rFonts w:ascii="Arial" w:cs="Arial" w:eastAsia="Arial" w:hAnsi="Arial"/>
          <w:color w:val="1A1A2E"/>
          <w:sz w:val="19"/>
          <w:szCs w:val="19"/>
        </w:rPr>
        <w:t xml:space="preserve">Managed hybrid infrastructure across Windows Server and Linux systems for 8+ years.</w:t>
      </w:r>
    </w:p>
    <w:p>
      <w:pPr>
        <w:pStyle w:val="ListParagraph"/>
        <w:numPr>
          <w:ilvl w:val="0"/>
          <w:numId w:val="2"/>
        </w:numPr>
        <w:spacing w:after="40" w:before="40"/>
      </w:pPr>
      <w:r>
        <w:rPr>
          <w:rFonts w:ascii="Arial" w:cs="Arial" w:eastAsia="Arial" w:hAnsi="Arial"/>
          <w:color w:val="1A1A2E"/>
          <w:sz w:val="19"/>
          <w:szCs w:val="19"/>
        </w:rPr>
        <w:t xml:space="preserve">Administered Microsoft 365 (Exchange Online, SharePoint, Entra ID) — full lifecycle ownership.</w:t>
      </w:r>
    </w:p>
    <w:p>
      <w:pPr>
        <w:pStyle w:val="ListParagraph"/>
        <w:numPr>
          <w:ilvl w:val="0"/>
          <w:numId w:val="2"/>
        </w:numPr>
        <w:spacing w:after="40" w:before="40"/>
      </w:pPr>
      <w:r>
        <w:rPr>
          <w:rFonts w:ascii="Arial" w:cs="Arial" w:eastAsia="Arial" w:hAnsi="Arial"/>
          <w:color w:val="1A1A2E"/>
          <w:sz w:val="19"/>
          <w:szCs w:val="19"/>
        </w:rPr>
        <w:t xml:space="preserve">Implemented SPF, DKIM, and DMARC for all company domains; maintained email deliverability.</w:t>
      </w:r>
    </w:p>
    <w:p>
      <w:pPr>
        <w:pStyle w:val="ListParagraph"/>
        <w:numPr>
          <w:ilvl w:val="0"/>
          <w:numId w:val="2"/>
        </w:numPr>
        <w:spacing w:after="40" w:before="40"/>
      </w:pPr>
      <w:r>
        <w:rPr>
          <w:rFonts w:ascii="Arial" w:cs="Arial" w:eastAsia="Arial" w:hAnsi="Arial"/>
          <w:color w:val="1A1A2E"/>
          <w:sz w:val="19"/>
          <w:szCs w:val="19"/>
        </w:rPr>
        <w:t xml:space="preserve">Designed and maintained backup and disaster recovery strategy and documentation.</w:t>
      </w:r>
    </w:p>
    <w:p>
      <w:pPr>
        <w:pStyle w:val="ListParagraph"/>
        <w:numPr>
          <w:ilvl w:val="0"/>
          <w:numId w:val="2"/>
        </w:numPr>
        <w:spacing w:after="40" w:before="40"/>
      </w:pPr>
      <w:r>
        <w:rPr>
          <w:rFonts w:ascii="Arial" w:cs="Arial" w:eastAsia="Arial" w:hAnsi="Arial"/>
          <w:color w:val="1A1A2E"/>
          <w:sz w:val="19"/>
          <w:szCs w:val="19"/>
        </w:rPr>
        <w:t xml:space="preserve">Managed VMware ESXi/vSphere environment from initial company deployment — built out and maintained the full virtual infrastructure stack including vCenter, vMotion, HA/DRS, and VM templates.</w:t>
      </w:r>
    </w:p>
    <w:p>
      <w:pPr>
        <w:pStyle w:val="ListParagraph"/>
        <w:numPr>
          <w:ilvl w:val="0"/>
          <w:numId w:val="2"/>
        </w:numPr>
        <w:spacing w:after="40" w:before="40"/>
      </w:pPr>
      <w:r>
        <w:rPr>
          <w:rFonts w:ascii="Arial" w:cs="Arial" w:eastAsia="Arial" w:hAnsi="Arial"/>
          <w:color w:val="1A1A2E"/>
          <w:sz w:val="19"/>
          <w:szCs w:val="19"/>
        </w:rPr>
        <w:t xml:space="preserve">Administered Microsoft Hyper-V alongside VMware; managed VM provisioning, snapshots, templates, and storage.</w:t>
      </w:r>
    </w:p>
    <w:p>
      <w:pPr>
        <w:pStyle w:val="ListParagraph"/>
        <w:numPr>
          <w:ilvl w:val="0"/>
          <w:numId w:val="2"/>
        </w:numPr>
        <w:spacing w:after="40" w:before="40"/>
      </w:pPr>
      <w:r>
        <w:rPr>
          <w:rFonts w:ascii="Arial" w:cs="Arial" w:eastAsia="Arial" w:hAnsi="Arial"/>
          <w:color w:val="1A1A2E"/>
          <w:sz w:val="19"/>
          <w:szCs w:val="19"/>
        </w:rPr>
        <w:t xml:space="preserve">Managed DNS, Cloudflare integrations, and domain administration.</w:t>
      </w:r>
    </w:p>
    <w:p>
      <w:pPr>
        <w:pStyle w:val="ListParagraph"/>
        <w:numPr>
          <w:ilvl w:val="0"/>
          <w:numId w:val="2"/>
        </w:numPr>
        <w:spacing w:after="40" w:before="40"/>
      </w:pPr>
      <w:r>
        <w:rPr>
          <w:rFonts w:ascii="Arial" w:cs="Arial" w:eastAsia="Arial" w:hAnsi="Arial"/>
          <w:color w:val="1A1A2E"/>
          <w:sz w:val="19"/>
          <w:szCs w:val="19"/>
        </w:rPr>
        <w:t xml:space="preserve">Owned full IT lifecycle: procurement, deployment, maintenance, and asset refresh.</w:t>
      </w:r>
    </w:p>
    <w:p>
      <w:pPr>
        <w:spacing w:after="0" w:before="80"/>
      </w:pPr>
    </w:p>
    <w:tbl>
      <w:tblPr>
        <w:tblW w:type="dxa" w:w="9360"/>
        <w:tblBorders>
          <w:top w:val="none" w:sz="0"/>
          <w:left w:val="none" w:sz="0"/>
          <w:bottom w:val="none" w:sz="0"/>
          <w:right w:val="none"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240"/>
            </w:pPr>
            <w:r>
              <w:rPr>
                <w:rFonts w:ascii="Arial" w:cs="Arial" w:eastAsia="Arial" w:hAnsi="Arial"/>
                <w:b/>
                <w:bCs/>
                <w:color w:val="0D1B2E"/>
                <w:sz w:val="24"/>
                <w:szCs w:val="24"/>
              </w:rPr>
              <w:t xml:space="preserve">Senior IT &amp; Services Manager  /  Unix Systems Administrator Lead</w:t>
            </w:r>
          </w:p>
          <w:p>
            <w:pPr>
              <w:spacing w:after="0" w:before="40"/>
            </w:pPr>
            <w:r>
              <w:rPr>
                <w:rFonts w:ascii="Arial" w:cs="Arial" w:eastAsia="Arial" w:hAnsi="Arial"/>
                <w:b/>
                <w:bCs/>
                <w:color w:val="007BA8"/>
                <w:sz w:val="20"/>
                <w:szCs w:val="20"/>
              </w:rPr>
              <w:t xml:space="preserve">Nomis Solutions</w:t>
            </w:r>
            <w:r>
              <w:rPr>
                <w:rFonts w:ascii="Arial" w:cs="Arial" w:eastAsia="Arial" w:hAnsi="Arial"/>
                <w:color w:val="555E7A"/>
                <w:sz w:val="18"/>
                <w:szCs w:val="18"/>
              </w:rPr>
              <w:t xml:space="preserve">  ·  San Bruno, CA</w:t>
            </w:r>
          </w:p>
        </w:tc>
        <w:tc>
          <w:tcPr>
            <w:tcW w:type="dxa" w:w="3960"/>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0" w:before="240"/>
              <w:jc w:val="right"/>
            </w:pPr>
            <w:r>
              <w:rPr>
                <w:rFonts w:ascii="Arial" w:cs="Arial" w:eastAsia="Arial" w:hAnsi="Arial"/>
                <w:i/>
                <w:iCs/>
                <w:color w:val="555E7A"/>
                <w:sz w:val="18"/>
                <w:szCs w:val="18"/>
              </w:rPr>
              <w:t xml:space="preserve">Nov 2007 – Jul 2014</w:t>
            </w:r>
          </w:p>
        </w:tc>
      </w:tr>
    </w:tbl>
    <w:p>
      <w:pPr>
        <w:spacing w:after="0" w:before="80"/>
      </w:pPr>
    </w:p>
    <w:p>
      <w:pPr>
        <w:pStyle w:val="ListParagraph"/>
        <w:numPr>
          <w:ilvl w:val="0"/>
          <w:numId w:val="2"/>
        </w:numPr>
        <w:spacing w:after="40" w:before="40"/>
      </w:pPr>
      <w:r>
        <w:rPr>
          <w:rFonts w:ascii="Arial" w:cs="Arial" w:eastAsia="Arial" w:hAnsi="Arial"/>
          <w:color w:val="1A1A2E"/>
          <w:sz w:val="19"/>
          <w:szCs w:val="19"/>
        </w:rPr>
        <w:t xml:space="preserve">Managed hybrid on-prem + AWS infrastructure supporting enterprise SaaS pricing platforms for major financial institutions.</w:t>
      </w:r>
    </w:p>
    <w:p>
      <w:pPr>
        <w:pStyle w:val="ListParagraph"/>
        <w:numPr>
          <w:ilvl w:val="0"/>
          <w:numId w:val="2"/>
        </w:numPr>
        <w:spacing w:after="40" w:before="40"/>
      </w:pPr>
      <w:r>
        <w:rPr>
          <w:rFonts w:ascii="Arial" w:cs="Arial" w:eastAsia="Arial" w:hAnsi="Arial"/>
          <w:color w:val="1A1A2E"/>
          <w:sz w:val="19"/>
          <w:szCs w:val="19"/>
        </w:rPr>
        <w:t xml:space="preserve">Led Unix/Linux system administration for production systems; implemented monitoring, patching, and operational processes.</w:t>
      </w:r>
    </w:p>
    <w:p>
      <w:pPr>
        <w:pStyle w:val="ListParagraph"/>
        <w:numPr>
          <w:ilvl w:val="0"/>
          <w:numId w:val="2"/>
        </w:numPr>
        <w:spacing w:after="40" w:before="40"/>
      </w:pPr>
      <w:r>
        <w:rPr>
          <w:rFonts w:ascii="Arial" w:cs="Arial" w:eastAsia="Arial" w:hAnsi="Arial"/>
          <w:color w:val="1A1A2E"/>
          <w:sz w:val="19"/>
          <w:szCs w:val="19"/>
        </w:rPr>
        <w:t xml:space="preserve">Played cross-functional role across IT support, sales engineering, and DevOps.</w:t>
      </w:r>
    </w:p>
    <w:p>
      <w:pPr>
        <w:pStyle w:val="ListParagraph"/>
        <w:numPr>
          <w:ilvl w:val="0"/>
          <w:numId w:val="2"/>
        </w:numPr>
        <w:spacing w:after="40" w:before="40"/>
      </w:pPr>
      <w:r>
        <w:rPr>
          <w:rFonts w:ascii="Arial" w:cs="Arial" w:eastAsia="Arial" w:hAnsi="Arial"/>
          <w:color w:val="1A1A2E"/>
          <w:sz w:val="19"/>
          <w:szCs w:val="19"/>
        </w:rPr>
        <w:t xml:space="preserve">Owned full infrastructure lifecycle: procurement, deployment, upgrades, and refresh.</w:t>
      </w:r>
    </w:p>
    <w:p>
      <w:pPr>
        <w:spacing w:after="0" w:before="80"/>
      </w:pPr>
    </w:p>
    <w:tbl>
      <w:tblPr>
        <w:tblW w:type="dxa" w:w="9360"/>
        <w:tblBorders>
          <w:top w:val="none" w:sz="0"/>
          <w:left w:val="none" w:sz="0"/>
          <w:bottom w:val="none" w:sz="0"/>
          <w:right w:val="none"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240"/>
            </w:pPr>
            <w:r>
              <w:rPr>
                <w:rFonts w:ascii="Arial" w:cs="Arial" w:eastAsia="Arial" w:hAnsi="Arial"/>
                <w:b/>
                <w:bCs/>
                <w:color w:val="0D1B2E"/>
                <w:sz w:val="24"/>
                <w:szCs w:val="24"/>
              </w:rPr>
              <w:t xml:space="preserve">Senior Windows / Linux Consultant</w:t>
            </w:r>
          </w:p>
          <w:p>
            <w:pPr>
              <w:spacing w:after="0" w:before="40"/>
            </w:pPr>
            <w:r>
              <w:rPr>
                <w:rFonts w:ascii="Arial" w:cs="Arial" w:eastAsia="Arial" w:hAnsi="Arial"/>
                <w:b/>
                <w:bCs/>
                <w:color w:val="007BA8"/>
                <w:sz w:val="20"/>
                <w:szCs w:val="20"/>
              </w:rPr>
              <w:t xml:space="preserve">Allcovered  (Konica Minolta IT Services)</w:t>
            </w:r>
            <w:r>
              <w:rPr>
                <w:rFonts w:ascii="Arial" w:cs="Arial" w:eastAsia="Arial" w:hAnsi="Arial"/>
                <w:color w:val="555E7A"/>
                <w:sz w:val="18"/>
                <w:szCs w:val="18"/>
              </w:rPr>
              <w:t xml:space="preserve">  ·  Various Client Sites</w:t>
            </w:r>
          </w:p>
        </w:tc>
        <w:tc>
          <w:tcPr>
            <w:tcW w:type="dxa" w:w="3960"/>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0" w:before="240"/>
              <w:jc w:val="right"/>
            </w:pPr>
            <w:r>
              <w:rPr>
                <w:rFonts w:ascii="Arial" w:cs="Arial" w:eastAsia="Arial" w:hAnsi="Arial"/>
                <w:i/>
                <w:iCs/>
                <w:color w:val="555E7A"/>
                <w:sz w:val="18"/>
                <w:szCs w:val="18"/>
              </w:rPr>
              <w:t xml:space="preserve">Jun 2004 – Nov 2007</w:t>
            </w:r>
          </w:p>
        </w:tc>
      </w:tr>
    </w:tbl>
    <w:p>
      <w:pPr>
        <w:spacing w:after="0" w:before="80"/>
      </w:pPr>
    </w:p>
    <w:p>
      <w:pPr>
        <w:pStyle w:val="ListParagraph"/>
        <w:numPr>
          <w:ilvl w:val="0"/>
          <w:numId w:val="2"/>
        </w:numPr>
        <w:spacing w:after="40" w:before="40"/>
      </w:pPr>
      <w:r>
        <w:rPr>
          <w:rFonts w:ascii="Arial" w:cs="Arial" w:eastAsia="Arial" w:hAnsi="Arial"/>
          <w:color w:val="1A1A2E"/>
          <w:sz w:val="19"/>
          <w:szCs w:val="19"/>
        </w:rPr>
        <w:t xml:space="preserve">Independently managed 10+ client environments across Windows and Linux platforms.</w:t>
      </w:r>
    </w:p>
    <w:p>
      <w:pPr>
        <w:pStyle w:val="ListParagraph"/>
        <w:numPr>
          <w:ilvl w:val="0"/>
          <w:numId w:val="2"/>
        </w:numPr>
        <w:spacing w:after="40" w:before="40"/>
      </w:pPr>
      <w:r>
        <w:rPr>
          <w:rFonts w:ascii="Arial" w:cs="Arial" w:eastAsia="Arial" w:hAnsi="Arial"/>
          <w:color w:val="1A1A2E"/>
          <w:sz w:val="19"/>
          <w:szCs w:val="19"/>
        </w:rPr>
        <w:t xml:space="preserve">Led migrations, upgrades, and security remediation; provided advanced troubleshooting under SLA accountability.</w:t>
      </w:r>
    </w:p>
    <w:p>
      <w:pPr>
        <w:spacing w:after="40" w:before="40"/>
      </w:pPr>
      <w:r>
        <w:rPr>
          <w:rFonts w:ascii="Arial" w:cs="Arial" w:eastAsia="Arial" w:hAnsi="Arial"/>
          <w:b/>
          <w:bCs/>
          <w:color w:val="1A1A2E"/>
          <w:sz w:val="19"/>
          <w:szCs w:val="19"/>
        </w:rPr>
        <w:t xml:space="preserve">Key clients: </w:t>
      </w:r>
      <w:r>
        <w:rPr>
          <w:rFonts w:ascii="Arial" w:cs="Arial" w:eastAsia="Arial" w:hAnsi="Arial"/>
          <w:color w:val="1A1A2E"/>
          <w:sz w:val="19"/>
          <w:szCs w:val="19"/>
        </w:rPr>
        <w:t xml:space="preserve">Genentech · BioMarin Pharmaceutical · CareDx · Intersect ENT · InClin · Pacific BioLab · Clinimetrics (Omnicare)</w:t>
      </w:r>
    </w:p>
    <w:p>
      <w:pPr>
        <w:spacing w:after="0" w:before="80"/>
      </w:pPr>
    </w:p>
    <w:tbl>
      <w:tblPr>
        <w:tblW w:type="dxa" w:w="9360"/>
        <w:tblBorders>
          <w:top w:val="none" w:sz="0"/>
          <w:left w:val="none" w:sz="0"/>
          <w:bottom w:val="none" w:sz="0"/>
          <w:right w:val="none"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240"/>
            </w:pPr>
            <w:r>
              <w:rPr>
                <w:rFonts w:ascii="Arial" w:cs="Arial" w:eastAsia="Arial" w:hAnsi="Arial"/>
                <w:b/>
                <w:bCs/>
                <w:color w:val="0D1B2E"/>
                <w:sz w:val="24"/>
                <w:szCs w:val="24"/>
              </w:rPr>
              <w:t xml:space="preserve">Director of IT</w:t>
            </w:r>
          </w:p>
          <w:p>
            <w:pPr>
              <w:spacing w:after="0" w:before="40"/>
            </w:pPr>
            <w:r>
              <w:rPr>
                <w:rFonts w:ascii="Arial" w:cs="Arial" w:eastAsia="Arial" w:hAnsi="Arial"/>
                <w:b/>
                <w:bCs/>
                <w:color w:val="007BA8"/>
                <w:sz w:val="20"/>
                <w:szCs w:val="20"/>
              </w:rPr>
              <w:t xml:space="preserve">KnowNow</w:t>
            </w:r>
            <w:r>
              <w:rPr>
                <w:rFonts w:ascii="Arial" w:cs="Arial" w:eastAsia="Arial" w:hAnsi="Arial"/>
                <w:color w:val="555E7A"/>
                <w:sz w:val="18"/>
                <w:szCs w:val="18"/>
              </w:rPr>
              <w:t xml:space="preserve">  ·  Sunnyvale, CA</w:t>
            </w:r>
          </w:p>
        </w:tc>
        <w:tc>
          <w:tcPr>
            <w:tcW w:type="dxa" w:w="3960"/>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0" w:before="240"/>
              <w:jc w:val="right"/>
            </w:pPr>
            <w:r>
              <w:rPr>
                <w:rFonts w:ascii="Arial" w:cs="Arial" w:eastAsia="Arial" w:hAnsi="Arial"/>
                <w:i/>
                <w:iCs/>
                <w:color w:val="555E7A"/>
                <w:sz w:val="18"/>
                <w:szCs w:val="18"/>
              </w:rPr>
              <w:t xml:space="preserve">Feb 2001 – Jun 2004</w:t>
            </w:r>
          </w:p>
        </w:tc>
      </w:tr>
    </w:tbl>
    <w:p>
      <w:pPr>
        <w:spacing w:after="0" w:before="80"/>
      </w:pPr>
    </w:p>
    <w:p>
      <w:pPr>
        <w:pStyle w:val="ListParagraph"/>
        <w:numPr>
          <w:ilvl w:val="0"/>
          <w:numId w:val="2"/>
        </w:numPr>
        <w:spacing w:after="40" w:before="40"/>
      </w:pPr>
      <w:r>
        <w:rPr>
          <w:rFonts w:ascii="Arial" w:cs="Arial" w:eastAsia="Arial" w:hAnsi="Arial"/>
          <w:color w:val="1A1A2E"/>
          <w:sz w:val="19"/>
          <w:szCs w:val="19"/>
        </w:rPr>
        <w:t xml:space="preserve">Led IT operations and infrastructure for a real-time messaging technology company.</w:t>
      </w:r>
    </w:p>
    <w:p>
      <w:pPr>
        <w:pStyle w:val="ListParagraph"/>
        <w:numPr>
          <w:ilvl w:val="0"/>
          <w:numId w:val="2"/>
        </w:numPr>
        <w:spacing w:after="40" w:before="40"/>
      </w:pPr>
      <w:r>
        <w:rPr>
          <w:rFonts w:ascii="Arial" w:cs="Arial" w:eastAsia="Arial" w:hAnsi="Arial"/>
          <w:color w:val="1A1A2E"/>
          <w:sz w:val="19"/>
          <w:szCs w:val="19"/>
        </w:rPr>
        <w:t xml:space="preserve">Supported engineering teams with scalable systems; managed network, server, and application infrastructure.</w:t>
      </w:r>
    </w:p>
    <w:p>
      <w:pPr>
        <w:pStyle w:val="ListParagraph"/>
        <w:numPr>
          <w:ilvl w:val="0"/>
          <w:numId w:val="2"/>
        </w:numPr>
        <w:spacing w:after="40" w:before="40"/>
      </w:pPr>
      <w:r>
        <w:rPr>
          <w:rFonts w:ascii="Arial" w:cs="Arial" w:eastAsia="Arial" w:hAnsi="Arial"/>
          <w:color w:val="1A1A2E"/>
          <w:sz w:val="19"/>
          <w:szCs w:val="19"/>
        </w:rPr>
        <w:t xml:space="preserve">Owned procurement and vendor management.</w:t>
      </w:r>
    </w:p>
    <w:p>
      <w:pPr>
        <w:spacing w:after="0" w:before="80"/>
      </w:pPr>
    </w:p>
    <w:tbl>
      <w:tblPr>
        <w:tblW w:type="dxa" w:w="9360"/>
        <w:tblBorders>
          <w:top w:val="none" w:sz="0"/>
          <w:left w:val="none" w:sz="0"/>
          <w:bottom w:val="none" w:sz="0"/>
          <w:right w:val="none"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before="240"/>
            </w:pPr>
            <w:r>
              <w:rPr>
                <w:rFonts w:ascii="Arial" w:cs="Arial" w:eastAsia="Arial" w:hAnsi="Arial"/>
                <w:b/>
                <w:bCs/>
                <w:color w:val="0D1B2E"/>
                <w:sz w:val="24"/>
                <w:szCs w:val="24"/>
              </w:rPr>
              <w:t xml:space="preserve">Windows / Linux Consultant</w:t>
            </w:r>
          </w:p>
          <w:p>
            <w:pPr>
              <w:spacing w:after="0" w:before="40"/>
            </w:pPr>
            <w:r>
              <w:rPr>
                <w:rFonts w:ascii="Arial" w:cs="Arial" w:eastAsia="Arial" w:hAnsi="Arial"/>
                <w:b/>
                <w:bCs/>
                <w:color w:val="007BA8"/>
                <w:sz w:val="20"/>
                <w:szCs w:val="20"/>
              </w:rPr>
              <w:t xml:space="preserve">EDS  (Electronic Data Systems)</w:t>
            </w:r>
            <w:r>
              <w:rPr>
                <w:rFonts w:ascii="Arial" w:cs="Arial" w:eastAsia="Arial" w:hAnsi="Arial"/>
                <w:color w:val="555E7A"/>
                <w:sz w:val="18"/>
                <w:szCs w:val="18"/>
              </w:rPr>
              <w:t xml:space="preserve">  ·  Various Locations</w:t>
            </w:r>
          </w:p>
        </w:tc>
        <w:tc>
          <w:tcPr>
            <w:tcW w:type="dxa" w:w="3960"/>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0" w:before="240"/>
              <w:jc w:val="right"/>
            </w:pPr>
            <w:r>
              <w:rPr>
                <w:rFonts w:ascii="Arial" w:cs="Arial" w:eastAsia="Arial" w:hAnsi="Arial"/>
                <w:i/>
                <w:iCs/>
                <w:color w:val="555E7A"/>
                <w:sz w:val="18"/>
                <w:szCs w:val="18"/>
              </w:rPr>
              <w:t xml:space="preserve">Apr 1992 – Feb 2001</w:t>
            </w:r>
          </w:p>
        </w:tc>
      </w:tr>
    </w:tbl>
    <w:p>
      <w:pPr>
        <w:spacing w:after="0" w:before="80"/>
      </w:pPr>
    </w:p>
    <w:p>
      <w:pPr>
        <w:pStyle w:val="ListParagraph"/>
        <w:numPr>
          <w:ilvl w:val="0"/>
          <w:numId w:val="2"/>
        </w:numPr>
        <w:spacing w:after="40" w:before="40"/>
      </w:pPr>
      <w:r>
        <w:rPr>
          <w:rFonts w:ascii="Arial" w:cs="Arial" w:eastAsia="Arial" w:hAnsi="Arial"/>
          <w:color w:val="1A1A2E"/>
          <w:sz w:val="19"/>
          <w:szCs w:val="19"/>
        </w:rPr>
        <w:t xml:space="preserve">Delivered enterprise consulting across Windows and Unix/Linux systems for 9 years.</w:t>
      </w:r>
    </w:p>
    <w:p>
      <w:pPr>
        <w:pStyle w:val="ListParagraph"/>
        <w:numPr>
          <w:ilvl w:val="0"/>
          <w:numId w:val="2"/>
        </w:numPr>
        <w:spacing w:after="40" w:before="40"/>
      </w:pPr>
      <w:r>
        <w:rPr>
          <w:rFonts w:ascii="Arial" w:cs="Arial" w:eastAsia="Arial" w:hAnsi="Arial"/>
          <w:color w:val="1A1A2E"/>
          <w:sz w:val="19"/>
          <w:szCs w:val="19"/>
        </w:rPr>
        <w:t xml:space="preserve">Performed deployments, upgrades, and troubleshooting across large enterprise environments.</w:t>
      </w:r>
    </w:p>
    <w:p>
      <w:pPr>
        <w:pStyle w:val="ListParagraph"/>
        <w:numPr>
          <w:ilvl w:val="0"/>
          <w:numId w:val="2"/>
        </w:numPr>
        <w:spacing w:after="40" w:before="40"/>
      </w:pPr>
      <w:r>
        <w:rPr>
          <w:rFonts w:ascii="Arial" w:cs="Arial" w:eastAsia="Arial" w:hAnsi="Arial"/>
          <w:color w:val="1A1A2E"/>
          <w:sz w:val="19"/>
          <w:szCs w:val="19"/>
        </w:rPr>
        <w:t xml:space="preserve">Supported networking and server infrastructure projects for major EDS clients.</w:t>
      </w:r>
    </w:p>
    <w:p>
      <w:pPr>
        <w:spacing w:after="0" w:before="80"/>
      </w:pPr>
    </w:p>
    <w:p>
      <w:pPr>
        <w:pBdr>
          <w:bottom w:val="single" w:color="007BA8" w:sz="8"/>
        </w:pBdr>
        <w:spacing w:after="80" w:before="320"/>
      </w:pPr>
      <w:r>
        <w:rPr>
          <w:rFonts w:ascii="Arial" w:cs="Arial" w:eastAsia="Arial" w:hAnsi="Arial"/>
          <w:b/>
          <w:bCs/>
          <w:color w:val="0D1B2E"/>
          <w:spacing w:val="40"/>
          <w:sz w:val="22"/>
          <w:szCs w:val="22"/>
        </w:rPr>
        <w:t xml:space="preserve">TECHNICAL PROJECTS &amp; GITHUB PORTFOLIO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m365-cis-assessor</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Automated M365 CIS Foundations Benchmark v6.0.1 assessment — 65 controls, cert-based auth, HTML dashboard + JSON evidence</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prometheus-grafana</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Production monitoring stack: Prometheus, Grafana, Alertmanager, Loki, Promtail — Docker Compose + bare metal installer</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intune-baseline</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Full Intune deployment baseline — Azure AD Join, device restrictions, app control, USB blocking, Edge lockdown</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linux-cis-audit</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68+ CIS benchmark controls for Linux, Level 1 &amp; 2, Markdown report, letter grade scoring, optional --fix remediation</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pci-dss-automation</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PCI DSS 4.0.1 control validation and audit evidence automation — built from a real certification engagement</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db-admin-toolkit</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SQL Server, MySQL, PostgreSQL install/audit/backup/restore toolkit — Bash + PowerShell + SQL, S3 support</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linux-auto-debug</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Portable Bash triage script — read-only diagnostics or --apply self-healing; zero external dependencies</w:t>
            </w:r>
          </w:p>
        </w:tc>
      </w:tr>
      <w:tr>
        <w:tc>
          <w:tcPr>
            <w:tcW w:type="dxa" w:w="2000"/>
            <w:tcBorders>
              <w:top w:val="single" w:color="D0D8E8" w:sz="4"/>
              <w:left w:val="single" w:color="D0D8E8" w:sz="4"/>
              <w:bottom w:val="single" w:color="D0D8E8" w:sz="4"/>
              <w:right w:val="single" w:color="D0D8E8" w:sz="4"/>
            </w:tcBorders>
            <w:shd w:fill="F0F4FA" w:val="clear"/>
            <w:tcMar>
              <w:top w:type="dxa" w:w="80"/>
              <w:left w:type="dxa" w:w="120"/>
              <w:bottom w:type="dxa" w:w="80"/>
              <w:right w:type="dxa" w:w="120"/>
            </w:tcMar>
          </w:tcPr>
          <w:p>
            <w:r>
              <w:rPr>
                <w:rFonts w:ascii="Arial" w:cs="Arial" w:eastAsia="Arial" w:hAnsi="Arial"/>
                <w:b/>
                <w:bCs/>
                <w:color w:val="0D1B2E"/>
                <w:sz w:val="18"/>
                <w:szCs w:val="18"/>
              </w:rPr>
              <w:t xml:space="preserve">azure-admin-baseline</w:t>
            </w:r>
          </w:p>
        </w:tc>
        <w:tc>
          <w:tcPr>
            <w:tcW w:type="dxa" w:w="7360"/>
            <w:tcBorders>
              <w:top w:val="single" w:color="D0D8E8" w:sz="4"/>
              <w:left w:val="single" w:color="D0D8E8" w:sz="4"/>
              <w:bottom w:val="single" w:color="D0D8E8" w:sz="4"/>
              <w:right w:val="single" w:color="D0D8E8" w:sz="4"/>
            </w:tcBorders>
            <w:tcMar>
              <w:top w:type="dxa" w:w="80"/>
              <w:left w:type="dxa" w:w="120"/>
              <w:bottom w:type="dxa" w:w="80"/>
              <w:right w:type="dxa" w:w="120"/>
            </w:tcMar>
          </w:tcPr>
          <w:p>
            <w:r>
              <w:rPr>
                <w:rFonts w:ascii="Arial" w:cs="Arial" w:eastAsia="Arial" w:hAnsi="Arial"/>
                <w:color w:val="1A1A2E"/>
                <w:sz w:val="18"/>
                <w:szCs w:val="18"/>
              </w:rPr>
              <w:t xml:space="preserve">Azure admin baseline: RBAC, Defender (42%→81% Secure Score), Conditional Access, NSG, troubleshooting playbook</w:t>
            </w:r>
          </w:p>
        </w:tc>
      </w:tr>
    </w:tbl>
    <w:p>
      <w:pPr>
        <w:spacing w:after="0" w:before="100"/>
      </w:pPr>
      <w:r>
        <w:rPr>
          <w:rFonts w:ascii="Arial" w:cs="Arial" w:eastAsia="Arial" w:hAnsi="Arial"/>
          <w:color w:val="555E7A"/>
          <w:sz w:val="18"/>
          <w:szCs w:val="18"/>
        </w:rPr>
        <w:t xml:space="preserve">Full portfolio: </w:t>
      </w:r>
      <w:r>
        <w:rPr>
          <w:rFonts w:ascii="Arial" w:cs="Arial" w:eastAsia="Arial" w:hAnsi="Arial"/>
          <w:color w:val="007BA8"/>
          <w:sz w:val="18"/>
          <w:szCs w:val="18"/>
        </w:rPr>
        <w:t xml:space="preserve">github.com/suresh-1001</w:t>
      </w:r>
    </w:p>
    <w:p>
      <w:pPr>
        <w:spacing w:after="0" w:before="80"/>
      </w:pPr>
    </w:p>
    <w:p>
      <w:pPr>
        <w:pBdr>
          <w:bottom w:val="single" w:color="007BA8" w:sz="8"/>
        </w:pBdr>
        <w:spacing w:after="80" w:before="320"/>
      </w:pPr>
      <w:r>
        <w:rPr>
          <w:rFonts w:ascii="Arial" w:cs="Arial" w:eastAsia="Arial" w:hAnsi="Arial"/>
          <w:b/>
          <w:bCs/>
          <w:color w:val="0D1B2E"/>
          <w:spacing w:val="40"/>
          <w:sz w:val="22"/>
          <w:szCs w:val="22"/>
        </w:rPr>
        <w:t xml:space="preserve">EDUCATION &amp; TRAINING</w:t>
      </w:r>
    </w:p>
    <w:p>
      <w:pPr>
        <w:spacing w:after="0" w:before="80"/>
      </w:pPr>
    </w:p>
    <w:tbl>
      <w:tblPr>
        <w:tblW w:type="dxa" w:w="9360"/>
        <w:tblBorders>
          <w:top w:val="none" w:sz="0"/>
          <w:left w:val="none" w:sz="0"/>
          <w:bottom w:val="none" w:sz="0"/>
          <w:right w:val="none"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0"/>
              <w:bottom w:type="dxa" w:w="0"/>
              <w:right w:type="dxa" w:w="160"/>
            </w:tcMar>
          </w:tcPr>
          <w:p>
            <w:r>
              <w:rPr>
                <w:rFonts w:ascii="Arial" w:cs="Arial" w:eastAsia="Arial" w:hAnsi="Arial"/>
                <w:b/>
                <w:bCs/>
                <w:color w:val="0D1B2E"/>
                <w:sz w:val="19"/>
                <w:szCs w:val="19"/>
              </w:rPr>
              <w:t xml:space="preserve">Business Administration</w:t>
            </w:r>
          </w:p>
          <w:p>
            <w:r>
              <w:rPr>
                <w:rFonts w:ascii="Arial" w:cs="Arial" w:eastAsia="Arial" w:hAnsi="Arial"/>
                <w:color w:val="007BA8"/>
                <w:sz w:val="18"/>
                <w:szCs w:val="18"/>
              </w:rPr>
              <w:t xml:space="preserve">Evergreen Valley College</w:t>
            </w:r>
          </w:p>
          <w:p>
            <w:r>
              <w:rPr>
                <w:rFonts w:ascii="Arial" w:cs="Arial" w:eastAsia="Arial" w:hAnsi="Arial"/>
                <w:color w:val="555E7A"/>
                <w:sz w:val="17"/>
                <w:szCs w:val="17"/>
              </w:rPr>
              <w:t xml:space="preserve">San Jose, CA</w:t>
            </w:r>
          </w:p>
        </w:tc>
        <w:tc>
          <w:tcPr>
            <w:tcW w:type="dxa" w:w="3120"/>
            <w:tcBorders>
              <w:top w:val="none" w:color="FFFFFF" w:sz="0"/>
              <w:left w:val="none" w:color="FFFFFF" w:sz="0"/>
              <w:bottom w:val="none" w:color="FFFFFF" w:sz="0"/>
              <w:right w:val="none" w:color="FFFFFF" w:sz="0"/>
            </w:tcBorders>
            <w:tcMar>
              <w:top w:type="dxa" w:w="0"/>
              <w:left w:type="dxa" w:w="160"/>
              <w:bottom w:type="dxa" w:w="0"/>
              <w:right w:type="dxa" w:w="160"/>
            </w:tcMar>
          </w:tcPr>
          <w:p>
            <w:r>
              <w:rPr>
                <w:rFonts w:ascii="Arial" w:cs="Arial" w:eastAsia="Arial" w:hAnsi="Arial"/>
                <w:b/>
                <w:bCs/>
                <w:color w:val="0D1B2E"/>
                <w:sz w:val="19"/>
                <w:szCs w:val="19"/>
              </w:rPr>
              <w:t xml:space="preserve">Machine Learning &amp; AI</w:t>
            </w:r>
          </w:p>
          <w:p>
            <w:r>
              <w:rPr>
                <w:rFonts w:ascii="Arial" w:cs="Arial" w:eastAsia="Arial" w:hAnsi="Arial"/>
                <w:color w:val="007BA8"/>
                <w:sz w:val="18"/>
                <w:szCs w:val="18"/>
              </w:rPr>
              <w:t xml:space="preserve">Foothill College</w:t>
            </w:r>
          </w:p>
          <w:p>
            <w:r>
              <w:rPr>
                <w:rFonts w:ascii="Arial" w:cs="Arial" w:eastAsia="Arial" w:hAnsi="Arial"/>
                <w:color w:val="555E7A"/>
                <w:sz w:val="17"/>
                <w:szCs w:val="17"/>
              </w:rPr>
              <w:t xml:space="preserve">Los Altos Hills, CA</w:t>
            </w:r>
          </w:p>
        </w:tc>
        <w:tc>
          <w:tcPr>
            <w:tcW w:type="dxa" w:w="3120"/>
            <w:tcBorders>
              <w:top w:val="none" w:color="FFFFFF" w:sz="0"/>
              <w:left w:val="none" w:color="FFFFFF" w:sz="0"/>
              <w:bottom w:val="none" w:color="FFFFFF" w:sz="0"/>
              <w:right w:val="none" w:color="FFFFFF" w:sz="0"/>
            </w:tcBorders>
            <w:tcMar>
              <w:top w:type="dxa" w:w="0"/>
              <w:left w:type="dxa" w:w="160"/>
              <w:bottom w:type="dxa" w:w="0"/>
              <w:right w:type="dxa" w:w="0"/>
            </w:tcMar>
          </w:tcPr>
          <w:p>
            <w:r>
              <w:rPr>
                <w:rFonts w:ascii="Arial" w:cs="Arial" w:eastAsia="Arial" w:hAnsi="Arial"/>
                <w:b/>
                <w:bCs/>
                <w:color w:val="0D1B2E"/>
                <w:sz w:val="19"/>
                <w:szCs w:val="19"/>
              </w:rPr>
              <w:t xml:space="preserve">Planned Transfer</w:t>
            </w:r>
          </w:p>
          <w:p>
            <w:r>
              <w:rPr>
                <w:rFonts w:ascii="Arial" w:cs="Arial" w:eastAsia="Arial" w:hAnsi="Arial"/>
                <w:color w:val="007BA8"/>
                <w:sz w:val="18"/>
                <w:szCs w:val="18"/>
              </w:rPr>
              <w:t xml:space="preserve">San José State University</w:t>
            </w:r>
          </w:p>
          <w:p>
            <w:r>
              <w:rPr>
                <w:rFonts w:ascii="Arial" w:cs="Arial" w:eastAsia="Arial" w:hAnsi="Arial"/>
                <w:color w:val="555E7A"/>
                <w:sz w:val="17"/>
                <w:szCs w:val="17"/>
              </w:rPr>
              <w:t xml:space="preserve">San Jose, CA</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2026-04-15T18:41:29.818Z</dcterms:created>
  <dcterms:modified xsi:type="dcterms:W3CDTF">2026-04-15T18:41:29.818Z</dcterms:modified>
</cp:coreProperties>
</file>

<file path=docProps/custom.xml><?xml version="1.0" encoding="utf-8"?>
<Properties xmlns="http://schemas.openxmlformats.org/officeDocument/2006/custom-properties" xmlns:vt="http://schemas.openxmlformats.org/officeDocument/2006/docPropsVTypes"/>
</file>