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9568" w14:textId="77777777" w:rsidR="0031790A" w:rsidRDefault="00000000">
      <w:pPr>
        <w:spacing w:after="60"/>
      </w:pPr>
      <w:r>
        <w:rPr>
          <w:b/>
          <w:bCs/>
          <w:color w:val="1F4E79"/>
          <w:sz w:val="28"/>
          <w:szCs w:val="28"/>
        </w:rPr>
        <w:t>Category Intelligence — Insight Summary</w:t>
      </w:r>
    </w:p>
    <w:p w14:paraId="36D4A407" w14:textId="77777777" w:rsidR="0031790A" w:rsidRDefault="00000000">
      <w:pPr>
        <w:pBdr>
          <w:bottom w:val="single" w:sz="6" w:space="6" w:color="1F4E79"/>
        </w:pBdr>
        <w:spacing w:after="200"/>
      </w:pPr>
      <w:r>
        <w:rPr>
          <w:color w:val="595959"/>
          <w:sz w:val="18"/>
          <w:szCs w:val="18"/>
        </w:rPr>
        <w:t>Calibo AI Academy · Phase 1, Mini Use Case 01 · Path 2, KLU Batch · Team 11</w:t>
      </w:r>
    </w:p>
    <w:p w14:paraId="16A57417" w14:textId="77777777" w:rsidR="0031790A" w:rsidRDefault="00000000">
      <w:pPr>
        <w:spacing w:before="280" w:after="140"/>
      </w:pPr>
      <w:r>
        <w:rPr>
          <w:b/>
          <w:bCs/>
          <w:color w:val="1F4E79"/>
          <w:sz w:val="22"/>
          <w:szCs w:val="22"/>
        </w:rPr>
        <w:t>Three key findings</w:t>
      </w:r>
    </w:p>
    <w:p w14:paraId="64635E23" w14:textId="77777777" w:rsidR="0031790A" w:rsidRDefault="00000000">
      <w:pPr>
        <w:spacing w:after="170" w:line="300" w:lineRule="auto"/>
      </w:pPr>
      <w:r>
        <w:rPr>
          <w:b/>
          <w:bCs/>
          <w:color w:val="000000"/>
        </w:rPr>
        <w:t xml:space="preserve">1. The chain's decline is almost entirely one category. </w:t>
      </w:r>
      <w:r>
        <w:rPr>
          <w:color w:val="000000"/>
        </w:rPr>
        <w:t>Electronics revenue fell 35.0%, from ₹45.7M in January to ₹29.7M in June. Because Electronics is 49.3% of chain revenue, that single slide pulled revenue per trading day down 15.5%. Decomposing it identifies the cause: transactions fell 33.4% while average unit price moved only 2.2% and basket size 1.6%. A footfall collapse, not a pricing problem — and it appears in 11 of 12 stores, so not store execution either. Apparel is the mirror image: +34.1% on +31.3% transactions, price flat.</w:t>
      </w:r>
    </w:p>
    <w:p w14:paraId="531F3F01" w14:textId="77777777" w:rsidR="0031790A" w:rsidRDefault="00000000">
      <w:pPr>
        <w:spacing w:after="170" w:line="300" w:lineRule="auto"/>
      </w:pPr>
      <w:r>
        <w:rPr>
          <w:b/>
          <w:bCs/>
          <w:color w:val="000000"/>
        </w:rPr>
        <w:t xml:space="preserve">2. The fastest-declining product is hidden inside the top half. </w:t>
      </w:r>
      <w:r>
        <w:rPr>
          <w:color w:val="000000"/>
        </w:rPr>
        <w:t>Ranking products by six-month revenue, as the brief specifies, produces near-ties: each category holds five products within a few percent of each other (Grocery's best beats its worst by 2.1%). Ranking by direction instead revealed that Mobile Phone fell 57.1%, the steepest decline in the chain — while carrying ₹45.65M in revenue, placing it third of five in Electronics. A bottom-two-by-revenue screen would have missed it entirely.</w:t>
      </w:r>
    </w:p>
    <w:p w14:paraId="70C0DE7B" w14:textId="77777777" w:rsidR="0031790A" w:rsidRDefault="00000000">
      <w:pPr>
        <w:spacing w:after="170" w:line="300" w:lineRule="auto"/>
      </w:pPr>
      <w:r>
        <w:rPr>
          <w:b/>
          <w:bCs/>
          <w:color w:val="000000"/>
        </w:rPr>
        <w:t xml:space="preserve">3. The discount programme generates no measurable volume. </w:t>
      </w:r>
      <w:r>
        <w:rPr>
          <w:color w:val="000000"/>
        </w:rPr>
        <w:t xml:space="preserve">Average units per transaction is 2.58 at 0% discount and 2.58 at 20%. With 95% confidence intervals on 107,836 </w:t>
      </w:r>
      <w:proofErr w:type="gramStart"/>
      <w:r>
        <w:rPr>
          <w:color w:val="000000"/>
        </w:rPr>
        <w:t>rows</w:t>
      </w:r>
      <w:proofErr w:type="gramEnd"/>
      <w:r>
        <w:rPr>
          <w:color w:val="000000"/>
        </w:rPr>
        <w:t xml:space="preserve"> we can rule out any volume lift above 1.37% — this is a proven null, not a failure to detect. Against that, a 20% discount needs +25% units simply to hold revenue flat, so it delivers roughly 3% of what it requires, and no category reaches even +3% individually. Cost over six months: ₹35.6M given away, 7.2% of gross revenue, across 66.6% of transactions.</w:t>
      </w:r>
    </w:p>
    <w:p w14:paraId="3223FBB6" w14:textId="77777777" w:rsidR="0031790A" w:rsidRDefault="00000000">
      <w:pPr>
        <w:spacing w:before="280" w:after="140"/>
      </w:pPr>
      <w:r>
        <w:rPr>
          <w:b/>
          <w:bCs/>
          <w:color w:val="1F4E79"/>
          <w:sz w:val="22"/>
          <w:szCs w:val="22"/>
        </w:rPr>
        <w:t>Category recommendation</w:t>
      </w:r>
    </w:p>
    <w:p w14:paraId="297C45AB" w14:textId="77777777" w:rsidR="0031790A" w:rsidRDefault="00000000">
      <w:pPr>
        <w:spacing w:after="170" w:line="300" w:lineRule="auto"/>
      </w:pPr>
      <w:r>
        <w:rPr>
          <w:color w:val="000000"/>
        </w:rPr>
        <w:t>Increase investment in Apparel and challenge the Electronics supplier. Apparel is the only category where all five products grew — T-Shirt +44.9%, Jeans +40.5%, Saree +32.6% — and it has earned more shelf space than it currently holds. Against Electronics, the specific challenge is Mobile Phone: a 57.1% decline representing ₹16.0M of lost monthly run-rate from a category occupying half the chain's revenue. Their size is the reason to act, not a defence against acting. Protect Grocery, the steadiest performer at 3.9% volatility, and raise Home &amp; Kitchen (−18.5%) before it becomes the next Electronics. On promotions, do not renew support at current depth without a committed volume target, and concentrate spend Friday to Sunday — Saturday earns 75.1% more than Monday, and Electronics is the most weekend-dependent category in the chain.</w:t>
      </w:r>
    </w:p>
    <w:p w14:paraId="1F896EB7" w14:textId="77777777" w:rsidR="0031790A" w:rsidRDefault="00000000">
      <w:pPr>
        <w:spacing w:before="280" w:after="140"/>
      </w:pPr>
      <w:r>
        <w:rPr>
          <w:b/>
          <w:bCs/>
          <w:color w:val="1F4E79"/>
          <w:sz w:val="22"/>
          <w:szCs w:val="22"/>
        </w:rPr>
        <w:t>Limitation</w:t>
      </w:r>
    </w:p>
    <w:p w14:paraId="766921CB" w14:textId="77777777" w:rsidR="0031790A" w:rsidRDefault="00000000">
      <w:pPr>
        <w:spacing w:after="170" w:line="300" w:lineRule="auto"/>
      </w:pPr>
      <w:r>
        <w:rPr>
          <w:color w:val="000000"/>
        </w:rPr>
        <w:t xml:space="preserve">Two limits govern everything above. First, this is revenue only — with no cost column, margin cannot be computed, so the reallocation is a well-evidenced hypothesis rather than a proven allocation. Second, Jan–Jun misses the Indian festival season: Dussehra and Diwali are the peak window for Electronics and Apparel, and this extract sits in the trough of that calendar. We tested for a seasonal signal and found none — Sankranti week is </w:t>
      </w:r>
      <w:proofErr w:type="gramStart"/>
      <w:r>
        <w:rPr>
          <w:color w:val="000000"/>
        </w:rPr>
        <w:t>flat,</w:t>
      </w:r>
      <w:proofErr w:type="gramEnd"/>
      <w:r>
        <w:rPr>
          <w:color w:val="000000"/>
        </w:rPr>
        <w:t xml:space="preserve"> every January peak is a Saturday — so the trend cannot be projected forward. Treat the Electronics recommendation as a supplier conversation, not a shelf-space cut, until a prior festival season has been seen.</w:t>
      </w:r>
    </w:p>
    <w:p w14:paraId="3A42553E" w14:textId="77777777" w:rsidR="0031790A" w:rsidRDefault="00000000">
      <w:pPr>
        <w:spacing w:before="280" w:after="140"/>
      </w:pPr>
      <w:r>
        <w:rPr>
          <w:b/>
          <w:bCs/>
          <w:color w:val="1F4E79"/>
          <w:sz w:val="22"/>
          <w:szCs w:val="22"/>
        </w:rPr>
        <w:t>Section ownership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1790A" w14:paraId="5C59B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CD05F7" w14:textId="77777777" w:rsidR="0031790A" w:rsidRDefault="00000000">
            <w:r>
              <w:rPr>
                <w:b/>
                <w:bCs/>
                <w:sz w:val="18"/>
                <w:szCs w:val="18"/>
              </w:rPr>
              <w:t>Section owner</w:t>
            </w:r>
          </w:p>
        </w:tc>
        <w:tc>
          <w:tcPr>
            <w:tcW w:w="6400" w:type="dxa"/>
            <w:shd w:val="clear" w:color="auto" w:fill="DCE6F1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6A916C" w14:textId="77777777" w:rsidR="0031790A" w:rsidRDefault="00000000">
            <w:r>
              <w:rPr>
                <w:b/>
                <w:bCs/>
                <w:sz w:val="18"/>
                <w:szCs w:val="18"/>
              </w:rPr>
              <w:t>Role and sections owned</w:t>
            </w:r>
          </w:p>
        </w:tc>
      </w:tr>
      <w:tr w:rsidR="0031790A" w14:paraId="09824F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688009" w14:textId="74D11CBC" w:rsidR="0031790A" w:rsidRDefault="007F1343">
            <w:r>
              <w:t>Velagapudi Haritha</w:t>
            </w:r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04D594" w14:textId="77777777" w:rsidR="0031790A" w:rsidRDefault="00000000">
            <w:r>
              <w:rPr>
                <w:sz w:val="18"/>
                <w:szCs w:val="18"/>
              </w:rPr>
              <w:t>Data Analyst — Step 1 (load &amp; inspect), Step 2 (category revenue trend) and the CBIM Problem Canvas</w:t>
            </w:r>
          </w:p>
        </w:tc>
      </w:tr>
      <w:tr w:rsidR="0031790A" w14:paraId="0F0A1A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2DFF6F" w14:textId="17ACABD5" w:rsidR="0031790A" w:rsidRDefault="007F1343" w:rsidP="007F1343">
            <w:pPr>
              <w:tabs>
                <w:tab w:val="left" w:pos="1332"/>
              </w:tabs>
            </w:pPr>
            <w:r>
              <w:t>Mada Suresh</w:t>
            </w:r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AD224F" w14:textId="77777777" w:rsidR="0031790A" w:rsidRDefault="00000000">
            <w:r>
              <w:rPr>
                <w:sz w:val="18"/>
                <w:szCs w:val="18"/>
              </w:rPr>
              <w:t>Insights Lead — Step 3 (product-level analysis) and Step 4 (discount effectiveness)</w:t>
            </w:r>
          </w:p>
        </w:tc>
      </w:tr>
      <w:tr w:rsidR="0031790A" w14:paraId="5FD7FB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1A76643" w14:textId="37B89084" w:rsidR="0031790A" w:rsidRDefault="007F1343">
            <w:r>
              <w:t xml:space="preserve">Guda Abhinav </w:t>
            </w:r>
            <w:proofErr w:type="spellStart"/>
            <w:r>
              <w:t>sai</w:t>
            </w:r>
            <w:proofErr w:type="spellEnd"/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0ACFEF" w14:textId="77777777" w:rsidR="0031790A" w:rsidRDefault="00000000">
            <w:r>
              <w:rPr>
                <w:sz w:val="18"/>
                <w:szCs w:val="18"/>
              </w:rPr>
              <w:t>Business Synthesiser — Step 5 (time patterns) and Step 6 (Category Manager Briefing)</w:t>
            </w:r>
          </w:p>
        </w:tc>
      </w:tr>
      <w:tr w:rsidR="0031790A" w14:paraId="265410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D7A0F4" w14:textId="47927B4E" w:rsidR="0031790A" w:rsidRDefault="007F1343">
            <w:r>
              <w:t>Naga Venkata Mahesh</w:t>
            </w:r>
          </w:p>
        </w:tc>
        <w:tc>
          <w:tcPr>
            <w:tcW w:w="64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46B9D6" w14:textId="77777777" w:rsidR="0031790A" w:rsidRDefault="00000000">
            <w:r>
              <w:rPr>
                <w:sz w:val="18"/>
                <w:szCs w:val="18"/>
              </w:rPr>
              <w:t>NA</w:t>
            </w:r>
          </w:p>
        </w:tc>
      </w:tr>
    </w:tbl>
    <w:p w14:paraId="02116139" w14:textId="77777777" w:rsidR="0031790A" w:rsidRDefault="00000000">
      <w:pPr>
        <w:spacing w:before="200"/>
      </w:pPr>
      <w:r>
        <w:rPr>
          <w:i/>
          <w:iCs/>
          <w:color w:val="595959"/>
          <w:sz w:val="16"/>
          <w:szCs w:val="16"/>
        </w:rPr>
        <w:t>Note: two errors in the brief were corrected and documented in Step 1 — revenue is net of discount (100% of rows), and discounts cap at 20%, so five brackets were used rather than six.</w:t>
      </w:r>
    </w:p>
    <w:sectPr w:rsidR="0031790A">
      <w:pgSz w:w="11906" w:h="16838"/>
      <w:pgMar w:top="820" w:right="960" w:bottom="70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B1967"/>
    <w:multiLevelType w:val="hybridMultilevel"/>
    <w:tmpl w:val="A84C0DF4"/>
    <w:lvl w:ilvl="0" w:tplc="A65C8388">
      <w:start w:val="1"/>
      <w:numFmt w:val="bullet"/>
      <w:lvlText w:val="●"/>
      <w:lvlJc w:val="left"/>
      <w:pPr>
        <w:ind w:left="720" w:hanging="360"/>
      </w:pPr>
    </w:lvl>
    <w:lvl w:ilvl="1" w:tplc="58EE36C2">
      <w:start w:val="1"/>
      <w:numFmt w:val="bullet"/>
      <w:lvlText w:val="○"/>
      <w:lvlJc w:val="left"/>
      <w:pPr>
        <w:ind w:left="1440" w:hanging="360"/>
      </w:pPr>
    </w:lvl>
    <w:lvl w:ilvl="2" w:tplc="26F62B6C">
      <w:start w:val="1"/>
      <w:numFmt w:val="bullet"/>
      <w:lvlText w:val="■"/>
      <w:lvlJc w:val="left"/>
      <w:pPr>
        <w:ind w:left="2160" w:hanging="360"/>
      </w:pPr>
    </w:lvl>
    <w:lvl w:ilvl="3" w:tplc="1930B5D8">
      <w:start w:val="1"/>
      <w:numFmt w:val="bullet"/>
      <w:lvlText w:val="●"/>
      <w:lvlJc w:val="left"/>
      <w:pPr>
        <w:ind w:left="2880" w:hanging="360"/>
      </w:pPr>
    </w:lvl>
    <w:lvl w:ilvl="4" w:tplc="D38C3630">
      <w:start w:val="1"/>
      <w:numFmt w:val="bullet"/>
      <w:lvlText w:val="○"/>
      <w:lvlJc w:val="left"/>
      <w:pPr>
        <w:ind w:left="3600" w:hanging="360"/>
      </w:pPr>
    </w:lvl>
    <w:lvl w:ilvl="5" w:tplc="312A89F6">
      <w:start w:val="1"/>
      <w:numFmt w:val="bullet"/>
      <w:lvlText w:val="■"/>
      <w:lvlJc w:val="left"/>
      <w:pPr>
        <w:ind w:left="4320" w:hanging="360"/>
      </w:pPr>
    </w:lvl>
    <w:lvl w:ilvl="6" w:tplc="16EE1560">
      <w:start w:val="1"/>
      <w:numFmt w:val="bullet"/>
      <w:lvlText w:val="●"/>
      <w:lvlJc w:val="left"/>
      <w:pPr>
        <w:ind w:left="5040" w:hanging="360"/>
      </w:pPr>
    </w:lvl>
    <w:lvl w:ilvl="7" w:tplc="50C85CCE">
      <w:start w:val="1"/>
      <w:numFmt w:val="bullet"/>
      <w:lvlText w:val="●"/>
      <w:lvlJc w:val="left"/>
      <w:pPr>
        <w:ind w:left="5760" w:hanging="360"/>
      </w:pPr>
    </w:lvl>
    <w:lvl w:ilvl="8" w:tplc="BAFA78C8">
      <w:start w:val="1"/>
      <w:numFmt w:val="bullet"/>
      <w:lvlText w:val="●"/>
      <w:lvlJc w:val="left"/>
      <w:pPr>
        <w:ind w:left="6480" w:hanging="360"/>
      </w:pPr>
    </w:lvl>
  </w:abstractNum>
  <w:num w:numId="1" w16cid:durableId="1920018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90A"/>
    <w:rsid w:val="00015FA6"/>
    <w:rsid w:val="0031790A"/>
    <w:rsid w:val="00321573"/>
    <w:rsid w:val="00336D63"/>
    <w:rsid w:val="007F1343"/>
    <w:rsid w:val="00DE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8946"/>
  <w15:docId w15:val="{C61167B1-1285-4A4E-99CE-C5E98E6C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SAI</cp:lastModifiedBy>
  <cp:revision>2</cp:revision>
  <dcterms:created xsi:type="dcterms:W3CDTF">2026-09-19T06:36:00Z</dcterms:created>
  <dcterms:modified xsi:type="dcterms:W3CDTF">2026-09-19T06:36:00Z</dcterms:modified>
</cp:coreProperties>
</file>