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etirement-401k-policy"/>
    <w:p>
      <w:pPr>
        <w:pStyle w:val="Heading1"/>
      </w:pPr>
      <w:r>
        <w:t xml:space="preserve">Retirement &amp; 401(k) Policy</w:t>
      </w:r>
    </w:p>
    <w:p>
      <w:pPr>
        <w:pStyle w:val="FirstParagraph"/>
      </w:pPr>
      <w:r>
        <w:rPr>
          <w:bCs/>
          <w:b/>
        </w:rPr>
        <w:t xml:space="preserve">Company:</w:t>
      </w:r>
      <w:r>
        <w:t xml:space="preserve"> </w:t>
      </w:r>
      <w:r>
        <w:t xml:space="preserve">Meridian Analytics Inc. (fictional — for demo purposes)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January 1, 2026</w:t>
      </w:r>
      <w:r>
        <w:t xml:space="preserve"> </w:t>
      </w:r>
      <w:r>
        <w:rPr>
          <w:bCs/>
          <w:b/>
        </w:rPr>
        <w:t xml:space="preserve">Applies to:</w:t>
      </w:r>
      <w:r>
        <w:t xml:space="preserve"> </w:t>
      </w:r>
      <w:r>
        <w:t xml:space="preserve">All employees age 21+, after 90 days of service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Describes the company’s 401(k) retirement savings plan, employer matching, vesting schedule, and investment options.</w:t>
      </w:r>
    </w:p>
    <w:bookmarkEnd w:id="20"/>
    <w:bookmarkStart w:id="21" w:name="eligibility-enrollment"/>
    <w:p>
      <w:pPr>
        <w:pStyle w:val="Heading2"/>
      </w:pPr>
      <w:r>
        <w:t xml:space="preserve">2. Eligibility &amp; Enrollment</w:t>
      </w:r>
    </w:p>
    <w:p>
      <w:pPr>
        <w:numPr>
          <w:ilvl w:val="0"/>
          <w:numId w:val="1001"/>
        </w:numPr>
        <w:pStyle w:val="Compact"/>
      </w:pPr>
      <w:r>
        <w:t xml:space="preserve">Employees become eligible on the first payroll cycle following 90 days of employment and reaching age 21.</w:t>
      </w:r>
    </w:p>
    <w:p>
      <w:pPr>
        <w:numPr>
          <w:ilvl w:val="0"/>
          <w:numId w:val="1001"/>
        </w:numPr>
        <w:pStyle w:val="Compact"/>
      </w:pPr>
      <w:r>
        <w:t xml:space="preserve">Auto-enrollment at 4% of salary (pre-tax) unless employee opts out or changes contribution rate within 30 days.</w:t>
      </w:r>
    </w:p>
    <w:p>
      <w:pPr>
        <w:numPr>
          <w:ilvl w:val="0"/>
          <w:numId w:val="1001"/>
        </w:numPr>
        <w:pStyle w:val="Compact"/>
      </w:pPr>
      <w:r>
        <w:t xml:space="preserve">Employees may enroll, change contribution rate, or opt out at any time via the plan administrator portal.</w:t>
      </w:r>
    </w:p>
    <w:bookmarkEnd w:id="21"/>
    <w:bookmarkStart w:id="22" w:name="Xc0462f0076d9c1216cd71ba328520b1641acbcf"/>
    <w:p>
      <w:pPr>
        <w:pStyle w:val="Heading2"/>
      </w:pPr>
      <w:r>
        <w:t xml:space="preserve">3. Contribution Limits (2026 IRS Limits — illustrative)</w:t>
      </w:r>
    </w:p>
    <w:p>
      <w:pPr>
        <w:numPr>
          <w:ilvl w:val="0"/>
          <w:numId w:val="1002"/>
        </w:numPr>
        <w:pStyle w:val="Compact"/>
      </w:pPr>
      <w:r>
        <w:t xml:space="preserve">Employee elective deferral limit: $24,000/year (under age 50)</w:t>
      </w:r>
    </w:p>
    <w:p>
      <w:pPr>
        <w:numPr>
          <w:ilvl w:val="0"/>
          <w:numId w:val="1002"/>
        </w:numPr>
        <w:pStyle w:val="Compact"/>
      </w:pPr>
      <w:r>
        <w:t xml:space="preserve">Catch-up contribution (age 50+): additional $8,000/year</w:t>
      </w:r>
    </w:p>
    <w:p>
      <w:pPr>
        <w:numPr>
          <w:ilvl w:val="0"/>
          <w:numId w:val="1002"/>
        </w:numPr>
        <w:pStyle w:val="Compact"/>
      </w:pPr>
      <w:r>
        <w:t xml:space="preserve">Total combined employee + employer contribution limit: $71,000/year</w:t>
      </w:r>
    </w:p>
    <w:bookmarkEnd w:id="22"/>
    <w:bookmarkStart w:id="23" w:name="employer-matching"/>
    <w:p>
      <w:pPr>
        <w:pStyle w:val="Heading2"/>
      </w:pPr>
      <w:r>
        <w:t xml:space="preserve">4. Employer Matching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Employee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3% of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2% of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Beyond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additional match</w:t>
            </w:r>
          </w:p>
        </w:tc>
      </w:tr>
    </w:tbl>
    <w:p>
      <w:pPr>
        <w:pStyle w:val="BodyText"/>
      </w:pPr>
      <w:r>
        <w:t xml:space="preserve">Maximum employer match: 4% of salary, contributed each pay period.</w:t>
      </w:r>
    </w:p>
    <w:bookmarkEnd w:id="23"/>
    <w:bookmarkStart w:id="24" w:name="vesting-schedule"/>
    <w:p>
      <w:pPr>
        <w:pStyle w:val="Heading2"/>
      </w:pPr>
      <w:r>
        <w:t xml:space="preserve">5. Vesting Schedule</w:t>
      </w:r>
    </w:p>
    <w:p>
      <w:pPr>
        <w:pStyle w:val="FirstParagraph"/>
      </w:pPr>
      <w:r>
        <w:t xml:space="preserve">Employee contributions are always 100% vested immediately. Employer matching contributions vest per the following graded schedule: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Years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Vested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4+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24"/>
    <w:bookmarkStart w:id="25" w:name="investment-options"/>
    <w:p>
      <w:pPr>
        <w:pStyle w:val="Heading2"/>
      </w:pPr>
      <w:r>
        <w:t xml:space="preserve">6. Investment Options</w:t>
      </w:r>
    </w:p>
    <w:p>
      <w:pPr>
        <w:pStyle w:val="FirstParagraph"/>
      </w:pPr>
      <w:r>
        <w:t xml:space="preserve">The plan offers a menu of 15 mutual funds spanning target-date funds, index funds, and bond funds, managed by the plan’s third-party administrator. Employees may also select a self-directed brokerage option for a broader range of investments.</w:t>
      </w:r>
    </w:p>
    <w:bookmarkEnd w:id="25"/>
    <w:bookmarkStart w:id="26" w:name="loans-hardship-withdrawals"/>
    <w:p>
      <w:pPr>
        <w:pStyle w:val="Heading2"/>
      </w:pPr>
      <w:r>
        <w:t xml:space="preserve">7. Loans &amp; Hardship Withdrawals</w:t>
      </w:r>
    </w:p>
    <w:p>
      <w:pPr>
        <w:numPr>
          <w:ilvl w:val="0"/>
          <w:numId w:val="1003"/>
        </w:numPr>
        <w:pStyle w:val="Compact"/>
      </w:pPr>
      <w:r>
        <w:t xml:space="preserve">Loans: Up to 50% of vested balance (max $50,000), repaid via payroll deduction over up to 5 years.</w:t>
      </w:r>
    </w:p>
    <w:p>
      <w:pPr>
        <w:numPr>
          <w:ilvl w:val="0"/>
          <w:numId w:val="1003"/>
        </w:numPr>
        <w:pStyle w:val="Compact"/>
      </w:pPr>
      <w:r>
        <w:t xml:space="preserve">Hardship withdrawals: Permitted for IRS-defined immediate financial needs (e.g., medical expenses, preventing eviction), subject to plan administrator approval and applicable taxes/penalties.</w:t>
      </w:r>
    </w:p>
    <w:bookmarkEnd w:id="26"/>
    <w:bookmarkStart w:id="27" w:name="rollovers"/>
    <w:p>
      <w:pPr>
        <w:pStyle w:val="Heading2"/>
      </w:pPr>
      <w:r>
        <w:t xml:space="preserve">8. Rollovers</w:t>
      </w:r>
    </w:p>
    <w:p>
      <w:pPr>
        <w:pStyle w:val="FirstParagraph"/>
      </w:pPr>
      <w:r>
        <w:t xml:space="preserve">Employees may roll over balances from a previous employer’s 401(k) or eligible IRA into the company plan within 60 days of eligibility.</w:t>
      </w:r>
    </w:p>
    <w:bookmarkEnd w:id="27"/>
    <w:bookmarkStart w:id="28" w:name="distribution-at-separation"/>
    <w:p>
      <w:pPr>
        <w:pStyle w:val="Heading2"/>
      </w:pPr>
      <w:r>
        <w:t xml:space="preserve">9. Distribution at Separation</w:t>
      </w:r>
    </w:p>
    <w:p>
      <w:pPr>
        <w:pStyle w:val="FirstParagraph"/>
      </w:pPr>
      <w:r>
        <w:t xml:space="preserve">Upon termination, employees may:</w:t>
      </w:r>
      <w:r>
        <w:t xml:space="preserve"> </w:t>
      </w:r>
      <w:r>
        <w:t xml:space="preserve">- Leave the balance in the plan (if balance exceeds $5,000)</w:t>
      </w:r>
      <w:r>
        <w:t xml:space="preserve"> </w:t>
      </w:r>
      <w:r>
        <w:t xml:space="preserve">- Roll over to a new employer’s plan or IRA</w:t>
      </w:r>
      <w:r>
        <w:t xml:space="preserve"> </w:t>
      </w:r>
      <w:r>
        <w:t xml:space="preserve">- Take a lump-sum distribution (subject to taxes and possible early withdrawal penalty if under age 59½)</w:t>
      </w:r>
    </w:p>
    <w:bookmarkEnd w:id="28"/>
    <w:bookmarkStart w:id="29" w:name="plan-administrator-contact"/>
    <w:p>
      <w:pPr>
        <w:pStyle w:val="Heading2"/>
      </w:pPr>
      <w:r>
        <w:t xml:space="preserve">10. Plan Administrator Contact</w:t>
      </w:r>
    </w:p>
    <w:p>
      <w:pPr>
        <w:pStyle w:val="FirstParagraph"/>
      </w:pPr>
      <w:r>
        <w:t xml:space="preserve">Questions regarding enrollment, contributions, or distributions should be directed to the plan administrator via the benefits portal or retirement@meridiananalytics.example.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2026-07-06T17:41:56Z</dcterms:created>
  <dcterms:modified xsi:type="dcterms:W3CDTF">2026-07-06T17:41:56Z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