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rPr>
          <w:rFonts w:ascii="Arial" w:cs="Arial" w:eastAsia="Arial" w:hAnsi="Arial"/>
          <w:b w:val="false"/>
          <w:bCs w:val="false"/>
          <w:i w:val="false"/>
          <w:iCs w:val="false"/>
          <w:color w:val="111827"/>
          <w:sz w:val="22"/>
          <w:szCs w:val="22"/>
        </w:rPr>
        <w:t xml:space="preserve"/>
      </w:r>
    </w:p>
    <w:p>
      <w:pPr>
        <w:spacing w:before="0" w:after="0"/>
      </w:pPr>
      <w:r>
        <w:rPr>
          <w:rFonts w:ascii="Arial" w:cs="Arial" w:eastAsia="Arial" w:hAnsi="Arial"/>
          <w:b w:val="false"/>
          <w:bCs w:val="false"/>
          <w:i w:val="false"/>
          <w:iCs w:val="false"/>
          <w:color w:val="111827"/>
          <w:sz w:val="22"/>
          <w:szCs w:val="22"/>
        </w:rPr>
        <w:t xml:space="preserve"/>
      </w:r>
    </w:p>
    <w:p>
      <w:pPr>
        <w:spacing w:before="0" w:after="0"/>
      </w:pPr>
      <w:r>
        <w:rPr>
          <w:rFonts w:ascii="Arial" w:cs="Arial" w:eastAsia="Arial" w:hAnsi="Arial"/>
          <w:b w:val="false"/>
          <w:bCs w:val="false"/>
          <w:i w:val="false"/>
          <w:iCs w:val="false"/>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spacing w:before="60" w:after="80"/>
              <w:jc w:val="center"/>
            </w:pPr>
            <w:r>
              <w:rPr>
                <w:rFonts w:ascii="Arial" w:cs="Arial" w:eastAsia="Arial" w:hAnsi="Arial"/>
                <w:b/>
                <w:bCs/>
                <w:i w:val="false"/>
                <w:iCs w:val="false"/>
                <w:color w:val="FFFFFF"/>
                <w:sz w:val="52"/>
                <w:szCs w:val="52"/>
              </w:rPr>
              <w:t xml:space="preserve">🛡️  PolicyBot AI</w:t>
            </w:r>
          </w:p>
          <w:p>
            <w:pPr>
              <w:spacing w:before="60" w:after="80"/>
              <w:jc w:val="center"/>
            </w:pPr>
            <w:r>
              <w:rPr>
                <w:rFonts w:ascii="Arial" w:cs="Arial" w:eastAsia="Arial" w:hAnsi="Arial"/>
                <w:b/>
                <w:bCs/>
                <w:i w:val="false"/>
                <w:iCs w:val="false"/>
                <w:color w:val="BFDBFE"/>
                <w:sz w:val="32"/>
                <w:szCs w:val="32"/>
              </w:rPr>
              <w:t xml:space="preserve">Insurance Master Reference Document</w:t>
            </w:r>
          </w:p>
          <w:p>
            <w:pPr>
              <w:spacing w:before="60" w:after="120"/>
              <w:jc w:val="center"/>
            </w:pPr>
            <w:r>
              <w:rPr>
                <w:rFonts w:ascii="Arial" w:cs="Arial" w:eastAsia="Arial" w:hAnsi="Arial"/>
                <w:b w:val="false"/>
                <w:bCs w:val="false"/>
                <w:i w:val="false"/>
                <w:iCs w:val="false"/>
                <w:color w:val="BFDBFE"/>
                <w:sz w:val="24"/>
                <w:szCs w:val="24"/>
              </w:rPr>
              <w:t xml:space="preserve">Complete Knowledge Base for Admin Panel Upload</w:t>
            </w:r>
          </w:p>
          <w:p>
            <w:pPr>
              <w:spacing w:before="60" w:after="60"/>
              <w:jc w:val="center"/>
            </w:pPr>
            <w:r>
              <w:rPr>
                <w:rFonts w:ascii="Arial" w:cs="Arial" w:eastAsia="Arial" w:hAnsi="Arial"/>
                <w:b w:val="false"/>
                <w:bCs w:val="false"/>
                <w:i w:val="false"/>
                <w:iCs w:val="false"/>
                <w:color w:val="BFDBFE"/>
                <w:sz w:val="20"/>
                <w:szCs w:val="20"/>
              </w:rPr>
              <w:t xml:space="preserve">─────────────────────────────────────</w:t>
            </w:r>
          </w:p>
          <w:p>
            <w:pPr>
              <w:spacing w:before="80" w:after="60"/>
              <w:jc w:val="center"/>
            </w:pPr>
            <w:r>
              <w:rPr>
                <w:rFonts w:ascii="Arial" w:cs="Arial" w:eastAsia="Arial" w:hAnsi="Arial"/>
                <w:b w:val="false"/>
                <w:bCs w:val="false"/>
                <w:i w:val="false"/>
                <w:iCs w:val="false"/>
                <w:color w:val="FFFFFF"/>
                <w:sz w:val="22"/>
                <w:szCs w:val="22"/>
              </w:rPr>
              <w:t xml:space="preserve">Health  •  Life/Term  •  Vehicle  •  Travel  •  Property  •  Accident</w:t>
            </w:r>
          </w:p>
          <w:p>
            <w:pPr>
              <w:spacing w:before="60" w:after="60"/>
              <w:jc w:val="center"/>
            </w:pPr>
            <w:r>
              <w:rPr>
                <w:rFonts w:ascii="Arial" w:cs="Arial" w:eastAsia="Arial" w:hAnsi="Arial"/>
                <w:b w:val="false"/>
                <w:bCs w:val="false"/>
                <w:i w:val="false"/>
                <w:iCs w:val="false"/>
                <w:color w:val="BFDBFE"/>
                <w:sz w:val="20"/>
                <w:szCs w:val="20"/>
              </w:rPr>
              <w:t xml:space="preserve">India-focused | RAG-ready | Covers 6 Insurance Categories | 50+ Plans</w:t>
            </w:r>
          </w:p>
          <w:p>
            <w:pPr>
              <w:spacing w:before="80" w:after="60"/>
              <w:jc w:val="center"/>
            </w:pPr>
            <w:r>
              <w:rPr>
                <w:rFonts w:ascii="Arial" w:cs="Arial" w:eastAsia="Arial" w:hAnsi="Arial"/>
                <w:b w:val="false"/>
                <w:bCs w:val="false"/>
                <w:i/>
                <w:iCs/>
                <w:color w:val="BFDBFE"/>
                <w:sz w:val="18"/>
                <w:szCs w:val="18"/>
              </w:rPr>
              <w:t xml:space="preserve">Version 1.0  |  February 2026  |  PolicyBot Admin Panel</w:t>
            </w:r>
          </w:p>
        </w:tc>
      </w:tr>
    </w:tbl>
    <w:p>
      <w:pPr>
        <w:spacing w:before="0" w:after="0"/>
      </w:pPr>
      <w:r>
        <w:rPr>
          <w:rFonts w:ascii="Arial" w:cs="Arial" w:eastAsia="Arial" w:hAnsi="Arial"/>
          <w:b w:val="false"/>
          <w:bCs w:val="false"/>
          <w:i w:val="false"/>
          <w:iCs w:val="false"/>
          <w:color w:val="111827"/>
          <w:sz w:val="22"/>
          <w:szCs w:val="22"/>
        </w:rPr>
        <w:t xml:space="preserve"/>
      </w:r>
    </w:p>
    <w:p>
      <w:pPr>
        <w:spacing w:before="0" w:after="0"/>
      </w:pPr>
      <w:r>
        <w:rPr>
          <w:rFonts w:ascii="Arial" w:cs="Arial" w:eastAsia="Arial" w:hAnsi="Arial"/>
          <w:b w:val="false"/>
          <w:bCs w:val="false"/>
          <w:i w:val="false"/>
          <w:iCs w:val="false"/>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3F4F6" w:val="clear"/>
            <w:tcMar>
              <w:top w:type="dxa" w:w="100"/>
              <w:left w:type="dxa" w:w="140"/>
              <w:bottom w:type="dxa" w:w="100"/>
              <w:right w:type="dxa" w:w="140"/>
            </w:tcMar>
            <w:vAlign w:val="center"/>
          </w:tcPr>
          <w:p>
            <w:pPr>
              <w:spacing w:before="60" w:after="60"/>
              <w:jc w:val="left"/>
            </w:pPr>
            <w:r>
              <w:rPr>
                <w:rFonts w:ascii="Arial" w:cs="Arial" w:eastAsia="Arial" w:hAnsi="Arial"/>
                <w:b/>
                <w:bCs/>
                <w:i w:val="false"/>
                <w:iCs w:val="false"/>
                <w:color w:val="1B3A6B"/>
                <w:sz w:val="20"/>
                <w:szCs w:val="20"/>
              </w:rPr>
              <w:t xml:space="preserve">PURPOSE: </w:t>
            </w:r>
            <w:r>
              <w:rPr>
                <w:rFonts w:ascii="Arial" w:cs="Arial" w:eastAsia="Arial" w:hAnsi="Arial"/>
                <w:b w:val="false"/>
                <w:bCs w:val="false"/>
                <w:i w:val="false"/>
                <w:iCs w:val="false"/>
                <w:color w:val="111827"/>
                <w:sz w:val="20"/>
                <w:szCs w:val="20"/>
              </w:rPr>
              <w:t xml:space="preserve">This master document is designed to be uploaded to the PolicyBot AI Admin Panel as the primary RAG (Retrieval-Augmented Generation) knowledge base. It contains comprehensive information about all insurance categories, leading insurers, top plans, pricing, eligibility, claim procedures, and regulatory guidelines for the Indian insurance market.</w:t>
            </w:r>
          </w:p>
        </w:tc>
      </w:tr>
    </w:tbl>
    <w:p>
      <w:r>
        <w:br w:type="page"/>
      </w:r>
    </w:p>
    <w:p>
      <w:pPr>
        <w:pStyle w:val="Heading1"/>
        <w:pBdr>
          <w:bottom w:val="single" w:color="1B3A6B" w:sz="8" w:space="2"/>
        </w:pBdr>
        <w:spacing w:before="320" w:after="160"/>
      </w:pPr>
      <w:r>
        <w:rPr>
          <w:rFonts w:ascii="Arial" w:cs="Arial" w:eastAsia="Arial" w:hAnsi="Arial"/>
          <w:b/>
          <w:bCs/>
          <w:color w:val="1B3A6B"/>
          <w:sz w:val="36"/>
          <w:szCs w:val="36"/>
        </w:rPr>
        <w:t xml:space="preserve">Table of Contents</w:t>
      </w:r>
    </w:p>
    <w:p>
      <w:pPr>
        <w:spacing w:before="0" w:after="0"/>
      </w:pPr>
      <w:r>
        <w:rPr>
          <w:rFonts w:ascii="Arial" w:cs="Arial" w:eastAsia="Arial" w:hAnsi="Arial"/>
          <w:b w:val="false"/>
          <w:bCs w:val="false"/>
          <w:i w:val="false"/>
          <w:iCs w:val="false"/>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7760"/>
        <w:gridCol w:w="1200"/>
      </w:tblGrid>
      <w:tr>
        <w:tc>
          <w:tcPr>
            <w:tcW w:type="dxa" w:w="4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spacing w:before="60" w:after="60"/>
              <w:jc w:val="left"/>
            </w:pPr>
            <w:r>
              <w:rPr>
                <w:rFonts w:ascii="Arial" w:cs="Arial" w:eastAsia="Arial" w:hAnsi="Arial"/>
                <w:b/>
                <w:bCs/>
                <w:i w:val="false"/>
                <w:iCs w:val="false"/>
                <w:color w:val="FFFFFF"/>
                <w:sz w:val="20"/>
                <w:szCs w:val="20"/>
              </w:rPr>
              <w:t xml:space="preserve">No.</w:t>
            </w:r>
          </w:p>
        </w:tc>
        <w:tc>
          <w:tcPr>
            <w:tcW w:type="dxa" w:w="77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spacing w:before="60" w:after="60"/>
              <w:jc w:val="left"/>
            </w:pPr>
            <w:r>
              <w:rPr>
                <w:rFonts w:ascii="Arial" w:cs="Arial" w:eastAsia="Arial" w:hAnsi="Arial"/>
                <w:b/>
                <w:bCs/>
                <w:i w:val="false"/>
                <w:iCs w:val="false"/>
                <w:color w:val="FFFFFF"/>
                <w:sz w:val="20"/>
                <w:szCs w:val="20"/>
              </w:rPr>
              <w:t xml:space="preserve">Section</w:t>
            </w:r>
          </w:p>
        </w:tc>
        <w:tc>
          <w:tcPr>
            <w:tcW w:type="dxa" w:w="12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spacing w:before="60" w:after="60"/>
              <w:jc w:val="right"/>
            </w:pPr>
            <w:r>
              <w:rPr>
                <w:rFonts w:ascii="Arial" w:cs="Arial" w:eastAsia="Arial" w:hAnsi="Arial"/>
                <w:b/>
                <w:bCs/>
                <w:i w:val="false"/>
                <w:iCs w:val="false"/>
                <w:color w:val="FFFFFF"/>
                <w:sz w:val="20"/>
                <w:szCs w:val="20"/>
              </w:rPr>
              <w:t xml:space="preserve">Page</w:t>
            </w:r>
          </w:p>
        </w:tc>
      </w:tr>
      <w:tr>
        <w:tc>
          <w:tcPr>
            <w:tcW w:type="dxa" w:w="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60" w:after="60"/>
              <w:jc w:val="left"/>
            </w:pPr>
            <w:r>
              <w:rPr>
                <w:rFonts w:ascii="Arial" w:cs="Arial" w:eastAsia="Arial" w:hAnsi="Arial"/>
                <w:b/>
                <w:bCs/>
                <w:i w:val="false"/>
                <w:iCs w:val="false"/>
                <w:color w:val="111827"/>
                <w:sz w:val="20"/>
                <w:szCs w:val="20"/>
              </w:rPr>
              <w:t xml:space="preserve">1.</w:t>
            </w:r>
          </w:p>
        </w:tc>
        <w:tc>
          <w:tcPr>
            <w:tcW w:type="dxa" w:w="7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60" w:after="60"/>
              <w:jc w:val="left"/>
            </w:pPr>
            <w:r>
              <w:rPr>
                <w:rFonts w:ascii="Arial" w:cs="Arial" w:eastAsia="Arial" w:hAnsi="Arial"/>
                <w:b w:val="false"/>
                <w:bCs w:val="false"/>
                <w:i w:val="false"/>
                <w:iCs w:val="false"/>
                <w:color w:val="111827"/>
                <w:sz w:val="20"/>
                <w:szCs w:val="20"/>
              </w:rPr>
              <w:t xml:space="preserve">Health Insurance</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60" w:after="60"/>
              <w:jc w:val="right"/>
            </w:pPr>
            <w:r>
              <w:rPr>
                <w:rFonts w:ascii="Arial" w:cs="Arial" w:eastAsia="Arial" w:hAnsi="Arial"/>
                <w:b w:val="false"/>
                <w:bCs w:val="false"/>
                <w:i w:val="false"/>
                <w:iCs w:val="false"/>
                <w:color w:val="111827"/>
                <w:sz w:val="20"/>
                <w:szCs w:val="20"/>
              </w:rPr>
              <w:t xml:space="preserve">3</w:t>
            </w:r>
          </w:p>
        </w:tc>
      </w:tr>
      <w:tr>
        <w:tc>
          <w:tcPr>
            <w:tcW w:type="dxa" w:w="400"/>
            <w:tcBorders>
              <w:top w:val="single" w:color="DDDDDD" w:sz="1"/>
              <w:left w:val="single" w:color="DDDDDD" w:sz="1"/>
              <w:bottom w:val="single" w:color="DDDDDD" w:sz="1"/>
              <w:right w:val="single" w:color="DDDDDD" w:sz="1"/>
            </w:tcBorders>
            <w:shd w:fill="F3F4F6" w:val="clear"/>
            <w:tcMar>
              <w:top w:type="dxa" w:w="100"/>
              <w:left w:type="dxa" w:w="140"/>
              <w:bottom w:type="dxa" w:w="100"/>
              <w:right w:type="dxa" w:w="140"/>
            </w:tcMar>
            <w:vAlign w:val="center"/>
          </w:tcPr>
          <w:p>
            <w:pPr>
              <w:spacing w:before="60" w:after="60"/>
              <w:jc w:val="left"/>
            </w:pPr>
            <w:r>
              <w:rPr>
                <w:rFonts w:ascii="Arial" w:cs="Arial" w:eastAsia="Arial" w:hAnsi="Arial"/>
                <w:b/>
                <w:bCs/>
                <w:i w:val="false"/>
                <w:iCs w:val="false"/>
                <w:color w:val="111827"/>
                <w:sz w:val="20"/>
                <w:szCs w:val="20"/>
              </w:rPr>
              <w:t xml:space="preserve">2.</w:t>
            </w:r>
          </w:p>
        </w:tc>
        <w:tc>
          <w:tcPr>
            <w:tcW w:type="dxa" w:w="7760"/>
            <w:tcBorders>
              <w:top w:val="single" w:color="DDDDDD" w:sz="1"/>
              <w:left w:val="single" w:color="DDDDDD" w:sz="1"/>
              <w:bottom w:val="single" w:color="DDDDDD" w:sz="1"/>
              <w:right w:val="single" w:color="DDDDDD" w:sz="1"/>
            </w:tcBorders>
            <w:shd w:fill="F3F4F6" w:val="clear"/>
            <w:tcMar>
              <w:top w:type="dxa" w:w="100"/>
              <w:left w:type="dxa" w:w="140"/>
              <w:bottom w:type="dxa" w:w="100"/>
              <w:right w:type="dxa" w:w="140"/>
            </w:tcMar>
            <w:vAlign w:val="center"/>
          </w:tcPr>
          <w:p>
            <w:pPr>
              <w:spacing w:before="60" w:after="60"/>
              <w:jc w:val="left"/>
            </w:pPr>
            <w:r>
              <w:rPr>
                <w:rFonts w:ascii="Arial" w:cs="Arial" w:eastAsia="Arial" w:hAnsi="Arial"/>
                <w:b w:val="false"/>
                <w:bCs w:val="false"/>
                <w:i w:val="false"/>
                <w:iCs w:val="false"/>
                <w:color w:val="111827"/>
                <w:sz w:val="20"/>
                <w:szCs w:val="20"/>
              </w:rPr>
              <w:t xml:space="preserve">Life / Term Insurance</w:t>
            </w:r>
          </w:p>
        </w:tc>
        <w:tc>
          <w:tcPr>
            <w:tcW w:type="dxa" w:w="1200"/>
            <w:tcBorders>
              <w:top w:val="single" w:color="DDDDDD" w:sz="1"/>
              <w:left w:val="single" w:color="DDDDDD" w:sz="1"/>
              <w:bottom w:val="single" w:color="DDDDDD" w:sz="1"/>
              <w:right w:val="single" w:color="DDDDDD" w:sz="1"/>
            </w:tcBorders>
            <w:shd w:fill="F3F4F6" w:val="clear"/>
            <w:tcMar>
              <w:top w:type="dxa" w:w="100"/>
              <w:left w:type="dxa" w:w="140"/>
              <w:bottom w:type="dxa" w:w="100"/>
              <w:right w:type="dxa" w:w="140"/>
            </w:tcMar>
            <w:vAlign w:val="center"/>
          </w:tcPr>
          <w:p>
            <w:pPr>
              <w:spacing w:before="60" w:after="60"/>
              <w:jc w:val="right"/>
            </w:pPr>
            <w:r>
              <w:rPr>
                <w:rFonts w:ascii="Arial" w:cs="Arial" w:eastAsia="Arial" w:hAnsi="Arial"/>
                <w:b w:val="false"/>
                <w:bCs w:val="false"/>
                <w:i w:val="false"/>
                <w:iCs w:val="false"/>
                <w:color w:val="111827"/>
                <w:sz w:val="20"/>
                <w:szCs w:val="20"/>
              </w:rPr>
              <w:t xml:space="preserve">8</w:t>
            </w:r>
          </w:p>
        </w:tc>
      </w:tr>
      <w:tr>
        <w:tc>
          <w:tcPr>
            <w:tcW w:type="dxa" w:w="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60" w:after="60"/>
              <w:jc w:val="left"/>
            </w:pPr>
            <w:r>
              <w:rPr>
                <w:rFonts w:ascii="Arial" w:cs="Arial" w:eastAsia="Arial" w:hAnsi="Arial"/>
                <w:b/>
                <w:bCs/>
                <w:i w:val="false"/>
                <w:iCs w:val="false"/>
                <w:color w:val="111827"/>
                <w:sz w:val="20"/>
                <w:szCs w:val="20"/>
              </w:rPr>
              <w:t xml:space="preserve">3.</w:t>
            </w:r>
          </w:p>
        </w:tc>
        <w:tc>
          <w:tcPr>
            <w:tcW w:type="dxa" w:w="7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60" w:after="60"/>
              <w:jc w:val="left"/>
            </w:pPr>
            <w:r>
              <w:rPr>
                <w:rFonts w:ascii="Arial" w:cs="Arial" w:eastAsia="Arial" w:hAnsi="Arial"/>
                <w:b w:val="false"/>
                <w:bCs w:val="false"/>
                <w:i w:val="false"/>
                <w:iCs w:val="false"/>
                <w:color w:val="111827"/>
                <w:sz w:val="20"/>
                <w:szCs w:val="20"/>
              </w:rPr>
              <w:t xml:space="preserve">Vehicle Insurance</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60" w:after="60"/>
              <w:jc w:val="right"/>
            </w:pPr>
            <w:r>
              <w:rPr>
                <w:rFonts w:ascii="Arial" w:cs="Arial" w:eastAsia="Arial" w:hAnsi="Arial"/>
                <w:b w:val="false"/>
                <w:bCs w:val="false"/>
                <w:i w:val="false"/>
                <w:iCs w:val="false"/>
                <w:color w:val="111827"/>
                <w:sz w:val="20"/>
                <w:szCs w:val="20"/>
              </w:rPr>
              <w:t xml:space="preserve">13</w:t>
            </w:r>
          </w:p>
        </w:tc>
      </w:tr>
      <w:tr>
        <w:tc>
          <w:tcPr>
            <w:tcW w:type="dxa" w:w="400"/>
            <w:tcBorders>
              <w:top w:val="single" w:color="DDDDDD" w:sz="1"/>
              <w:left w:val="single" w:color="DDDDDD" w:sz="1"/>
              <w:bottom w:val="single" w:color="DDDDDD" w:sz="1"/>
              <w:right w:val="single" w:color="DDDDDD" w:sz="1"/>
            </w:tcBorders>
            <w:shd w:fill="F3F4F6" w:val="clear"/>
            <w:tcMar>
              <w:top w:type="dxa" w:w="100"/>
              <w:left w:type="dxa" w:w="140"/>
              <w:bottom w:type="dxa" w:w="100"/>
              <w:right w:type="dxa" w:w="140"/>
            </w:tcMar>
            <w:vAlign w:val="center"/>
          </w:tcPr>
          <w:p>
            <w:pPr>
              <w:spacing w:before="60" w:after="60"/>
              <w:jc w:val="left"/>
            </w:pPr>
            <w:r>
              <w:rPr>
                <w:rFonts w:ascii="Arial" w:cs="Arial" w:eastAsia="Arial" w:hAnsi="Arial"/>
                <w:b/>
                <w:bCs/>
                <w:i w:val="false"/>
                <w:iCs w:val="false"/>
                <w:color w:val="111827"/>
                <w:sz w:val="20"/>
                <w:szCs w:val="20"/>
              </w:rPr>
              <w:t xml:space="preserve">4.</w:t>
            </w:r>
          </w:p>
        </w:tc>
        <w:tc>
          <w:tcPr>
            <w:tcW w:type="dxa" w:w="7760"/>
            <w:tcBorders>
              <w:top w:val="single" w:color="DDDDDD" w:sz="1"/>
              <w:left w:val="single" w:color="DDDDDD" w:sz="1"/>
              <w:bottom w:val="single" w:color="DDDDDD" w:sz="1"/>
              <w:right w:val="single" w:color="DDDDDD" w:sz="1"/>
            </w:tcBorders>
            <w:shd w:fill="F3F4F6" w:val="clear"/>
            <w:tcMar>
              <w:top w:type="dxa" w:w="100"/>
              <w:left w:type="dxa" w:w="140"/>
              <w:bottom w:type="dxa" w:w="100"/>
              <w:right w:type="dxa" w:w="140"/>
            </w:tcMar>
            <w:vAlign w:val="center"/>
          </w:tcPr>
          <w:p>
            <w:pPr>
              <w:spacing w:before="60" w:after="60"/>
              <w:jc w:val="left"/>
            </w:pPr>
            <w:r>
              <w:rPr>
                <w:rFonts w:ascii="Arial" w:cs="Arial" w:eastAsia="Arial" w:hAnsi="Arial"/>
                <w:b w:val="false"/>
                <w:bCs w:val="false"/>
                <w:i w:val="false"/>
                <w:iCs w:val="false"/>
                <w:color w:val="111827"/>
                <w:sz w:val="20"/>
                <w:szCs w:val="20"/>
              </w:rPr>
              <w:t xml:space="preserve">Travel Insurance</w:t>
            </w:r>
          </w:p>
        </w:tc>
        <w:tc>
          <w:tcPr>
            <w:tcW w:type="dxa" w:w="1200"/>
            <w:tcBorders>
              <w:top w:val="single" w:color="DDDDDD" w:sz="1"/>
              <w:left w:val="single" w:color="DDDDDD" w:sz="1"/>
              <w:bottom w:val="single" w:color="DDDDDD" w:sz="1"/>
              <w:right w:val="single" w:color="DDDDDD" w:sz="1"/>
            </w:tcBorders>
            <w:shd w:fill="F3F4F6" w:val="clear"/>
            <w:tcMar>
              <w:top w:type="dxa" w:w="100"/>
              <w:left w:type="dxa" w:w="140"/>
              <w:bottom w:type="dxa" w:w="100"/>
              <w:right w:type="dxa" w:w="140"/>
            </w:tcMar>
            <w:vAlign w:val="center"/>
          </w:tcPr>
          <w:p>
            <w:pPr>
              <w:spacing w:before="60" w:after="60"/>
              <w:jc w:val="right"/>
            </w:pPr>
            <w:r>
              <w:rPr>
                <w:rFonts w:ascii="Arial" w:cs="Arial" w:eastAsia="Arial" w:hAnsi="Arial"/>
                <w:b w:val="false"/>
                <w:bCs w:val="false"/>
                <w:i w:val="false"/>
                <w:iCs w:val="false"/>
                <w:color w:val="111827"/>
                <w:sz w:val="20"/>
                <w:szCs w:val="20"/>
              </w:rPr>
              <w:t xml:space="preserve">18</w:t>
            </w:r>
          </w:p>
        </w:tc>
      </w:tr>
      <w:tr>
        <w:tc>
          <w:tcPr>
            <w:tcW w:type="dxa" w:w="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60" w:after="60"/>
              <w:jc w:val="left"/>
            </w:pPr>
            <w:r>
              <w:rPr>
                <w:rFonts w:ascii="Arial" w:cs="Arial" w:eastAsia="Arial" w:hAnsi="Arial"/>
                <w:b/>
                <w:bCs/>
                <w:i w:val="false"/>
                <w:iCs w:val="false"/>
                <w:color w:val="111827"/>
                <w:sz w:val="20"/>
                <w:szCs w:val="20"/>
              </w:rPr>
              <w:t xml:space="preserve">5.</w:t>
            </w:r>
          </w:p>
        </w:tc>
        <w:tc>
          <w:tcPr>
            <w:tcW w:type="dxa" w:w="7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60" w:after="60"/>
              <w:jc w:val="left"/>
            </w:pPr>
            <w:r>
              <w:rPr>
                <w:rFonts w:ascii="Arial" w:cs="Arial" w:eastAsia="Arial" w:hAnsi="Arial"/>
                <w:b w:val="false"/>
                <w:bCs w:val="false"/>
                <w:i w:val="false"/>
                <w:iCs w:val="false"/>
                <w:color w:val="111827"/>
                <w:sz w:val="20"/>
                <w:szCs w:val="20"/>
              </w:rPr>
              <w:t xml:space="preserve">Property Insurance</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60" w:after="60"/>
              <w:jc w:val="right"/>
            </w:pPr>
            <w:r>
              <w:rPr>
                <w:rFonts w:ascii="Arial" w:cs="Arial" w:eastAsia="Arial" w:hAnsi="Arial"/>
                <w:b w:val="false"/>
                <w:bCs w:val="false"/>
                <w:i w:val="false"/>
                <w:iCs w:val="false"/>
                <w:color w:val="111827"/>
                <w:sz w:val="20"/>
                <w:szCs w:val="20"/>
              </w:rPr>
              <w:t xml:space="preserve">22</w:t>
            </w:r>
          </w:p>
        </w:tc>
      </w:tr>
      <w:tr>
        <w:tc>
          <w:tcPr>
            <w:tcW w:type="dxa" w:w="400"/>
            <w:tcBorders>
              <w:top w:val="single" w:color="DDDDDD" w:sz="1"/>
              <w:left w:val="single" w:color="DDDDDD" w:sz="1"/>
              <w:bottom w:val="single" w:color="DDDDDD" w:sz="1"/>
              <w:right w:val="single" w:color="DDDDDD" w:sz="1"/>
            </w:tcBorders>
            <w:shd w:fill="F3F4F6" w:val="clear"/>
            <w:tcMar>
              <w:top w:type="dxa" w:w="100"/>
              <w:left w:type="dxa" w:w="140"/>
              <w:bottom w:type="dxa" w:w="100"/>
              <w:right w:type="dxa" w:w="140"/>
            </w:tcMar>
            <w:vAlign w:val="center"/>
          </w:tcPr>
          <w:p>
            <w:pPr>
              <w:spacing w:before="60" w:after="60"/>
              <w:jc w:val="left"/>
            </w:pPr>
            <w:r>
              <w:rPr>
                <w:rFonts w:ascii="Arial" w:cs="Arial" w:eastAsia="Arial" w:hAnsi="Arial"/>
                <w:b/>
                <w:bCs/>
                <w:i w:val="false"/>
                <w:iCs w:val="false"/>
                <w:color w:val="111827"/>
                <w:sz w:val="20"/>
                <w:szCs w:val="20"/>
              </w:rPr>
              <w:t xml:space="preserve">6.</w:t>
            </w:r>
          </w:p>
        </w:tc>
        <w:tc>
          <w:tcPr>
            <w:tcW w:type="dxa" w:w="7760"/>
            <w:tcBorders>
              <w:top w:val="single" w:color="DDDDDD" w:sz="1"/>
              <w:left w:val="single" w:color="DDDDDD" w:sz="1"/>
              <w:bottom w:val="single" w:color="DDDDDD" w:sz="1"/>
              <w:right w:val="single" w:color="DDDDDD" w:sz="1"/>
            </w:tcBorders>
            <w:shd w:fill="F3F4F6" w:val="clear"/>
            <w:tcMar>
              <w:top w:type="dxa" w:w="100"/>
              <w:left w:type="dxa" w:w="140"/>
              <w:bottom w:type="dxa" w:w="100"/>
              <w:right w:type="dxa" w:w="140"/>
            </w:tcMar>
            <w:vAlign w:val="center"/>
          </w:tcPr>
          <w:p>
            <w:pPr>
              <w:spacing w:before="60" w:after="60"/>
              <w:jc w:val="left"/>
            </w:pPr>
            <w:r>
              <w:rPr>
                <w:rFonts w:ascii="Arial" w:cs="Arial" w:eastAsia="Arial" w:hAnsi="Arial"/>
                <w:b w:val="false"/>
                <w:bCs w:val="false"/>
                <w:i w:val="false"/>
                <w:iCs w:val="false"/>
                <w:color w:val="111827"/>
                <w:sz w:val="20"/>
                <w:szCs w:val="20"/>
              </w:rPr>
              <w:t xml:space="preserve">Accident / Personal Accident Insurance</w:t>
            </w:r>
          </w:p>
        </w:tc>
        <w:tc>
          <w:tcPr>
            <w:tcW w:type="dxa" w:w="1200"/>
            <w:tcBorders>
              <w:top w:val="single" w:color="DDDDDD" w:sz="1"/>
              <w:left w:val="single" w:color="DDDDDD" w:sz="1"/>
              <w:bottom w:val="single" w:color="DDDDDD" w:sz="1"/>
              <w:right w:val="single" w:color="DDDDDD" w:sz="1"/>
            </w:tcBorders>
            <w:shd w:fill="F3F4F6" w:val="clear"/>
            <w:tcMar>
              <w:top w:type="dxa" w:w="100"/>
              <w:left w:type="dxa" w:w="140"/>
              <w:bottom w:type="dxa" w:w="100"/>
              <w:right w:type="dxa" w:w="140"/>
            </w:tcMar>
            <w:vAlign w:val="center"/>
          </w:tcPr>
          <w:p>
            <w:pPr>
              <w:spacing w:before="60" w:after="60"/>
              <w:jc w:val="right"/>
            </w:pPr>
            <w:r>
              <w:rPr>
                <w:rFonts w:ascii="Arial" w:cs="Arial" w:eastAsia="Arial" w:hAnsi="Arial"/>
                <w:b w:val="false"/>
                <w:bCs w:val="false"/>
                <w:i w:val="false"/>
                <w:iCs w:val="false"/>
                <w:color w:val="111827"/>
                <w:sz w:val="20"/>
                <w:szCs w:val="20"/>
              </w:rPr>
              <w:t xml:space="preserve">26</w:t>
            </w:r>
          </w:p>
        </w:tc>
      </w:tr>
      <w:tr>
        <w:tc>
          <w:tcPr>
            <w:tcW w:type="dxa" w:w="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60" w:after="60"/>
              <w:jc w:val="left"/>
            </w:pPr>
            <w:r>
              <w:rPr>
                <w:rFonts w:ascii="Arial" w:cs="Arial" w:eastAsia="Arial" w:hAnsi="Arial"/>
                <w:b/>
                <w:bCs/>
                <w:i w:val="false"/>
                <w:iCs w:val="false"/>
                <w:color w:val="111827"/>
                <w:sz w:val="20"/>
                <w:szCs w:val="20"/>
              </w:rPr>
              <w:t xml:space="preserve">7.</w:t>
            </w:r>
          </w:p>
        </w:tc>
        <w:tc>
          <w:tcPr>
            <w:tcW w:type="dxa" w:w="7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60" w:after="60"/>
              <w:jc w:val="left"/>
            </w:pPr>
            <w:r>
              <w:rPr>
                <w:rFonts w:ascii="Arial" w:cs="Arial" w:eastAsia="Arial" w:hAnsi="Arial"/>
                <w:b w:val="false"/>
                <w:bCs w:val="false"/>
                <w:i w:val="false"/>
                <w:iCs w:val="false"/>
                <w:color w:val="111827"/>
                <w:sz w:val="20"/>
                <w:szCs w:val="20"/>
              </w:rPr>
              <w:t xml:space="preserve">General Comparison Matrix</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60" w:after="60"/>
              <w:jc w:val="right"/>
            </w:pPr>
            <w:r>
              <w:rPr>
                <w:rFonts w:ascii="Arial" w:cs="Arial" w:eastAsia="Arial" w:hAnsi="Arial"/>
                <w:b w:val="false"/>
                <w:bCs w:val="false"/>
                <w:i w:val="false"/>
                <w:iCs w:val="false"/>
                <w:color w:val="111827"/>
                <w:sz w:val="20"/>
                <w:szCs w:val="20"/>
              </w:rPr>
              <w:t xml:space="preserve">30</w:t>
            </w:r>
          </w:p>
        </w:tc>
      </w:tr>
      <w:tr>
        <w:tc>
          <w:tcPr>
            <w:tcW w:type="dxa" w:w="400"/>
            <w:tcBorders>
              <w:top w:val="single" w:color="DDDDDD" w:sz="1"/>
              <w:left w:val="single" w:color="DDDDDD" w:sz="1"/>
              <w:bottom w:val="single" w:color="DDDDDD" w:sz="1"/>
              <w:right w:val="single" w:color="DDDDDD" w:sz="1"/>
            </w:tcBorders>
            <w:shd w:fill="F3F4F6" w:val="clear"/>
            <w:tcMar>
              <w:top w:type="dxa" w:w="100"/>
              <w:left w:type="dxa" w:w="140"/>
              <w:bottom w:type="dxa" w:w="100"/>
              <w:right w:type="dxa" w:w="140"/>
            </w:tcMar>
            <w:vAlign w:val="center"/>
          </w:tcPr>
          <w:p>
            <w:pPr>
              <w:spacing w:before="60" w:after="60"/>
              <w:jc w:val="left"/>
            </w:pPr>
            <w:r>
              <w:rPr>
                <w:rFonts w:ascii="Arial" w:cs="Arial" w:eastAsia="Arial" w:hAnsi="Arial"/>
                <w:b/>
                <w:bCs/>
                <w:i w:val="false"/>
                <w:iCs w:val="false"/>
                <w:color w:val="111827"/>
                <w:sz w:val="20"/>
                <w:szCs w:val="20"/>
              </w:rPr>
              <w:t xml:space="preserve">8.</w:t>
            </w:r>
          </w:p>
        </w:tc>
        <w:tc>
          <w:tcPr>
            <w:tcW w:type="dxa" w:w="7760"/>
            <w:tcBorders>
              <w:top w:val="single" w:color="DDDDDD" w:sz="1"/>
              <w:left w:val="single" w:color="DDDDDD" w:sz="1"/>
              <w:bottom w:val="single" w:color="DDDDDD" w:sz="1"/>
              <w:right w:val="single" w:color="DDDDDD" w:sz="1"/>
            </w:tcBorders>
            <w:shd w:fill="F3F4F6" w:val="clear"/>
            <w:tcMar>
              <w:top w:type="dxa" w:w="100"/>
              <w:left w:type="dxa" w:w="140"/>
              <w:bottom w:type="dxa" w:w="100"/>
              <w:right w:type="dxa" w:w="140"/>
            </w:tcMar>
            <w:vAlign w:val="center"/>
          </w:tcPr>
          <w:p>
            <w:pPr>
              <w:spacing w:before="60" w:after="60"/>
              <w:jc w:val="left"/>
            </w:pPr>
            <w:r>
              <w:rPr>
                <w:rFonts w:ascii="Arial" w:cs="Arial" w:eastAsia="Arial" w:hAnsi="Arial"/>
                <w:b w:val="false"/>
                <w:bCs w:val="false"/>
                <w:i w:val="false"/>
                <w:iCs w:val="false"/>
                <w:color w:val="111827"/>
                <w:sz w:val="20"/>
                <w:szCs w:val="20"/>
              </w:rPr>
              <w:t xml:space="preserve">Claim Procedures</w:t>
            </w:r>
          </w:p>
        </w:tc>
        <w:tc>
          <w:tcPr>
            <w:tcW w:type="dxa" w:w="1200"/>
            <w:tcBorders>
              <w:top w:val="single" w:color="DDDDDD" w:sz="1"/>
              <w:left w:val="single" w:color="DDDDDD" w:sz="1"/>
              <w:bottom w:val="single" w:color="DDDDDD" w:sz="1"/>
              <w:right w:val="single" w:color="DDDDDD" w:sz="1"/>
            </w:tcBorders>
            <w:shd w:fill="F3F4F6" w:val="clear"/>
            <w:tcMar>
              <w:top w:type="dxa" w:w="100"/>
              <w:left w:type="dxa" w:w="140"/>
              <w:bottom w:type="dxa" w:w="100"/>
              <w:right w:type="dxa" w:w="140"/>
            </w:tcMar>
            <w:vAlign w:val="center"/>
          </w:tcPr>
          <w:p>
            <w:pPr>
              <w:spacing w:before="60" w:after="60"/>
              <w:jc w:val="right"/>
            </w:pPr>
            <w:r>
              <w:rPr>
                <w:rFonts w:ascii="Arial" w:cs="Arial" w:eastAsia="Arial" w:hAnsi="Arial"/>
                <w:b w:val="false"/>
                <w:bCs w:val="false"/>
                <w:i w:val="false"/>
                <w:iCs w:val="false"/>
                <w:color w:val="111827"/>
                <w:sz w:val="20"/>
                <w:szCs w:val="20"/>
              </w:rPr>
              <w:t xml:space="preserve">32</w:t>
            </w:r>
          </w:p>
        </w:tc>
      </w:tr>
      <w:tr>
        <w:tc>
          <w:tcPr>
            <w:tcW w:type="dxa" w:w="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60" w:after="60"/>
              <w:jc w:val="left"/>
            </w:pPr>
            <w:r>
              <w:rPr>
                <w:rFonts w:ascii="Arial" w:cs="Arial" w:eastAsia="Arial" w:hAnsi="Arial"/>
                <w:b/>
                <w:bCs/>
                <w:i w:val="false"/>
                <w:iCs w:val="false"/>
                <w:color w:val="111827"/>
                <w:sz w:val="20"/>
                <w:szCs w:val="20"/>
              </w:rPr>
              <w:t xml:space="preserve">9.</w:t>
            </w:r>
          </w:p>
        </w:tc>
        <w:tc>
          <w:tcPr>
            <w:tcW w:type="dxa" w:w="7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60" w:after="60"/>
              <w:jc w:val="left"/>
            </w:pPr>
            <w:r>
              <w:rPr>
                <w:rFonts w:ascii="Arial" w:cs="Arial" w:eastAsia="Arial" w:hAnsi="Arial"/>
                <w:b w:val="false"/>
                <w:bCs w:val="false"/>
                <w:i w:val="false"/>
                <w:iCs w:val="false"/>
                <w:color w:val="111827"/>
                <w:sz w:val="20"/>
                <w:szCs w:val="20"/>
              </w:rPr>
              <w:t xml:space="preserve">Regulatory &amp; Compliance Guide</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60" w:after="60"/>
              <w:jc w:val="right"/>
            </w:pPr>
            <w:r>
              <w:rPr>
                <w:rFonts w:ascii="Arial" w:cs="Arial" w:eastAsia="Arial" w:hAnsi="Arial"/>
                <w:b w:val="false"/>
                <w:bCs w:val="false"/>
                <w:i w:val="false"/>
                <w:iCs w:val="false"/>
                <w:color w:val="111827"/>
                <w:sz w:val="20"/>
                <w:szCs w:val="20"/>
              </w:rPr>
              <w:t xml:space="preserve">35</w:t>
            </w:r>
          </w:p>
        </w:tc>
      </w:tr>
      <w:tr>
        <w:tc>
          <w:tcPr>
            <w:tcW w:type="dxa" w:w="400"/>
            <w:tcBorders>
              <w:top w:val="single" w:color="DDDDDD" w:sz="1"/>
              <w:left w:val="single" w:color="DDDDDD" w:sz="1"/>
              <w:bottom w:val="single" w:color="DDDDDD" w:sz="1"/>
              <w:right w:val="single" w:color="DDDDDD" w:sz="1"/>
            </w:tcBorders>
            <w:shd w:fill="F3F4F6" w:val="clear"/>
            <w:tcMar>
              <w:top w:type="dxa" w:w="100"/>
              <w:left w:type="dxa" w:w="140"/>
              <w:bottom w:type="dxa" w:w="100"/>
              <w:right w:type="dxa" w:w="140"/>
            </w:tcMar>
            <w:vAlign w:val="center"/>
          </w:tcPr>
          <w:p>
            <w:pPr>
              <w:spacing w:before="60" w:after="60"/>
              <w:jc w:val="left"/>
            </w:pPr>
            <w:r>
              <w:rPr>
                <w:rFonts w:ascii="Arial" w:cs="Arial" w:eastAsia="Arial" w:hAnsi="Arial"/>
                <w:b/>
                <w:bCs/>
                <w:i w:val="false"/>
                <w:iCs w:val="false"/>
                <w:color w:val="111827"/>
                <w:sz w:val="20"/>
                <w:szCs w:val="20"/>
              </w:rPr>
              <w:t xml:space="preserve">10.</w:t>
            </w:r>
          </w:p>
        </w:tc>
        <w:tc>
          <w:tcPr>
            <w:tcW w:type="dxa" w:w="7760"/>
            <w:tcBorders>
              <w:top w:val="single" w:color="DDDDDD" w:sz="1"/>
              <w:left w:val="single" w:color="DDDDDD" w:sz="1"/>
              <w:bottom w:val="single" w:color="DDDDDD" w:sz="1"/>
              <w:right w:val="single" w:color="DDDDDD" w:sz="1"/>
            </w:tcBorders>
            <w:shd w:fill="F3F4F6" w:val="clear"/>
            <w:tcMar>
              <w:top w:type="dxa" w:w="100"/>
              <w:left w:type="dxa" w:w="140"/>
              <w:bottom w:type="dxa" w:w="100"/>
              <w:right w:type="dxa" w:w="140"/>
            </w:tcMar>
            <w:vAlign w:val="center"/>
          </w:tcPr>
          <w:p>
            <w:pPr>
              <w:spacing w:before="60" w:after="60"/>
              <w:jc w:val="left"/>
            </w:pPr>
            <w:r>
              <w:rPr>
                <w:rFonts w:ascii="Arial" w:cs="Arial" w:eastAsia="Arial" w:hAnsi="Arial"/>
                <w:b w:val="false"/>
                <w:bCs w:val="false"/>
                <w:i w:val="false"/>
                <w:iCs w:val="false"/>
                <w:color w:val="111827"/>
                <w:sz w:val="20"/>
                <w:szCs w:val="20"/>
              </w:rPr>
              <w:t xml:space="preserve">Glossary of Insurance Terms</w:t>
            </w:r>
          </w:p>
        </w:tc>
        <w:tc>
          <w:tcPr>
            <w:tcW w:type="dxa" w:w="1200"/>
            <w:tcBorders>
              <w:top w:val="single" w:color="DDDDDD" w:sz="1"/>
              <w:left w:val="single" w:color="DDDDDD" w:sz="1"/>
              <w:bottom w:val="single" w:color="DDDDDD" w:sz="1"/>
              <w:right w:val="single" w:color="DDDDDD" w:sz="1"/>
            </w:tcBorders>
            <w:shd w:fill="F3F4F6" w:val="clear"/>
            <w:tcMar>
              <w:top w:type="dxa" w:w="100"/>
              <w:left w:type="dxa" w:w="140"/>
              <w:bottom w:type="dxa" w:w="100"/>
              <w:right w:type="dxa" w:w="140"/>
            </w:tcMar>
            <w:vAlign w:val="center"/>
          </w:tcPr>
          <w:p>
            <w:pPr>
              <w:spacing w:before="60" w:after="60"/>
              <w:jc w:val="right"/>
            </w:pPr>
            <w:r>
              <w:rPr>
                <w:rFonts w:ascii="Arial" w:cs="Arial" w:eastAsia="Arial" w:hAnsi="Arial"/>
                <w:b w:val="false"/>
                <w:bCs w:val="false"/>
                <w:i w:val="false"/>
                <w:iCs w:val="false"/>
                <w:color w:val="111827"/>
                <w:sz w:val="20"/>
                <w:szCs w:val="20"/>
              </w:rPr>
              <w:t xml:space="preserve">37</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
              <w:left w:val="single" w:color="0F766E" w:sz="1"/>
              <w:bottom w:val="single" w:color="0F766E" w:sz="1"/>
              <w:right w:val="single" w:color="0F766E" w:sz="1"/>
            </w:tcBorders>
            <w:shd w:fill="0F766E" w:val="clear"/>
            <w:tcMar>
              <w:top w:type="dxa" w:w="100"/>
              <w:left w:type="dxa" w:w="140"/>
              <w:bottom w:type="dxa" w:w="100"/>
              <w:right w:type="dxa" w:w="140"/>
            </w:tcMar>
            <w:vAlign w:val="center"/>
          </w:tcPr>
          <w:p>
            <w:pPr>
              <w:spacing w:before="60" w:after="60"/>
              <w:jc w:val="center"/>
            </w:pPr>
            <w:r>
              <w:rPr>
                <w:rFonts w:ascii="Arial" w:cs="Arial" w:eastAsia="Arial" w:hAnsi="Arial"/>
                <w:b/>
                <w:bCs/>
                <w:i w:val="false"/>
                <w:iCs w:val="false"/>
                <w:color w:val="FFFFFF"/>
                <w:sz w:val="30"/>
                <w:szCs w:val="30"/>
              </w:rPr>
              <w:t xml:space="preserve">SECTION 1 — HEALTH INSURANCE 🏥</w:t>
            </w:r>
          </w:p>
        </w:tc>
      </w:tr>
    </w:tbl>
    <w:p>
      <w:pPr>
        <w:spacing w:before="0" w:after="0"/>
      </w:pPr>
      <w:r>
        <w:rPr>
          <w:rFonts w:ascii="Arial" w:cs="Arial" w:eastAsia="Arial" w:hAnsi="Arial"/>
          <w:b w:val="false"/>
          <w:bCs w:val="false"/>
          <w:i w:val="false"/>
          <w:iCs w:val="false"/>
          <w:color w:val="111827"/>
          <w:sz w:val="22"/>
          <w:szCs w:val="22"/>
        </w:rPr>
        <w:t xml:space="preserve"/>
      </w:r>
    </w:p>
    <w:p>
      <w:pPr>
        <w:pStyle w:val="Heading1"/>
        <w:pBdr>
          <w:bottom w:val="single" w:color="0F766E" w:sz="8" w:space="2"/>
        </w:pBdr>
        <w:spacing w:before="320" w:after="160"/>
      </w:pPr>
      <w:r>
        <w:rPr>
          <w:rFonts w:ascii="Arial" w:cs="Arial" w:eastAsia="Arial" w:hAnsi="Arial"/>
          <w:b/>
          <w:bCs/>
          <w:color w:val="0F766E"/>
          <w:sz w:val="36"/>
          <w:szCs w:val="36"/>
        </w:rPr>
        <w:t xml:space="preserve">1. Health Insurance in India</w:t>
      </w:r>
    </w:p>
    <w:p>
      <w:pPr>
        <w:spacing w:before="60" w:after="100"/>
        <w:jc w:val="left"/>
      </w:pPr>
      <w:r>
        <w:rPr>
          <w:rFonts w:ascii="Arial" w:cs="Arial" w:eastAsia="Arial" w:hAnsi="Arial"/>
          <w:b w:val="false"/>
          <w:bCs w:val="false"/>
          <w:i w:val="false"/>
          <w:iCs w:val="false"/>
          <w:color w:val="111827"/>
          <w:sz w:val="21"/>
          <w:szCs w:val="21"/>
        </w:rPr>
        <w:t xml:space="preserve">Health insurance, also known as Mediclaim, covers hospitalisation expenses, medical bills, surgeries, and related healthcare costs. It is regulated by the Insurance Regulatory and Development Authority of India (IRDAI).</w:t>
      </w:r>
    </w:p>
    <w:p>
      <w:pPr>
        <w:pStyle w:val="Heading2"/>
        <w:spacing w:before="240" w:after="120"/>
      </w:pPr>
      <w:r>
        <w:rPr>
          <w:rFonts w:ascii="Arial" w:cs="Arial" w:eastAsia="Arial" w:hAnsi="Arial"/>
          <w:b/>
          <w:bCs/>
          <w:color w:val="0F766E"/>
          <w:sz w:val="28"/>
          <w:szCs w:val="28"/>
        </w:rPr>
        <w:t xml:space="preserve">1.1  Why Health Insurance is Essential</w:t>
      </w:r>
    </w:p>
    <w:p>
      <w:pPr>
        <w:pStyle w:val="ListParagraph"/>
        <w:numPr>
          <w:ilvl w:val="0"/>
          <w:numId w:val="2"/>
        </w:numPr>
        <w:spacing w:before="40" w:after="40"/>
      </w:pPr>
      <w:r>
        <w:rPr>
          <w:rFonts w:ascii="Arial" w:cs="Arial" w:eastAsia="Arial" w:hAnsi="Arial"/>
          <w:b w:val="false"/>
          <w:bCs w:val="false"/>
          <w:i w:val="false"/>
          <w:iCs w:val="false"/>
          <w:color w:val="111827"/>
          <w:sz w:val="21"/>
          <w:szCs w:val="21"/>
        </w:rPr>
        <w:t xml:space="preserve">Rising medical inflation in India averages 14% annually</w:t>
      </w:r>
    </w:p>
    <w:p>
      <w:pPr>
        <w:pStyle w:val="ListParagraph"/>
        <w:numPr>
          <w:ilvl w:val="0"/>
          <w:numId w:val="2"/>
        </w:numPr>
        <w:spacing w:before="40" w:after="40"/>
      </w:pPr>
      <w:r>
        <w:rPr>
          <w:rFonts w:ascii="Arial" w:cs="Arial" w:eastAsia="Arial" w:hAnsi="Arial"/>
          <w:b w:val="false"/>
          <w:bCs w:val="false"/>
          <w:i w:val="false"/>
          <w:iCs w:val="false"/>
          <w:color w:val="111827"/>
          <w:sz w:val="21"/>
          <w:szCs w:val="21"/>
        </w:rPr>
        <w:t xml:space="preserve">Average hospitalisation cost: ₹30,000 to ₹5,00,000+ per episode</w:t>
      </w:r>
    </w:p>
    <w:p>
      <w:pPr>
        <w:pStyle w:val="ListParagraph"/>
        <w:numPr>
          <w:ilvl w:val="0"/>
          <w:numId w:val="2"/>
        </w:numPr>
        <w:spacing w:before="40" w:after="40"/>
      </w:pPr>
      <w:r>
        <w:rPr>
          <w:rFonts w:ascii="Arial" w:cs="Arial" w:eastAsia="Arial" w:hAnsi="Arial"/>
          <w:b w:val="false"/>
          <w:bCs w:val="false"/>
          <w:i w:val="false"/>
          <w:iCs w:val="false"/>
          <w:color w:val="111827"/>
          <w:sz w:val="21"/>
          <w:szCs w:val="21"/>
        </w:rPr>
        <w:t xml:space="preserve">Critical illness treatment (cancer, heart) costs ₹5L–₹25L+</w:t>
      </w:r>
    </w:p>
    <w:p>
      <w:pPr>
        <w:pStyle w:val="ListParagraph"/>
        <w:numPr>
          <w:ilvl w:val="0"/>
          <w:numId w:val="2"/>
        </w:numPr>
        <w:spacing w:before="40" w:after="40"/>
      </w:pPr>
      <w:r>
        <w:rPr>
          <w:rFonts w:ascii="Arial" w:cs="Arial" w:eastAsia="Arial" w:hAnsi="Arial"/>
          <w:b w:val="false"/>
          <w:bCs w:val="false"/>
          <w:i w:val="false"/>
          <w:iCs w:val="false"/>
          <w:color w:val="111827"/>
          <w:sz w:val="21"/>
          <w:szCs w:val="21"/>
        </w:rPr>
        <w:t xml:space="preserve">Cashless treatment at 6,000+ network hospitals across India</w:t>
      </w:r>
    </w:p>
    <w:p>
      <w:pPr>
        <w:pStyle w:val="ListParagraph"/>
        <w:numPr>
          <w:ilvl w:val="0"/>
          <w:numId w:val="2"/>
        </w:numPr>
        <w:spacing w:before="40" w:after="40"/>
      </w:pPr>
      <w:r>
        <w:rPr>
          <w:rFonts w:ascii="Arial" w:cs="Arial" w:eastAsia="Arial" w:hAnsi="Arial"/>
          <w:b w:val="false"/>
          <w:bCs w:val="false"/>
          <w:i w:val="false"/>
          <w:iCs w:val="false"/>
          <w:color w:val="111827"/>
          <w:sz w:val="21"/>
          <w:szCs w:val="21"/>
        </w:rPr>
        <w:t xml:space="preserve">Tax benefit: Premium deductible under Section 80D of Income Tax Act</w:t>
      </w:r>
    </w:p>
    <w:p>
      <w:pPr>
        <w:spacing w:before="0" w:after="0"/>
      </w:pPr>
      <w:r>
        <w:rPr>
          <w:rFonts w:ascii="Arial" w:cs="Arial" w:eastAsia="Arial" w:hAnsi="Arial"/>
          <w:b w:val="false"/>
          <w:bCs w:val="false"/>
          <w:i w:val="false"/>
          <w:iCs w:val="false"/>
          <w:color w:val="111827"/>
          <w:sz w:val="22"/>
          <w:szCs w:val="22"/>
        </w:rPr>
        <w:t xml:space="preserve"/>
      </w:r>
    </w:p>
    <w:p>
      <w:pPr>
        <w:pStyle w:val="Heading2"/>
        <w:spacing w:before="240" w:after="120"/>
      </w:pPr>
      <w:r>
        <w:rPr>
          <w:rFonts w:ascii="Arial" w:cs="Arial" w:eastAsia="Arial" w:hAnsi="Arial"/>
          <w:b/>
          <w:bCs/>
          <w:color w:val="2563EB"/>
          <w:sz w:val="28"/>
          <w:szCs w:val="28"/>
        </w:rPr>
        <w:t xml:space="preserve">1.2  Types of Health Insurance Plans</w:t>
      </w:r>
    </w:p>
    <w:p>
      <w:pPr>
        <w:pStyle w:val="ListParagraph"/>
        <w:numPr>
          <w:ilvl w:val="0"/>
          <w:numId w:val="2"/>
        </w:numPr>
        <w:spacing w:before="40" w:after="40"/>
      </w:pPr>
      <w:r>
        <w:rPr>
          <w:rFonts w:ascii="Arial" w:cs="Arial" w:eastAsia="Arial" w:hAnsi="Arial"/>
          <w:b/>
          <w:bCs/>
          <w:i w:val="false"/>
          <w:iCs w:val="false"/>
          <w:color w:val="111827"/>
          <w:sz w:val="21"/>
          <w:szCs w:val="21"/>
        </w:rPr>
        <w:t xml:space="preserve">Individual Health Plan — covers single person</w:t>
      </w:r>
    </w:p>
    <w:p>
      <w:pPr>
        <w:pStyle w:val="ListParagraph"/>
        <w:numPr>
          <w:ilvl w:val="0"/>
          <w:numId w:val="3"/>
        </w:numPr>
        <w:spacing w:before="30" w:after="30"/>
      </w:pPr>
      <w:r>
        <w:rPr>
          <w:rFonts w:ascii="Arial" w:cs="Arial" w:eastAsia="Arial" w:hAnsi="Arial"/>
          <w:b w:val="false"/>
          <w:bCs w:val="false"/>
          <w:i w:val="false"/>
          <w:iCs w:val="false"/>
          <w:color w:val="6B7280"/>
          <w:sz w:val="20"/>
          <w:szCs w:val="20"/>
        </w:rPr>
        <w:t xml:space="preserve">Suitable for young singles, working professionals</w:t>
      </w:r>
    </w:p>
    <w:p>
      <w:pPr>
        <w:pStyle w:val="ListParagraph"/>
        <w:numPr>
          <w:ilvl w:val="0"/>
          <w:numId w:val="3"/>
        </w:numPr>
        <w:spacing w:before="30" w:after="30"/>
      </w:pPr>
      <w:r>
        <w:rPr>
          <w:rFonts w:ascii="Arial" w:cs="Arial" w:eastAsia="Arial" w:hAnsi="Arial"/>
          <w:b w:val="false"/>
          <w:bCs w:val="false"/>
          <w:i w:val="false"/>
          <w:iCs w:val="false"/>
          <w:color w:val="6B7280"/>
          <w:sz w:val="20"/>
          <w:szCs w:val="20"/>
        </w:rPr>
        <w:t xml:space="preserve">Premium based on individual age and health history</w:t>
      </w:r>
    </w:p>
    <w:p>
      <w:pPr>
        <w:pStyle w:val="ListParagraph"/>
        <w:numPr>
          <w:ilvl w:val="0"/>
          <w:numId w:val="2"/>
        </w:numPr>
        <w:spacing w:before="40" w:after="40"/>
      </w:pPr>
      <w:r>
        <w:rPr>
          <w:rFonts w:ascii="Arial" w:cs="Arial" w:eastAsia="Arial" w:hAnsi="Arial"/>
          <w:b/>
          <w:bCs/>
          <w:i w:val="false"/>
          <w:iCs w:val="false"/>
          <w:color w:val="111827"/>
          <w:sz w:val="21"/>
          <w:szCs w:val="21"/>
        </w:rPr>
        <w:t xml:space="preserve">Family Floater Plan — covers entire family under single sum insured</w:t>
      </w:r>
    </w:p>
    <w:p>
      <w:pPr>
        <w:pStyle w:val="ListParagraph"/>
        <w:numPr>
          <w:ilvl w:val="0"/>
          <w:numId w:val="3"/>
        </w:numPr>
        <w:spacing w:before="30" w:after="30"/>
      </w:pPr>
      <w:r>
        <w:rPr>
          <w:rFonts w:ascii="Arial" w:cs="Arial" w:eastAsia="Arial" w:hAnsi="Arial"/>
          <w:b w:val="false"/>
          <w:bCs w:val="false"/>
          <w:i w:val="false"/>
          <w:iCs w:val="false"/>
          <w:color w:val="6B7280"/>
          <w:sz w:val="20"/>
          <w:szCs w:val="20"/>
        </w:rPr>
        <w:t xml:space="preserve">One sum insured shared among all members</w:t>
      </w:r>
    </w:p>
    <w:p>
      <w:pPr>
        <w:pStyle w:val="ListParagraph"/>
        <w:numPr>
          <w:ilvl w:val="0"/>
          <w:numId w:val="3"/>
        </w:numPr>
        <w:spacing w:before="30" w:after="30"/>
      </w:pPr>
      <w:r>
        <w:rPr>
          <w:rFonts w:ascii="Arial" w:cs="Arial" w:eastAsia="Arial" w:hAnsi="Arial"/>
          <w:b w:val="false"/>
          <w:bCs w:val="false"/>
          <w:i w:val="false"/>
          <w:iCs w:val="false"/>
          <w:color w:val="6B7280"/>
          <w:sz w:val="20"/>
          <w:szCs w:val="20"/>
        </w:rPr>
        <w:t xml:space="preserve">Cost-effective vs buying individual plans for each member</w:t>
      </w:r>
    </w:p>
    <w:p>
      <w:pPr>
        <w:pStyle w:val="ListParagraph"/>
        <w:numPr>
          <w:ilvl w:val="0"/>
          <w:numId w:val="3"/>
        </w:numPr>
        <w:spacing w:before="30" w:after="30"/>
      </w:pPr>
      <w:r>
        <w:rPr>
          <w:rFonts w:ascii="Arial" w:cs="Arial" w:eastAsia="Arial" w:hAnsi="Arial"/>
          <w:b w:val="false"/>
          <w:bCs w:val="false"/>
          <w:i w:val="false"/>
          <w:iCs w:val="false"/>
          <w:color w:val="6B7280"/>
          <w:sz w:val="20"/>
          <w:szCs w:val="20"/>
        </w:rPr>
        <w:t xml:space="preserve">Best when members are young and healthy</w:t>
      </w:r>
    </w:p>
    <w:p>
      <w:pPr>
        <w:pStyle w:val="ListParagraph"/>
        <w:numPr>
          <w:ilvl w:val="0"/>
          <w:numId w:val="2"/>
        </w:numPr>
        <w:spacing w:before="40" w:after="40"/>
      </w:pPr>
      <w:r>
        <w:rPr>
          <w:rFonts w:ascii="Arial" w:cs="Arial" w:eastAsia="Arial" w:hAnsi="Arial"/>
          <w:b/>
          <w:bCs/>
          <w:i w:val="false"/>
          <w:iCs w:val="false"/>
          <w:color w:val="111827"/>
          <w:sz w:val="21"/>
          <w:szCs w:val="21"/>
        </w:rPr>
        <w:t xml:space="preserve">Critical Illness Plan — lump sum on diagnosis of serious illness</w:t>
      </w:r>
    </w:p>
    <w:p>
      <w:pPr>
        <w:pStyle w:val="ListParagraph"/>
        <w:numPr>
          <w:ilvl w:val="0"/>
          <w:numId w:val="3"/>
        </w:numPr>
        <w:spacing w:before="30" w:after="30"/>
      </w:pPr>
      <w:r>
        <w:rPr>
          <w:rFonts w:ascii="Arial" w:cs="Arial" w:eastAsia="Arial" w:hAnsi="Arial"/>
          <w:b w:val="false"/>
          <w:bCs w:val="false"/>
          <w:i w:val="false"/>
          <w:iCs w:val="false"/>
          <w:color w:val="6B7280"/>
          <w:sz w:val="20"/>
          <w:szCs w:val="20"/>
        </w:rPr>
        <w:t xml:space="preserve">Covers 15–37 critical illnesses including cancer, heart attack, stroke</w:t>
      </w:r>
    </w:p>
    <w:p>
      <w:pPr>
        <w:pStyle w:val="ListParagraph"/>
        <w:numPr>
          <w:ilvl w:val="0"/>
          <w:numId w:val="3"/>
        </w:numPr>
        <w:spacing w:before="30" w:after="30"/>
      </w:pPr>
      <w:r>
        <w:rPr>
          <w:rFonts w:ascii="Arial" w:cs="Arial" w:eastAsia="Arial" w:hAnsi="Arial"/>
          <w:b w:val="false"/>
          <w:bCs w:val="false"/>
          <w:i w:val="false"/>
          <w:iCs w:val="false"/>
          <w:color w:val="6B7280"/>
          <w:sz w:val="20"/>
          <w:szCs w:val="20"/>
        </w:rPr>
        <w:t xml:space="preserve">Payout regardless of actual treatment cost</w:t>
      </w:r>
    </w:p>
    <w:p>
      <w:pPr>
        <w:pStyle w:val="ListParagraph"/>
        <w:numPr>
          <w:ilvl w:val="0"/>
          <w:numId w:val="3"/>
        </w:numPr>
        <w:spacing w:before="30" w:after="30"/>
      </w:pPr>
      <w:r>
        <w:rPr>
          <w:rFonts w:ascii="Arial" w:cs="Arial" w:eastAsia="Arial" w:hAnsi="Arial"/>
          <w:b w:val="false"/>
          <w:bCs w:val="false"/>
          <w:i w:val="false"/>
          <w:iCs w:val="false"/>
          <w:color w:val="6B7280"/>
          <w:sz w:val="20"/>
          <w:szCs w:val="20"/>
        </w:rPr>
        <w:t xml:space="preserve">Supplements regular mediclaim for high-cost illnesses</w:t>
      </w:r>
    </w:p>
    <w:p>
      <w:pPr>
        <w:pStyle w:val="ListParagraph"/>
        <w:numPr>
          <w:ilvl w:val="0"/>
          <w:numId w:val="2"/>
        </w:numPr>
        <w:spacing w:before="40" w:after="40"/>
      </w:pPr>
      <w:r>
        <w:rPr>
          <w:rFonts w:ascii="Arial" w:cs="Arial" w:eastAsia="Arial" w:hAnsi="Arial"/>
          <w:b/>
          <w:bCs/>
          <w:i w:val="false"/>
          <w:iCs w:val="false"/>
          <w:color w:val="111827"/>
          <w:sz w:val="21"/>
          <w:szCs w:val="21"/>
        </w:rPr>
        <w:t xml:space="preserve">Senior Citizen Health Plan — for age 60 and above</w:t>
      </w:r>
    </w:p>
    <w:p>
      <w:pPr>
        <w:pStyle w:val="ListParagraph"/>
        <w:numPr>
          <w:ilvl w:val="0"/>
          <w:numId w:val="3"/>
        </w:numPr>
        <w:spacing w:before="30" w:after="30"/>
      </w:pPr>
      <w:r>
        <w:rPr>
          <w:rFonts w:ascii="Arial" w:cs="Arial" w:eastAsia="Arial" w:hAnsi="Arial"/>
          <w:b w:val="false"/>
          <w:bCs w:val="false"/>
          <w:i w:val="false"/>
          <w:iCs w:val="false"/>
          <w:color w:val="6B7280"/>
          <w:sz w:val="20"/>
          <w:szCs w:val="20"/>
        </w:rPr>
        <w:t xml:space="preserve">Higher premiums due to age-related risks</w:t>
      </w:r>
    </w:p>
    <w:p>
      <w:pPr>
        <w:pStyle w:val="ListParagraph"/>
        <w:numPr>
          <w:ilvl w:val="0"/>
          <w:numId w:val="3"/>
        </w:numPr>
        <w:spacing w:before="30" w:after="30"/>
      </w:pPr>
      <w:r>
        <w:rPr>
          <w:rFonts w:ascii="Arial" w:cs="Arial" w:eastAsia="Arial" w:hAnsi="Arial"/>
          <w:b w:val="false"/>
          <w:bCs w:val="false"/>
          <w:i w:val="false"/>
          <w:iCs w:val="false"/>
          <w:color w:val="6B7280"/>
          <w:sz w:val="20"/>
          <w:szCs w:val="20"/>
        </w:rPr>
        <w:t xml:space="preserve">May have co-payment clause of 10–30%</w:t>
      </w:r>
    </w:p>
    <w:p>
      <w:pPr>
        <w:pStyle w:val="ListParagraph"/>
        <w:numPr>
          <w:ilvl w:val="0"/>
          <w:numId w:val="3"/>
        </w:numPr>
        <w:spacing w:before="30" w:after="30"/>
      </w:pPr>
      <w:r>
        <w:rPr>
          <w:rFonts w:ascii="Arial" w:cs="Arial" w:eastAsia="Arial" w:hAnsi="Arial"/>
          <w:b w:val="false"/>
          <w:bCs w:val="false"/>
          <w:i w:val="false"/>
          <w:iCs w:val="false"/>
          <w:color w:val="6B7280"/>
          <w:sz w:val="20"/>
          <w:szCs w:val="20"/>
        </w:rPr>
        <w:t xml:space="preserve">Pre-existing diseases covered after 1–2 year waiting period</w:t>
      </w:r>
    </w:p>
    <w:p>
      <w:pPr>
        <w:pStyle w:val="ListParagraph"/>
        <w:numPr>
          <w:ilvl w:val="0"/>
          <w:numId w:val="2"/>
        </w:numPr>
        <w:spacing w:before="40" w:after="40"/>
      </w:pPr>
      <w:r>
        <w:rPr>
          <w:rFonts w:ascii="Arial" w:cs="Arial" w:eastAsia="Arial" w:hAnsi="Arial"/>
          <w:b/>
          <w:bCs/>
          <w:i w:val="false"/>
          <w:iCs w:val="false"/>
          <w:color w:val="111827"/>
          <w:sz w:val="21"/>
          <w:szCs w:val="21"/>
        </w:rPr>
        <w:t xml:space="preserve">Group Health Insurance — employer-provided coverage</w:t>
      </w:r>
    </w:p>
    <w:p>
      <w:pPr>
        <w:pStyle w:val="ListParagraph"/>
        <w:numPr>
          <w:ilvl w:val="0"/>
          <w:numId w:val="3"/>
        </w:numPr>
        <w:spacing w:before="30" w:after="30"/>
      </w:pPr>
      <w:r>
        <w:rPr>
          <w:rFonts w:ascii="Arial" w:cs="Arial" w:eastAsia="Arial" w:hAnsi="Arial"/>
          <w:b w:val="false"/>
          <w:bCs w:val="false"/>
          <w:i w:val="false"/>
          <w:iCs w:val="false"/>
          <w:color w:val="6B7280"/>
          <w:sz w:val="20"/>
          <w:szCs w:val="20"/>
        </w:rPr>
        <w:t xml:space="preserve">Covers employees and often their dependents</w:t>
      </w:r>
    </w:p>
    <w:p>
      <w:pPr>
        <w:pStyle w:val="ListParagraph"/>
        <w:numPr>
          <w:ilvl w:val="0"/>
          <w:numId w:val="3"/>
        </w:numPr>
        <w:spacing w:before="30" w:after="30"/>
      </w:pPr>
      <w:r>
        <w:rPr>
          <w:rFonts w:ascii="Arial" w:cs="Arial" w:eastAsia="Arial" w:hAnsi="Arial"/>
          <w:b w:val="false"/>
          <w:bCs w:val="false"/>
          <w:i w:val="false"/>
          <w:iCs w:val="false"/>
          <w:color w:val="6B7280"/>
          <w:sz w:val="20"/>
          <w:szCs w:val="20"/>
        </w:rPr>
        <w:t xml:space="preserve">No pre-existing disease exclusion typically</w:t>
      </w:r>
    </w:p>
    <w:p>
      <w:pPr>
        <w:pStyle w:val="ListParagraph"/>
        <w:numPr>
          <w:ilvl w:val="0"/>
          <w:numId w:val="3"/>
        </w:numPr>
        <w:spacing w:before="30" w:after="30"/>
      </w:pPr>
      <w:r>
        <w:rPr>
          <w:rFonts w:ascii="Arial" w:cs="Arial" w:eastAsia="Arial" w:hAnsi="Arial"/>
          <w:b w:val="false"/>
          <w:bCs w:val="false"/>
          <w:i w:val="false"/>
          <w:iCs w:val="false"/>
          <w:color w:val="6B7280"/>
          <w:sz w:val="20"/>
          <w:szCs w:val="20"/>
        </w:rPr>
        <w:t xml:space="preserve">Terminates when employment ends</w:t>
      </w:r>
    </w:p>
    <w:p>
      <w:pPr>
        <w:spacing w:before="0" w:after="0"/>
      </w:pPr>
      <w:r>
        <w:rPr>
          <w:rFonts w:ascii="Arial" w:cs="Arial" w:eastAsia="Arial" w:hAnsi="Arial"/>
          <w:b w:val="false"/>
          <w:bCs w:val="false"/>
          <w:i w:val="false"/>
          <w:iCs w:val="false"/>
          <w:color w:val="111827"/>
          <w:sz w:val="22"/>
          <w:szCs w:val="22"/>
        </w:rPr>
        <w:t xml:space="preserve"/>
      </w:r>
    </w:p>
    <w:p>
      <w:pPr>
        <w:pStyle w:val="Heading2"/>
        <w:spacing w:before="240" w:after="120"/>
      </w:pPr>
      <w:r>
        <w:rPr>
          <w:rFonts w:ascii="Arial" w:cs="Arial" w:eastAsia="Arial" w:hAnsi="Arial"/>
          <w:b/>
          <w:bCs/>
          <w:color w:val="2563EB"/>
          <w:sz w:val="28"/>
          <w:szCs w:val="28"/>
        </w:rPr>
        <w:t xml:space="preserve">1.3  Top Health Insurance Plans — Detailed Comparison</w:t>
      </w:r>
    </w:p>
    <w:p>
      <w:pPr>
        <w:spacing w:before="0" w:after="0"/>
      </w:pPr>
      <w:r>
        <w:rPr>
          <w:rFonts w:ascii="Arial" w:cs="Arial" w:eastAsia="Arial" w:hAnsi="Arial"/>
          <w:b w:val="false"/>
          <w:bCs w:val="false"/>
          <w:i w:val="false"/>
          <w:iCs w:val="false"/>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spacing w:before="60" w:after="60"/>
              <w:jc w:val="center"/>
            </w:pPr>
            <w:r>
              <w:rPr>
                <w:rFonts w:ascii="Arial" w:cs="Arial" w:eastAsia="Arial" w:hAnsi="Arial"/>
                <w:b/>
                <w:bCs/>
                <w:i w:val="false"/>
                <w:iCs w:val="false"/>
                <w:color w:val="FFFFFF"/>
                <w:sz w:val="20"/>
                <w:szCs w:val="20"/>
              </w:rPr>
              <w:t xml:space="preserve">Star Health
Comprehensive</w:t>
            </w:r>
          </w:p>
        </w:tc>
        <w:tc>
          <w:tcPr>
            <w:tcW w:type="dxa" w:w="234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spacing w:before="60" w:after="60"/>
              <w:jc w:val="center"/>
            </w:pPr>
            <w:r>
              <w:rPr>
                <w:rFonts w:ascii="Arial" w:cs="Arial" w:eastAsia="Arial" w:hAnsi="Arial"/>
                <w:b/>
                <w:bCs/>
                <w:i w:val="false"/>
                <w:iCs w:val="false"/>
                <w:color w:val="FFFFFF"/>
                <w:sz w:val="20"/>
                <w:szCs w:val="20"/>
              </w:rPr>
              <w:t xml:space="preserve">HDFC ERGO
Optima Secure</w:t>
            </w:r>
          </w:p>
        </w:tc>
        <w:tc>
          <w:tcPr>
            <w:tcW w:type="dxa" w:w="234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spacing w:before="60" w:after="60"/>
              <w:jc w:val="center"/>
            </w:pPr>
            <w:r>
              <w:rPr>
                <w:rFonts w:ascii="Arial" w:cs="Arial" w:eastAsia="Arial" w:hAnsi="Arial"/>
                <w:b/>
                <w:bCs/>
                <w:i w:val="false"/>
                <w:iCs w:val="false"/>
                <w:color w:val="FFFFFF"/>
                <w:sz w:val="20"/>
                <w:szCs w:val="20"/>
              </w:rPr>
              <w:t xml:space="preserve">Niva Bupa
Reassure 2.0</w:t>
            </w:r>
          </w:p>
        </w:tc>
        <w:tc>
          <w:tcPr>
            <w:tcW w:type="dxa" w:w="234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spacing w:before="60" w:after="60"/>
              <w:jc w:val="center"/>
            </w:pPr>
            <w:r>
              <w:rPr>
                <w:rFonts w:ascii="Arial" w:cs="Arial" w:eastAsia="Arial" w:hAnsi="Arial"/>
                <w:b/>
                <w:bCs/>
                <w:i w:val="false"/>
                <w:iCs w:val="false"/>
                <w:color w:val="FFFFFF"/>
                <w:sz w:val="20"/>
                <w:szCs w:val="20"/>
              </w:rPr>
              <w:t xml:space="preserve">Care Health
Supreme</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60" w:after="30"/>
              <w:jc w:val="left"/>
            </w:pPr>
            <w:r>
              <w:rPr>
                <w:rFonts w:ascii="Arial" w:cs="Arial" w:eastAsia="Arial" w:hAnsi="Arial"/>
                <w:b/>
                <w:bCs/>
                <w:i w:val="false"/>
                <w:iCs w:val="false"/>
                <w:color w:val="1B3A6B"/>
                <w:sz w:val="18"/>
                <w:szCs w:val="18"/>
              </w:rPr>
              <w:t xml:space="preserve">Monthly Premium</w:t>
            </w:r>
          </w:p>
          <w:p>
            <w:pPr>
              <w:spacing w:before="60" w:after="60"/>
              <w:jc w:val="left"/>
            </w:pPr>
            <w:r>
              <w:rPr>
                <w:rFonts w:ascii="Arial" w:cs="Arial" w:eastAsia="Arial" w:hAnsi="Arial"/>
                <w:b w:val="false"/>
                <w:bCs w:val="false"/>
                <w:i w:val="false"/>
                <w:iCs w:val="false"/>
                <w:color w:val="111827"/>
                <w:sz w:val="20"/>
                <w:szCs w:val="20"/>
              </w:rPr>
              <w:t xml:space="preserve">₹650–₹1,800/month</w:t>
            </w:r>
          </w:p>
        </w:tc>
        <w:tc>
          <w:tcPr>
            <w:tcW w:type="dxa" w:w="2340"/>
            <w:tcBorders>
              <w:top w:val="single" w:color="DDDDDD" w:sz="1"/>
              <w:left w:val="single" w:color="DDDDDD" w:sz="1"/>
              <w:bottom w:val="single" w:color="DDDDDD" w:sz="1"/>
              <w:right w:val="single" w:color="DDDDDD" w:sz="1"/>
            </w:tcBorders>
            <w:shd w:fill="F3F4F6" w:val="clear"/>
            <w:tcMar>
              <w:top w:type="dxa" w:w="100"/>
              <w:left w:type="dxa" w:w="140"/>
              <w:bottom w:type="dxa" w:w="100"/>
              <w:right w:type="dxa" w:w="140"/>
            </w:tcMar>
            <w:vAlign w:val="center"/>
          </w:tcPr>
          <w:p>
            <w:pPr>
              <w:spacing w:before="60" w:after="30"/>
              <w:jc w:val="left"/>
            </w:pPr>
            <w:r>
              <w:rPr>
                <w:rFonts w:ascii="Arial" w:cs="Arial" w:eastAsia="Arial" w:hAnsi="Arial"/>
                <w:b/>
                <w:bCs/>
                <w:i w:val="false"/>
                <w:iCs w:val="false"/>
                <w:color w:val="1B3A6B"/>
                <w:sz w:val="18"/>
                <w:szCs w:val="18"/>
              </w:rPr>
              <w:t xml:space="preserve">Monthly Premium</w:t>
            </w:r>
          </w:p>
          <w:p>
            <w:pPr>
              <w:spacing w:before="60" w:after="60"/>
              <w:jc w:val="left"/>
            </w:pPr>
            <w:r>
              <w:rPr>
                <w:rFonts w:ascii="Arial" w:cs="Arial" w:eastAsia="Arial" w:hAnsi="Arial"/>
                <w:b w:val="false"/>
                <w:bCs w:val="false"/>
                <w:i w:val="false"/>
                <w:iCs w:val="false"/>
                <w:color w:val="111827"/>
                <w:sz w:val="20"/>
                <w:szCs w:val="20"/>
              </w:rPr>
              <w:t xml:space="preserve">₹800–₹2,200/month</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60" w:after="30"/>
              <w:jc w:val="left"/>
            </w:pPr>
            <w:r>
              <w:rPr>
                <w:rFonts w:ascii="Arial" w:cs="Arial" w:eastAsia="Arial" w:hAnsi="Arial"/>
                <w:b/>
                <w:bCs/>
                <w:i w:val="false"/>
                <w:iCs w:val="false"/>
                <w:color w:val="1B3A6B"/>
                <w:sz w:val="18"/>
                <w:szCs w:val="18"/>
              </w:rPr>
              <w:t xml:space="preserve">Monthly Premium</w:t>
            </w:r>
          </w:p>
          <w:p>
            <w:pPr>
              <w:spacing w:before="60" w:after="60"/>
              <w:jc w:val="left"/>
            </w:pPr>
            <w:r>
              <w:rPr>
                <w:rFonts w:ascii="Arial" w:cs="Arial" w:eastAsia="Arial" w:hAnsi="Arial"/>
                <w:b w:val="false"/>
                <w:bCs w:val="false"/>
                <w:i w:val="false"/>
                <w:iCs w:val="false"/>
                <w:color w:val="111827"/>
                <w:sz w:val="20"/>
                <w:szCs w:val="20"/>
              </w:rPr>
              <w:t xml:space="preserve">₹700–₹2,000/month</w:t>
            </w:r>
          </w:p>
        </w:tc>
        <w:tc>
          <w:tcPr>
            <w:tcW w:type="dxa" w:w="2340"/>
            <w:tcBorders>
              <w:top w:val="single" w:color="DDDDDD" w:sz="1"/>
              <w:left w:val="single" w:color="DDDDDD" w:sz="1"/>
              <w:bottom w:val="single" w:color="DDDDDD" w:sz="1"/>
              <w:right w:val="single" w:color="DDDDDD" w:sz="1"/>
            </w:tcBorders>
            <w:shd w:fill="F3F4F6" w:val="clear"/>
            <w:tcMar>
              <w:top w:type="dxa" w:w="100"/>
              <w:left w:type="dxa" w:w="140"/>
              <w:bottom w:type="dxa" w:w="100"/>
              <w:right w:type="dxa" w:w="140"/>
            </w:tcMar>
            <w:vAlign w:val="center"/>
          </w:tcPr>
          <w:p>
            <w:pPr>
              <w:spacing w:before="60" w:after="30"/>
              <w:jc w:val="left"/>
            </w:pPr>
            <w:r>
              <w:rPr>
                <w:rFonts w:ascii="Arial" w:cs="Arial" w:eastAsia="Arial" w:hAnsi="Arial"/>
                <w:b/>
                <w:bCs/>
                <w:i w:val="false"/>
                <w:iCs w:val="false"/>
                <w:color w:val="1B3A6B"/>
                <w:sz w:val="18"/>
                <w:szCs w:val="18"/>
              </w:rPr>
              <w:t xml:space="preserve">Monthly Premium</w:t>
            </w:r>
          </w:p>
          <w:p>
            <w:pPr>
              <w:spacing w:before="60" w:after="60"/>
              <w:jc w:val="left"/>
            </w:pPr>
            <w:r>
              <w:rPr>
                <w:rFonts w:ascii="Arial" w:cs="Arial" w:eastAsia="Arial" w:hAnsi="Arial"/>
                <w:b w:val="false"/>
                <w:bCs w:val="false"/>
                <w:i w:val="false"/>
                <w:iCs w:val="false"/>
                <w:color w:val="111827"/>
                <w:sz w:val="20"/>
                <w:szCs w:val="20"/>
              </w:rPr>
              <w:t xml:space="preserve">₹750–₹2,400/month</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60" w:after="30"/>
              <w:jc w:val="left"/>
            </w:pPr>
            <w:r>
              <w:rPr>
                <w:rFonts w:ascii="Arial" w:cs="Arial" w:eastAsia="Arial" w:hAnsi="Arial"/>
                <w:b/>
                <w:bCs/>
                <w:i w:val="false"/>
                <w:iCs w:val="false"/>
                <w:color w:val="1B3A6B"/>
                <w:sz w:val="18"/>
                <w:szCs w:val="18"/>
              </w:rPr>
              <w:t xml:space="preserve">Sum Insured</w:t>
            </w:r>
          </w:p>
          <w:p>
            <w:pPr>
              <w:spacing w:before="60" w:after="60"/>
              <w:jc w:val="left"/>
            </w:pPr>
            <w:r>
              <w:rPr>
                <w:rFonts w:ascii="Arial" w:cs="Arial" w:eastAsia="Arial" w:hAnsi="Arial"/>
                <w:b w:val="false"/>
                <w:bCs w:val="false"/>
                <w:i w:val="false"/>
                <w:iCs w:val="false"/>
                <w:color w:val="111827"/>
                <w:sz w:val="20"/>
                <w:szCs w:val="20"/>
              </w:rPr>
              <w:t xml:space="preserve">₹5L to ₹1 Crore</w:t>
            </w:r>
          </w:p>
        </w:tc>
        <w:tc>
          <w:tcPr>
            <w:tcW w:type="dxa" w:w="2340"/>
            <w:tcBorders>
              <w:top w:val="single" w:color="DDDDDD" w:sz="1"/>
              <w:left w:val="single" w:color="DDDDDD" w:sz="1"/>
              <w:bottom w:val="single" w:color="DDDDDD" w:sz="1"/>
              <w:right w:val="single" w:color="DDDDDD" w:sz="1"/>
            </w:tcBorders>
            <w:shd w:fill="F3F4F6" w:val="clear"/>
            <w:tcMar>
              <w:top w:type="dxa" w:w="100"/>
              <w:left w:type="dxa" w:w="140"/>
              <w:bottom w:type="dxa" w:w="100"/>
              <w:right w:type="dxa" w:w="140"/>
            </w:tcMar>
            <w:vAlign w:val="center"/>
          </w:tcPr>
          <w:p>
            <w:pPr>
              <w:spacing w:before="60" w:after="30"/>
              <w:jc w:val="left"/>
            </w:pPr>
            <w:r>
              <w:rPr>
                <w:rFonts w:ascii="Arial" w:cs="Arial" w:eastAsia="Arial" w:hAnsi="Arial"/>
                <w:b/>
                <w:bCs/>
                <w:i w:val="false"/>
                <w:iCs w:val="false"/>
                <w:color w:val="1B3A6B"/>
                <w:sz w:val="18"/>
                <w:szCs w:val="18"/>
              </w:rPr>
              <w:t xml:space="preserve">Sum Insured</w:t>
            </w:r>
          </w:p>
          <w:p>
            <w:pPr>
              <w:spacing w:before="60" w:after="60"/>
              <w:jc w:val="left"/>
            </w:pPr>
            <w:r>
              <w:rPr>
                <w:rFonts w:ascii="Arial" w:cs="Arial" w:eastAsia="Arial" w:hAnsi="Arial"/>
                <w:b w:val="false"/>
                <w:bCs w:val="false"/>
                <w:i w:val="false"/>
                <w:iCs w:val="false"/>
                <w:color w:val="111827"/>
                <w:sz w:val="20"/>
                <w:szCs w:val="20"/>
              </w:rPr>
              <w:t xml:space="preserve">₹5L to ₹2 Crore</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60" w:after="30"/>
              <w:jc w:val="left"/>
            </w:pPr>
            <w:r>
              <w:rPr>
                <w:rFonts w:ascii="Arial" w:cs="Arial" w:eastAsia="Arial" w:hAnsi="Arial"/>
                <w:b/>
                <w:bCs/>
                <w:i w:val="false"/>
                <w:iCs w:val="false"/>
                <w:color w:val="1B3A6B"/>
                <w:sz w:val="18"/>
                <w:szCs w:val="18"/>
              </w:rPr>
              <w:t xml:space="preserve">Sum Insured</w:t>
            </w:r>
          </w:p>
          <w:p>
            <w:pPr>
              <w:spacing w:before="60" w:after="60"/>
              <w:jc w:val="left"/>
            </w:pPr>
            <w:r>
              <w:rPr>
                <w:rFonts w:ascii="Arial" w:cs="Arial" w:eastAsia="Arial" w:hAnsi="Arial"/>
                <w:b w:val="false"/>
                <w:bCs w:val="false"/>
                <w:i w:val="false"/>
                <w:iCs w:val="false"/>
                <w:color w:val="111827"/>
                <w:sz w:val="20"/>
                <w:szCs w:val="20"/>
              </w:rPr>
              <w:t xml:space="preserve">₹5L to ₹1 Crore</w:t>
            </w:r>
          </w:p>
        </w:tc>
        <w:tc>
          <w:tcPr>
            <w:tcW w:type="dxa" w:w="2340"/>
            <w:tcBorders>
              <w:top w:val="single" w:color="DDDDDD" w:sz="1"/>
              <w:left w:val="single" w:color="DDDDDD" w:sz="1"/>
              <w:bottom w:val="single" w:color="DDDDDD" w:sz="1"/>
              <w:right w:val="single" w:color="DDDDDD" w:sz="1"/>
            </w:tcBorders>
            <w:shd w:fill="F3F4F6" w:val="clear"/>
            <w:tcMar>
              <w:top w:type="dxa" w:w="100"/>
              <w:left w:type="dxa" w:w="140"/>
              <w:bottom w:type="dxa" w:w="100"/>
              <w:right w:type="dxa" w:w="140"/>
            </w:tcMar>
            <w:vAlign w:val="center"/>
          </w:tcPr>
          <w:p>
            <w:pPr>
              <w:spacing w:before="60" w:after="30"/>
              <w:jc w:val="left"/>
            </w:pPr>
            <w:r>
              <w:rPr>
                <w:rFonts w:ascii="Arial" w:cs="Arial" w:eastAsia="Arial" w:hAnsi="Arial"/>
                <w:b/>
                <w:bCs/>
                <w:i w:val="false"/>
                <w:iCs w:val="false"/>
                <w:color w:val="1B3A6B"/>
                <w:sz w:val="18"/>
                <w:szCs w:val="18"/>
              </w:rPr>
              <w:t xml:space="preserve">Sum Insured</w:t>
            </w:r>
          </w:p>
          <w:p>
            <w:pPr>
              <w:spacing w:before="60" w:after="60"/>
              <w:jc w:val="left"/>
            </w:pPr>
            <w:r>
              <w:rPr>
                <w:rFonts w:ascii="Arial" w:cs="Arial" w:eastAsia="Arial" w:hAnsi="Arial"/>
                <w:b w:val="false"/>
                <w:bCs w:val="false"/>
                <w:i w:val="false"/>
                <w:iCs w:val="false"/>
                <w:color w:val="111827"/>
                <w:sz w:val="20"/>
                <w:szCs w:val="20"/>
              </w:rPr>
              <w:t xml:space="preserve">₹7L to ₹6 Crore</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60" w:after="30"/>
              <w:jc w:val="left"/>
            </w:pPr>
            <w:r>
              <w:rPr>
                <w:rFonts w:ascii="Arial" w:cs="Arial" w:eastAsia="Arial" w:hAnsi="Arial"/>
                <w:b/>
                <w:bCs/>
                <w:i w:val="false"/>
                <w:iCs w:val="false"/>
                <w:color w:val="1B3A6B"/>
                <w:sz w:val="18"/>
                <w:szCs w:val="18"/>
              </w:rPr>
              <w:t xml:space="preserve">Waiting Period</w:t>
            </w:r>
          </w:p>
          <w:p>
            <w:pPr>
              <w:spacing w:before="60" w:after="60"/>
              <w:jc w:val="left"/>
            </w:pPr>
            <w:r>
              <w:rPr>
                <w:rFonts w:ascii="Arial" w:cs="Arial" w:eastAsia="Arial" w:hAnsi="Arial"/>
                <w:b w:val="false"/>
                <w:bCs w:val="false"/>
                <w:i w:val="false"/>
                <w:iCs w:val="false"/>
                <w:color w:val="111827"/>
                <w:sz w:val="20"/>
                <w:szCs w:val="20"/>
              </w:rPr>
              <w:t xml:space="preserve">30 days general
2 years pre-existing</w:t>
            </w:r>
          </w:p>
        </w:tc>
        <w:tc>
          <w:tcPr>
            <w:tcW w:type="dxa" w:w="2340"/>
            <w:tcBorders>
              <w:top w:val="single" w:color="DDDDDD" w:sz="1"/>
              <w:left w:val="single" w:color="DDDDDD" w:sz="1"/>
              <w:bottom w:val="single" w:color="DDDDDD" w:sz="1"/>
              <w:right w:val="single" w:color="DDDDDD" w:sz="1"/>
            </w:tcBorders>
            <w:shd w:fill="F3F4F6" w:val="clear"/>
            <w:tcMar>
              <w:top w:type="dxa" w:w="100"/>
              <w:left w:type="dxa" w:w="140"/>
              <w:bottom w:type="dxa" w:w="100"/>
              <w:right w:type="dxa" w:w="140"/>
            </w:tcMar>
            <w:vAlign w:val="center"/>
          </w:tcPr>
          <w:p>
            <w:pPr>
              <w:spacing w:before="60" w:after="30"/>
              <w:jc w:val="left"/>
            </w:pPr>
            <w:r>
              <w:rPr>
                <w:rFonts w:ascii="Arial" w:cs="Arial" w:eastAsia="Arial" w:hAnsi="Arial"/>
                <w:b/>
                <w:bCs/>
                <w:i w:val="false"/>
                <w:iCs w:val="false"/>
                <w:color w:val="1B3A6B"/>
                <w:sz w:val="18"/>
                <w:szCs w:val="18"/>
              </w:rPr>
              <w:t xml:space="preserve">Waiting Period</w:t>
            </w:r>
          </w:p>
          <w:p>
            <w:pPr>
              <w:spacing w:before="60" w:after="60"/>
              <w:jc w:val="left"/>
            </w:pPr>
            <w:r>
              <w:rPr>
                <w:rFonts w:ascii="Arial" w:cs="Arial" w:eastAsia="Arial" w:hAnsi="Arial"/>
                <w:b w:val="false"/>
                <w:bCs w:val="false"/>
                <w:i w:val="false"/>
                <w:iCs w:val="false"/>
                <w:color w:val="111827"/>
                <w:sz w:val="20"/>
                <w:szCs w:val="20"/>
              </w:rPr>
              <w:t xml:space="preserve">30 days general
4 years pre-existing</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60" w:after="30"/>
              <w:jc w:val="left"/>
            </w:pPr>
            <w:r>
              <w:rPr>
                <w:rFonts w:ascii="Arial" w:cs="Arial" w:eastAsia="Arial" w:hAnsi="Arial"/>
                <w:b/>
                <w:bCs/>
                <w:i w:val="false"/>
                <w:iCs w:val="false"/>
                <w:color w:val="1B3A6B"/>
                <w:sz w:val="18"/>
                <w:szCs w:val="18"/>
              </w:rPr>
              <w:t xml:space="preserve">Waiting Period</w:t>
            </w:r>
          </w:p>
          <w:p>
            <w:pPr>
              <w:spacing w:before="60" w:after="60"/>
              <w:jc w:val="left"/>
            </w:pPr>
            <w:r>
              <w:rPr>
                <w:rFonts w:ascii="Arial" w:cs="Arial" w:eastAsia="Arial" w:hAnsi="Arial"/>
                <w:b w:val="false"/>
                <w:bCs w:val="false"/>
                <w:i w:val="false"/>
                <w:iCs w:val="false"/>
                <w:color w:val="111827"/>
                <w:sz w:val="20"/>
                <w:szCs w:val="20"/>
              </w:rPr>
              <w:t xml:space="preserve">30 days general
2 years pre-existing</w:t>
            </w:r>
          </w:p>
        </w:tc>
        <w:tc>
          <w:tcPr>
            <w:tcW w:type="dxa" w:w="2340"/>
            <w:tcBorders>
              <w:top w:val="single" w:color="DDDDDD" w:sz="1"/>
              <w:left w:val="single" w:color="DDDDDD" w:sz="1"/>
              <w:bottom w:val="single" w:color="DDDDDD" w:sz="1"/>
              <w:right w:val="single" w:color="DDDDDD" w:sz="1"/>
            </w:tcBorders>
            <w:shd w:fill="F3F4F6" w:val="clear"/>
            <w:tcMar>
              <w:top w:type="dxa" w:w="100"/>
              <w:left w:type="dxa" w:w="140"/>
              <w:bottom w:type="dxa" w:w="100"/>
              <w:right w:type="dxa" w:w="140"/>
            </w:tcMar>
            <w:vAlign w:val="center"/>
          </w:tcPr>
          <w:p>
            <w:pPr>
              <w:spacing w:before="60" w:after="30"/>
              <w:jc w:val="left"/>
            </w:pPr>
            <w:r>
              <w:rPr>
                <w:rFonts w:ascii="Arial" w:cs="Arial" w:eastAsia="Arial" w:hAnsi="Arial"/>
                <w:b/>
                <w:bCs/>
                <w:i w:val="false"/>
                <w:iCs w:val="false"/>
                <w:color w:val="1B3A6B"/>
                <w:sz w:val="18"/>
                <w:szCs w:val="18"/>
              </w:rPr>
              <w:t xml:space="preserve">Waiting Period</w:t>
            </w:r>
          </w:p>
          <w:p>
            <w:pPr>
              <w:spacing w:before="60" w:after="60"/>
              <w:jc w:val="left"/>
            </w:pPr>
            <w:r>
              <w:rPr>
                <w:rFonts w:ascii="Arial" w:cs="Arial" w:eastAsia="Arial" w:hAnsi="Arial"/>
                <w:b w:val="false"/>
                <w:bCs w:val="false"/>
                <w:i w:val="false"/>
                <w:iCs w:val="false"/>
                <w:color w:val="111827"/>
                <w:sz w:val="20"/>
                <w:szCs w:val="20"/>
              </w:rPr>
              <w:t xml:space="preserve">30 days general
4 years pre-existing</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60" w:after="30"/>
              <w:jc w:val="left"/>
            </w:pPr>
            <w:r>
              <w:rPr>
                <w:rFonts w:ascii="Arial" w:cs="Arial" w:eastAsia="Arial" w:hAnsi="Arial"/>
                <w:b/>
                <w:bCs/>
                <w:i w:val="false"/>
                <w:iCs w:val="false"/>
                <w:color w:val="1B3A6B"/>
                <w:sz w:val="18"/>
                <w:szCs w:val="18"/>
              </w:rPr>
              <w:t xml:space="preserve">Network Hospitals</w:t>
            </w:r>
          </w:p>
          <w:p>
            <w:pPr>
              <w:spacing w:before="60" w:after="60"/>
              <w:jc w:val="left"/>
            </w:pPr>
            <w:r>
              <w:rPr>
                <w:rFonts w:ascii="Arial" w:cs="Arial" w:eastAsia="Arial" w:hAnsi="Arial"/>
                <w:b w:val="false"/>
                <w:bCs w:val="false"/>
                <w:i w:val="false"/>
                <w:iCs w:val="false"/>
                <w:color w:val="111827"/>
                <w:sz w:val="20"/>
                <w:szCs w:val="20"/>
              </w:rPr>
              <w:t xml:space="preserve">14,000+ hospitals</w:t>
            </w:r>
          </w:p>
        </w:tc>
        <w:tc>
          <w:tcPr>
            <w:tcW w:type="dxa" w:w="2340"/>
            <w:tcBorders>
              <w:top w:val="single" w:color="DDDDDD" w:sz="1"/>
              <w:left w:val="single" w:color="DDDDDD" w:sz="1"/>
              <w:bottom w:val="single" w:color="DDDDDD" w:sz="1"/>
              <w:right w:val="single" w:color="DDDDDD" w:sz="1"/>
            </w:tcBorders>
            <w:shd w:fill="F3F4F6" w:val="clear"/>
            <w:tcMar>
              <w:top w:type="dxa" w:w="100"/>
              <w:left w:type="dxa" w:w="140"/>
              <w:bottom w:type="dxa" w:w="100"/>
              <w:right w:type="dxa" w:w="140"/>
            </w:tcMar>
            <w:vAlign w:val="center"/>
          </w:tcPr>
          <w:p>
            <w:pPr>
              <w:spacing w:before="60" w:after="30"/>
              <w:jc w:val="left"/>
            </w:pPr>
            <w:r>
              <w:rPr>
                <w:rFonts w:ascii="Arial" w:cs="Arial" w:eastAsia="Arial" w:hAnsi="Arial"/>
                <w:b/>
                <w:bCs/>
                <w:i w:val="false"/>
                <w:iCs w:val="false"/>
                <w:color w:val="1B3A6B"/>
                <w:sz w:val="18"/>
                <w:szCs w:val="18"/>
              </w:rPr>
              <w:t xml:space="preserve">Network Hospitals</w:t>
            </w:r>
          </w:p>
          <w:p>
            <w:pPr>
              <w:spacing w:before="60" w:after="60"/>
              <w:jc w:val="left"/>
            </w:pPr>
            <w:r>
              <w:rPr>
                <w:rFonts w:ascii="Arial" w:cs="Arial" w:eastAsia="Arial" w:hAnsi="Arial"/>
                <w:b w:val="false"/>
                <w:bCs w:val="false"/>
                <w:i w:val="false"/>
                <w:iCs w:val="false"/>
                <w:color w:val="111827"/>
                <w:sz w:val="20"/>
                <w:szCs w:val="20"/>
              </w:rPr>
              <w:t xml:space="preserve">13,000+ hospitals</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60" w:after="30"/>
              <w:jc w:val="left"/>
            </w:pPr>
            <w:r>
              <w:rPr>
                <w:rFonts w:ascii="Arial" w:cs="Arial" w:eastAsia="Arial" w:hAnsi="Arial"/>
                <w:b/>
                <w:bCs/>
                <w:i w:val="false"/>
                <w:iCs w:val="false"/>
                <w:color w:val="1B3A6B"/>
                <w:sz w:val="18"/>
                <w:szCs w:val="18"/>
              </w:rPr>
              <w:t xml:space="preserve">Network Hospitals</w:t>
            </w:r>
          </w:p>
          <w:p>
            <w:pPr>
              <w:spacing w:before="60" w:after="60"/>
              <w:jc w:val="left"/>
            </w:pPr>
            <w:r>
              <w:rPr>
                <w:rFonts w:ascii="Arial" w:cs="Arial" w:eastAsia="Arial" w:hAnsi="Arial"/>
                <w:b w:val="false"/>
                <w:bCs w:val="false"/>
                <w:i w:val="false"/>
                <w:iCs w:val="false"/>
                <w:color w:val="111827"/>
                <w:sz w:val="20"/>
                <w:szCs w:val="20"/>
              </w:rPr>
              <w:t xml:space="preserve">10,000+ hospitals</w:t>
            </w:r>
          </w:p>
        </w:tc>
        <w:tc>
          <w:tcPr>
            <w:tcW w:type="dxa" w:w="2340"/>
            <w:tcBorders>
              <w:top w:val="single" w:color="DDDDDD" w:sz="1"/>
              <w:left w:val="single" w:color="DDDDDD" w:sz="1"/>
              <w:bottom w:val="single" w:color="DDDDDD" w:sz="1"/>
              <w:right w:val="single" w:color="DDDDDD" w:sz="1"/>
            </w:tcBorders>
            <w:shd w:fill="F3F4F6" w:val="clear"/>
            <w:tcMar>
              <w:top w:type="dxa" w:w="100"/>
              <w:left w:type="dxa" w:w="140"/>
              <w:bottom w:type="dxa" w:w="100"/>
              <w:right w:type="dxa" w:w="140"/>
            </w:tcMar>
            <w:vAlign w:val="center"/>
          </w:tcPr>
          <w:p>
            <w:pPr>
              <w:spacing w:before="60" w:after="30"/>
              <w:jc w:val="left"/>
            </w:pPr>
            <w:r>
              <w:rPr>
                <w:rFonts w:ascii="Arial" w:cs="Arial" w:eastAsia="Arial" w:hAnsi="Arial"/>
                <w:b/>
                <w:bCs/>
                <w:i w:val="false"/>
                <w:iCs w:val="false"/>
                <w:color w:val="1B3A6B"/>
                <w:sz w:val="18"/>
                <w:szCs w:val="18"/>
              </w:rPr>
              <w:t xml:space="preserve">Network Hospitals</w:t>
            </w:r>
          </w:p>
          <w:p>
            <w:pPr>
              <w:spacing w:before="60" w:after="60"/>
              <w:jc w:val="left"/>
            </w:pPr>
            <w:r>
              <w:rPr>
                <w:rFonts w:ascii="Arial" w:cs="Arial" w:eastAsia="Arial" w:hAnsi="Arial"/>
                <w:b w:val="false"/>
                <w:bCs w:val="false"/>
                <w:i w:val="false"/>
                <w:iCs w:val="false"/>
                <w:color w:val="111827"/>
                <w:sz w:val="20"/>
                <w:szCs w:val="20"/>
              </w:rPr>
              <w:t xml:space="preserve">19,000+ hospitals</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60" w:after="30"/>
              <w:jc w:val="left"/>
            </w:pPr>
            <w:r>
              <w:rPr>
                <w:rFonts w:ascii="Arial" w:cs="Arial" w:eastAsia="Arial" w:hAnsi="Arial"/>
                <w:b/>
                <w:bCs/>
                <w:i w:val="false"/>
                <w:iCs w:val="false"/>
                <w:color w:val="1B3A6B"/>
                <w:sz w:val="18"/>
                <w:szCs w:val="18"/>
              </w:rPr>
              <w:t xml:space="preserve">Age Limit</w:t>
            </w:r>
          </w:p>
          <w:p>
            <w:pPr>
              <w:spacing w:before="60" w:after="60"/>
              <w:jc w:val="left"/>
            </w:pPr>
            <w:r>
              <w:rPr>
                <w:rFonts w:ascii="Arial" w:cs="Arial" w:eastAsia="Arial" w:hAnsi="Arial"/>
                <w:b w:val="false"/>
                <w:bCs w:val="false"/>
                <w:i w:val="false"/>
                <w:iCs w:val="false"/>
                <w:color w:val="111827"/>
                <w:sz w:val="20"/>
                <w:szCs w:val="20"/>
              </w:rPr>
              <w:t xml:space="preserve">18–65 years
(renewal lifelong)</w:t>
            </w:r>
          </w:p>
        </w:tc>
        <w:tc>
          <w:tcPr>
            <w:tcW w:type="dxa" w:w="2340"/>
            <w:tcBorders>
              <w:top w:val="single" w:color="DDDDDD" w:sz="1"/>
              <w:left w:val="single" w:color="DDDDDD" w:sz="1"/>
              <w:bottom w:val="single" w:color="DDDDDD" w:sz="1"/>
              <w:right w:val="single" w:color="DDDDDD" w:sz="1"/>
            </w:tcBorders>
            <w:shd w:fill="F3F4F6" w:val="clear"/>
            <w:tcMar>
              <w:top w:type="dxa" w:w="100"/>
              <w:left w:type="dxa" w:w="140"/>
              <w:bottom w:type="dxa" w:w="100"/>
              <w:right w:type="dxa" w:w="140"/>
            </w:tcMar>
            <w:vAlign w:val="center"/>
          </w:tcPr>
          <w:p>
            <w:pPr>
              <w:spacing w:before="60" w:after="30"/>
              <w:jc w:val="left"/>
            </w:pPr>
            <w:r>
              <w:rPr>
                <w:rFonts w:ascii="Arial" w:cs="Arial" w:eastAsia="Arial" w:hAnsi="Arial"/>
                <w:b/>
                <w:bCs/>
                <w:i w:val="false"/>
                <w:iCs w:val="false"/>
                <w:color w:val="1B3A6B"/>
                <w:sz w:val="18"/>
                <w:szCs w:val="18"/>
              </w:rPr>
              <w:t xml:space="preserve">Age Limit</w:t>
            </w:r>
          </w:p>
          <w:p>
            <w:pPr>
              <w:spacing w:before="60" w:after="60"/>
              <w:jc w:val="left"/>
            </w:pPr>
            <w:r>
              <w:rPr>
                <w:rFonts w:ascii="Arial" w:cs="Arial" w:eastAsia="Arial" w:hAnsi="Arial"/>
                <w:b w:val="false"/>
                <w:bCs w:val="false"/>
                <w:i w:val="false"/>
                <w:iCs w:val="false"/>
                <w:color w:val="111827"/>
                <w:sz w:val="20"/>
                <w:szCs w:val="20"/>
              </w:rPr>
              <w:t xml:space="preserve">18–65 years</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60" w:after="30"/>
              <w:jc w:val="left"/>
            </w:pPr>
            <w:r>
              <w:rPr>
                <w:rFonts w:ascii="Arial" w:cs="Arial" w:eastAsia="Arial" w:hAnsi="Arial"/>
                <w:b/>
                <w:bCs/>
                <w:i w:val="false"/>
                <w:iCs w:val="false"/>
                <w:color w:val="1B3A6B"/>
                <w:sz w:val="18"/>
                <w:szCs w:val="18"/>
              </w:rPr>
              <w:t xml:space="preserve">Age Limit</w:t>
            </w:r>
          </w:p>
          <w:p>
            <w:pPr>
              <w:spacing w:before="60" w:after="60"/>
              <w:jc w:val="left"/>
            </w:pPr>
            <w:r>
              <w:rPr>
                <w:rFonts w:ascii="Arial" w:cs="Arial" w:eastAsia="Arial" w:hAnsi="Arial"/>
                <w:b w:val="false"/>
                <w:bCs w:val="false"/>
                <w:i w:val="false"/>
                <w:iCs w:val="false"/>
                <w:color w:val="111827"/>
                <w:sz w:val="20"/>
                <w:szCs w:val="20"/>
              </w:rPr>
              <w:t xml:space="preserve">18–65 years</w:t>
            </w:r>
          </w:p>
        </w:tc>
        <w:tc>
          <w:tcPr>
            <w:tcW w:type="dxa" w:w="2340"/>
            <w:tcBorders>
              <w:top w:val="single" w:color="DDDDDD" w:sz="1"/>
              <w:left w:val="single" w:color="DDDDDD" w:sz="1"/>
              <w:bottom w:val="single" w:color="DDDDDD" w:sz="1"/>
              <w:right w:val="single" w:color="DDDDDD" w:sz="1"/>
            </w:tcBorders>
            <w:shd w:fill="F3F4F6" w:val="clear"/>
            <w:tcMar>
              <w:top w:type="dxa" w:w="100"/>
              <w:left w:type="dxa" w:w="140"/>
              <w:bottom w:type="dxa" w:w="100"/>
              <w:right w:type="dxa" w:w="140"/>
            </w:tcMar>
            <w:vAlign w:val="center"/>
          </w:tcPr>
          <w:p>
            <w:pPr>
              <w:spacing w:before="60" w:after="30"/>
              <w:jc w:val="left"/>
            </w:pPr>
            <w:r>
              <w:rPr>
                <w:rFonts w:ascii="Arial" w:cs="Arial" w:eastAsia="Arial" w:hAnsi="Arial"/>
                <w:b/>
                <w:bCs/>
                <w:i w:val="false"/>
                <w:iCs w:val="false"/>
                <w:color w:val="1B3A6B"/>
                <w:sz w:val="18"/>
                <w:szCs w:val="18"/>
              </w:rPr>
              <w:t xml:space="preserve">Age Limit</w:t>
            </w:r>
          </w:p>
          <w:p>
            <w:pPr>
              <w:spacing w:before="60" w:after="60"/>
              <w:jc w:val="left"/>
            </w:pPr>
            <w:r>
              <w:rPr>
                <w:rFonts w:ascii="Arial" w:cs="Arial" w:eastAsia="Arial" w:hAnsi="Arial"/>
                <w:b w:val="false"/>
                <w:bCs w:val="false"/>
                <w:i w:val="false"/>
                <w:iCs w:val="false"/>
                <w:color w:val="111827"/>
                <w:sz w:val="20"/>
                <w:szCs w:val="20"/>
              </w:rPr>
              <w:t xml:space="preserve">18–65 years</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60" w:after="30"/>
              <w:jc w:val="left"/>
            </w:pPr>
            <w:r>
              <w:rPr>
                <w:rFonts w:ascii="Arial" w:cs="Arial" w:eastAsia="Arial" w:hAnsi="Arial"/>
                <w:b/>
                <w:bCs/>
                <w:i w:val="false"/>
                <w:iCs w:val="false"/>
                <w:color w:val="1B3A6B"/>
                <w:sz w:val="18"/>
                <w:szCs w:val="18"/>
              </w:rPr>
              <w:t xml:space="preserve">Key Features</w:t>
            </w:r>
          </w:p>
          <w:p>
            <w:pPr>
              <w:spacing w:before="60" w:after="60"/>
              <w:jc w:val="left"/>
            </w:pPr>
            <w:r>
              <w:rPr>
                <w:rFonts w:ascii="Arial" w:cs="Arial" w:eastAsia="Arial" w:hAnsi="Arial"/>
                <w:b w:val="false"/>
                <w:bCs w:val="false"/>
                <w:i w:val="false"/>
                <w:iCs w:val="false"/>
                <w:color w:val="111827"/>
                <w:sz w:val="20"/>
                <w:szCs w:val="20"/>
              </w:rPr>
              <w:t xml:space="preserve">No room rent limit
Free annual health check
Ayush coverage
Day care procedures</w:t>
            </w:r>
          </w:p>
        </w:tc>
        <w:tc>
          <w:tcPr>
            <w:tcW w:type="dxa" w:w="2340"/>
            <w:tcBorders>
              <w:top w:val="single" w:color="DDDDDD" w:sz="1"/>
              <w:left w:val="single" w:color="DDDDDD" w:sz="1"/>
              <w:bottom w:val="single" w:color="DDDDDD" w:sz="1"/>
              <w:right w:val="single" w:color="DDDDDD" w:sz="1"/>
            </w:tcBorders>
            <w:shd w:fill="F3F4F6" w:val="clear"/>
            <w:tcMar>
              <w:top w:type="dxa" w:w="100"/>
              <w:left w:type="dxa" w:w="140"/>
              <w:bottom w:type="dxa" w:w="100"/>
              <w:right w:type="dxa" w:w="140"/>
            </w:tcMar>
            <w:vAlign w:val="center"/>
          </w:tcPr>
          <w:p>
            <w:pPr>
              <w:spacing w:before="60" w:after="30"/>
              <w:jc w:val="left"/>
            </w:pPr>
            <w:r>
              <w:rPr>
                <w:rFonts w:ascii="Arial" w:cs="Arial" w:eastAsia="Arial" w:hAnsi="Arial"/>
                <w:b/>
                <w:bCs/>
                <w:i w:val="false"/>
                <w:iCs w:val="false"/>
                <w:color w:val="1B3A6B"/>
                <w:sz w:val="18"/>
                <w:szCs w:val="18"/>
              </w:rPr>
              <w:t xml:space="preserve">Key Features</w:t>
            </w:r>
          </w:p>
          <w:p>
            <w:pPr>
              <w:spacing w:before="60" w:after="60"/>
              <w:jc w:val="left"/>
            </w:pPr>
            <w:r>
              <w:rPr>
                <w:rFonts w:ascii="Arial" w:cs="Arial" w:eastAsia="Arial" w:hAnsi="Arial"/>
                <w:b w:val="false"/>
                <w:bCs w:val="false"/>
                <w:i w:val="false"/>
                <w:iCs w:val="false"/>
                <w:color w:val="111827"/>
                <w:sz w:val="20"/>
                <w:szCs w:val="20"/>
              </w:rPr>
              <w:t xml:space="preserve">100% sum insured restore
No claim bonus 50%
OPD coverage optional
Mental illness covered</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60" w:after="30"/>
              <w:jc w:val="left"/>
            </w:pPr>
            <w:r>
              <w:rPr>
                <w:rFonts w:ascii="Arial" w:cs="Arial" w:eastAsia="Arial" w:hAnsi="Arial"/>
                <w:b/>
                <w:bCs/>
                <w:i w:val="false"/>
                <w:iCs w:val="false"/>
                <w:color w:val="1B3A6B"/>
                <w:sz w:val="18"/>
                <w:szCs w:val="18"/>
              </w:rPr>
              <w:t xml:space="preserve">Key Features</w:t>
            </w:r>
          </w:p>
          <w:p>
            <w:pPr>
              <w:spacing w:before="60" w:after="60"/>
              <w:jc w:val="left"/>
            </w:pPr>
            <w:r>
              <w:rPr>
                <w:rFonts w:ascii="Arial" w:cs="Arial" w:eastAsia="Arial" w:hAnsi="Arial"/>
                <w:b w:val="false"/>
                <w:bCs w:val="false"/>
                <w:i w:val="false"/>
                <w:iCs w:val="false"/>
                <w:color w:val="111827"/>
                <w:sz w:val="20"/>
                <w:szCs w:val="20"/>
              </w:rPr>
              <w:t xml:space="preserve">Lock the clock pricing
Unlimited restore
Direct claim settlement
Reward for healthy living</w:t>
            </w:r>
          </w:p>
        </w:tc>
        <w:tc>
          <w:tcPr>
            <w:tcW w:type="dxa" w:w="2340"/>
            <w:tcBorders>
              <w:top w:val="single" w:color="DDDDDD" w:sz="1"/>
              <w:left w:val="single" w:color="DDDDDD" w:sz="1"/>
              <w:bottom w:val="single" w:color="DDDDDD" w:sz="1"/>
              <w:right w:val="single" w:color="DDDDDD" w:sz="1"/>
            </w:tcBorders>
            <w:shd w:fill="F3F4F6" w:val="clear"/>
            <w:tcMar>
              <w:top w:type="dxa" w:w="100"/>
              <w:left w:type="dxa" w:w="140"/>
              <w:bottom w:type="dxa" w:w="100"/>
              <w:right w:type="dxa" w:w="140"/>
            </w:tcMar>
            <w:vAlign w:val="center"/>
          </w:tcPr>
          <w:p>
            <w:pPr>
              <w:spacing w:before="60" w:after="30"/>
              <w:jc w:val="left"/>
            </w:pPr>
            <w:r>
              <w:rPr>
                <w:rFonts w:ascii="Arial" w:cs="Arial" w:eastAsia="Arial" w:hAnsi="Arial"/>
                <w:b/>
                <w:bCs/>
                <w:i w:val="false"/>
                <w:iCs w:val="false"/>
                <w:color w:val="1B3A6B"/>
                <w:sz w:val="18"/>
                <w:szCs w:val="18"/>
              </w:rPr>
              <w:t xml:space="preserve">Key Features</w:t>
            </w:r>
          </w:p>
          <w:p>
            <w:pPr>
              <w:spacing w:before="60" w:after="60"/>
              <w:jc w:val="left"/>
            </w:pPr>
            <w:r>
              <w:rPr>
                <w:rFonts w:ascii="Arial" w:cs="Arial" w:eastAsia="Arial" w:hAnsi="Arial"/>
                <w:b w:val="false"/>
                <w:bCs w:val="false"/>
                <w:i w:val="false"/>
                <w:iCs w:val="false"/>
                <w:color w:val="111827"/>
                <w:sz w:val="20"/>
                <w:szCs w:val="20"/>
              </w:rPr>
              <w:t xml:space="preserve">Unlimited restoration
NCI bonus up to 150%
Annual health checkup
Global cover optional</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60" w:after="30"/>
              <w:jc w:val="left"/>
            </w:pPr>
            <w:r>
              <w:rPr>
                <w:rFonts w:ascii="Arial" w:cs="Arial" w:eastAsia="Arial" w:hAnsi="Arial"/>
                <w:b/>
                <w:bCs/>
                <w:i w:val="false"/>
                <w:iCs w:val="false"/>
                <w:color w:val="1B3A6B"/>
                <w:sz w:val="18"/>
                <w:szCs w:val="18"/>
              </w:rPr>
              <w:t xml:space="preserve">Best For</w:t>
            </w:r>
          </w:p>
          <w:p>
            <w:pPr>
              <w:spacing w:before="60" w:after="60"/>
              <w:jc w:val="left"/>
            </w:pPr>
            <w:r>
              <w:rPr>
                <w:rFonts w:ascii="Arial" w:cs="Arial" w:eastAsia="Arial" w:hAnsi="Arial"/>
                <w:b w:val="false"/>
                <w:bCs w:val="false"/>
                <w:i w:val="false"/>
                <w:iCs w:val="false"/>
                <w:color w:val="111827"/>
                <w:sz w:val="20"/>
                <w:szCs w:val="20"/>
              </w:rPr>
              <w:t xml:space="preserve">Young families
First-time buyers</w:t>
            </w:r>
          </w:p>
        </w:tc>
        <w:tc>
          <w:tcPr>
            <w:tcW w:type="dxa" w:w="2340"/>
            <w:tcBorders>
              <w:top w:val="single" w:color="DDDDDD" w:sz="1"/>
              <w:left w:val="single" w:color="DDDDDD" w:sz="1"/>
              <w:bottom w:val="single" w:color="DDDDDD" w:sz="1"/>
              <w:right w:val="single" w:color="DDDDDD" w:sz="1"/>
            </w:tcBorders>
            <w:shd w:fill="F3F4F6" w:val="clear"/>
            <w:tcMar>
              <w:top w:type="dxa" w:w="100"/>
              <w:left w:type="dxa" w:w="140"/>
              <w:bottom w:type="dxa" w:w="100"/>
              <w:right w:type="dxa" w:w="140"/>
            </w:tcMar>
            <w:vAlign w:val="center"/>
          </w:tcPr>
          <w:p>
            <w:pPr>
              <w:spacing w:before="60" w:after="30"/>
              <w:jc w:val="left"/>
            </w:pPr>
            <w:r>
              <w:rPr>
                <w:rFonts w:ascii="Arial" w:cs="Arial" w:eastAsia="Arial" w:hAnsi="Arial"/>
                <w:b/>
                <w:bCs/>
                <w:i w:val="false"/>
                <w:iCs w:val="false"/>
                <w:color w:val="1B3A6B"/>
                <w:sz w:val="18"/>
                <w:szCs w:val="18"/>
              </w:rPr>
              <w:t xml:space="preserve">Best For</w:t>
            </w:r>
          </w:p>
          <w:p>
            <w:pPr>
              <w:spacing w:before="60" w:after="60"/>
              <w:jc w:val="left"/>
            </w:pPr>
            <w:r>
              <w:rPr>
                <w:rFonts w:ascii="Arial" w:cs="Arial" w:eastAsia="Arial" w:hAnsi="Arial"/>
                <w:b w:val="false"/>
                <w:bCs w:val="false"/>
                <w:i w:val="false"/>
                <w:iCs w:val="false"/>
                <w:color w:val="111827"/>
                <w:sz w:val="20"/>
                <w:szCs w:val="20"/>
              </w:rPr>
              <w:t xml:space="preserve">Middle-income
Urban professionals</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60" w:after="30"/>
              <w:jc w:val="left"/>
            </w:pPr>
            <w:r>
              <w:rPr>
                <w:rFonts w:ascii="Arial" w:cs="Arial" w:eastAsia="Arial" w:hAnsi="Arial"/>
                <w:b/>
                <w:bCs/>
                <w:i w:val="false"/>
                <w:iCs w:val="false"/>
                <w:color w:val="1B3A6B"/>
                <w:sz w:val="18"/>
                <w:szCs w:val="18"/>
              </w:rPr>
              <w:t xml:space="preserve">Best For</w:t>
            </w:r>
          </w:p>
          <w:p>
            <w:pPr>
              <w:spacing w:before="60" w:after="60"/>
              <w:jc w:val="left"/>
            </w:pPr>
            <w:r>
              <w:rPr>
                <w:rFonts w:ascii="Arial" w:cs="Arial" w:eastAsia="Arial" w:hAnsi="Arial"/>
                <w:b w:val="false"/>
                <w:bCs w:val="false"/>
                <w:i w:val="false"/>
                <w:iCs w:val="false"/>
                <w:color w:val="111827"/>
                <w:sz w:val="20"/>
                <w:szCs w:val="20"/>
              </w:rPr>
              <w:t xml:space="preserve">Health-conscious
buyerslong-term holders</w:t>
            </w:r>
          </w:p>
        </w:tc>
        <w:tc>
          <w:tcPr>
            <w:tcW w:type="dxa" w:w="2340"/>
            <w:tcBorders>
              <w:top w:val="single" w:color="DDDDDD" w:sz="1"/>
              <w:left w:val="single" w:color="DDDDDD" w:sz="1"/>
              <w:bottom w:val="single" w:color="DDDDDD" w:sz="1"/>
              <w:right w:val="single" w:color="DDDDDD" w:sz="1"/>
            </w:tcBorders>
            <w:shd w:fill="F3F4F6" w:val="clear"/>
            <w:tcMar>
              <w:top w:type="dxa" w:w="100"/>
              <w:left w:type="dxa" w:w="140"/>
              <w:bottom w:type="dxa" w:w="100"/>
              <w:right w:type="dxa" w:w="140"/>
            </w:tcMar>
            <w:vAlign w:val="center"/>
          </w:tcPr>
          <w:p>
            <w:pPr>
              <w:spacing w:before="60" w:after="30"/>
              <w:jc w:val="left"/>
            </w:pPr>
            <w:r>
              <w:rPr>
                <w:rFonts w:ascii="Arial" w:cs="Arial" w:eastAsia="Arial" w:hAnsi="Arial"/>
                <w:b/>
                <w:bCs/>
                <w:i w:val="false"/>
                <w:iCs w:val="false"/>
                <w:color w:val="1B3A6B"/>
                <w:sz w:val="18"/>
                <w:szCs w:val="18"/>
              </w:rPr>
              <w:t xml:space="preserve">Best For</w:t>
            </w:r>
          </w:p>
          <w:p>
            <w:pPr>
              <w:spacing w:before="60" w:after="60"/>
              <w:jc w:val="left"/>
            </w:pPr>
            <w:r>
              <w:rPr>
                <w:rFonts w:ascii="Arial" w:cs="Arial" w:eastAsia="Arial" w:hAnsi="Arial"/>
                <w:b w:val="false"/>
                <w:bCs w:val="false"/>
                <w:i w:val="false"/>
                <w:iCs w:val="false"/>
                <w:color w:val="111827"/>
                <w:sz w:val="20"/>
                <w:szCs w:val="20"/>
              </w:rPr>
              <w:t xml:space="preserve">High sum insured
NRI families</w:t>
            </w:r>
          </w:p>
        </w:tc>
      </w:tr>
    </w:tbl>
    <w:p>
      <w:pPr>
        <w:spacing w:before="0" w:after="0"/>
      </w:pPr>
      <w:r>
        <w:rPr>
          <w:rFonts w:ascii="Arial" w:cs="Arial" w:eastAsia="Arial" w:hAnsi="Arial"/>
          <w:b w:val="false"/>
          <w:bCs w:val="false"/>
          <w:i w:val="false"/>
          <w:iCs w:val="false"/>
          <w:color w:val="111827"/>
          <w:sz w:val="22"/>
          <w:szCs w:val="22"/>
        </w:rPr>
        <w:t xml:space="preserve"/>
      </w:r>
    </w:p>
    <w:p>
      <w:pPr>
        <w:pStyle w:val="Heading2"/>
        <w:spacing w:before="240" w:after="120"/>
      </w:pPr>
      <w:r>
        <w:rPr>
          <w:rFonts w:ascii="Arial" w:cs="Arial" w:eastAsia="Arial" w:hAnsi="Arial"/>
          <w:b/>
          <w:bCs/>
          <w:color w:val="2563EB"/>
          <w:sz w:val="28"/>
          <w:szCs w:val="28"/>
        </w:rPr>
        <w:t xml:space="preserve">1.4  Medical Conditions and Their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CCEE" w:sz="1"/>
              <w:left w:val="single" w:color="AACCEE" w:sz="1"/>
              <w:bottom w:val="single" w:color="AACCEE" w:sz="1"/>
              <w:right w:val="single" w:color="AACCEE" w:sz="1"/>
            </w:tcBorders>
            <w:shd w:fill="1B3A6B" w:val="clear"/>
            <w:tcMar>
              <w:top w:type="dxa" w:w="100"/>
              <w:left w:type="dxa" w:w="140"/>
              <w:bottom w:type="dxa" w:w="100"/>
              <w:right w:type="dxa" w:w="140"/>
            </w:tcMar>
            <w:vAlign w:val="center"/>
          </w:tcPr>
          <w:p>
            <w:pPr>
              <w:spacing w:before="60" w:after="60"/>
              <w:jc w:val="left"/>
            </w:pPr>
            <w:r>
              <w:rPr>
                <w:rFonts w:ascii="Arial" w:cs="Arial" w:eastAsia="Arial" w:hAnsi="Arial"/>
                <w:b/>
                <w:bCs/>
                <w:i w:val="false"/>
                <w:iCs w:val="false"/>
                <w:color w:val="FFFFFF"/>
                <w:sz w:val="20"/>
                <w:szCs w:val="20"/>
              </w:rPr>
              <w:t xml:space="preserve">Condition</w:t>
            </w:r>
          </w:p>
        </w:tc>
        <w:tc>
          <w:tcPr>
            <w:tcW w:type="dxa" w:w="65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spacing w:before="60" w:after="60"/>
              <w:jc w:val="left"/>
            </w:pPr>
            <w:r>
              <w:rPr>
                <w:rFonts w:ascii="Arial" w:cs="Arial" w:eastAsia="Arial" w:hAnsi="Arial"/>
                <w:b w:val="false"/>
                <w:bCs w:val="false"/>
                <w:i w:val="false"/>
                <w:iCs w:val="false"/>
                <w:color w:val="111827"/>
                <w:sz w:val="20"/>
                <w:szCs w:val="20"/>
              </w:rPr>
              <w:t xml:space="preserve">Impact on Premium / Coverage</w:t>
            </w:r>
          </w:p>
        </w:tc>
      </w:tr>
      <w:tr>
        <w:tc>
          <w:tcPr>
            <w:tcW w:type="dxa" w:w="2800"/>
            <w:tcBorders>
              <w:top w:val="single" w:color="AACCEE" w:sz="1"/>
              <w:left w:val="single" w:color="AACCEE" w:sz="1"/>
              <w:bottom w:val="single" w:color="AACCEE" w:sz="1"/>
              <w:right w:val="single" w:color="AACCEE" w:sz="1"/>
            </w:tcBorders>
            <w:shd w:fill="DBEAFE" w:val="clear"/>
            <w:tcMar>
              <w:top w:type="dxa" w:w="100"/>
              <w:left w:type="dxa" w:w="140"/>
              <w:bottom w:type="dxa" w:w="100"/>
              <w:right w:type="dxa" w:w="140"/>
            </w:tcMar>
            <w:vAlign w:val="center"/>
          </w:tcPr>
          <w:p>
            <w:pPr>
              <w:spacing w:before="60" w:after="60"/>
              <w:jc w:val="left"/>
            </w:pPr>
            <w:r>
              <w:rPr>
                <w:rFonts w:ascii="Arial" w:cs="Arial" w:eastAsia="Arial" w:hAnsi="Arial"/>
                <w:b/>
                <w:bCs/>
                <w:i w:val="false"/>
                <w:iCs w:val="false"/>
                <w:color w:val="1B3A6B"/>
                <w:sz w:val="20"/>
                <w:szCs w:val="20"/>
              </w:rPr>
              <w:t xml:space="preserve">Diabetes (Type 2)</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60" w:after="60"/>
              <w:jc w:val="left"/>
            </w:pPr>
            <w:r>
              <w:rPr>
                <w:rFonts w:ascii="Arial" w:cs="Arial" w:eastAsia="Arial" w:hAnsi="Arial"/>
                <w:b w:val="false"/>
                <w:bCs w:val="false"/>
                <w:i w:val="false"/>
                <w:iCs w:val="false"/>
                <w:color w:val="111827"/>
                <w:sz w:val="20"/>
                <w:szCs w:val="20"/>
              </w:rPr>
              <w:t xml:space="preserve">10–30% premium loading; 2–4 year waiting period for complications</w:t>
            </w:r>
          </w:p>
        </w:tc>
      </w:tr>
      <w:tr>
        <w:tc>
          <w:tcPr>
            <w:tcW w:type="dxa" w:w="2800"/>
            <w:tcBorders>
              <w:top w:val="single" w:color="AACCEE" w:sz="1"/>
              <w:left w:val="single" w:color="AACCEE" w:sz="1"/>
              <w:bottom w:val="single" w:color="AACCEE" w:sz="1"/>
              <w:right w:val="single" w:color="AACCEE" w:sz="1"/>
            </w:tcBorders>
            <w:shd w:fill="DBEAFE" w:val="clear"/>
            <w:tcMar>
              <w:top w:type="dxa" w:w="100"/>
              <w:left w:type="dxa" w:w="140"/>
              <w:bottom w:type="dxa" w:w="100"/>
              <w:right w:type="dxa" w:w="140"/>
            </w:tcMar>
            <w:vAlign w:val="center"/>
          </w:tcPr>
          <w:p>
            <w:pPr>
              <w:spacing w:before="60" w:after="60"/>
              <w:jc w:val="left"/>
            </w:pPr>
            <w:r>
              <w:rPr>
                <w:rFonts w:ascii="Arial" w:cs="Arial" w:eastAsia="Arial" w:hAnsi="Arial"/>
                <w:b/>
                <w:bCs/>
                <w:i w:val="false"/>
                <w:iCs w:val="false"/>
                <w:color w:val="1B3A6B"/>
                <w:sz w:val="20"/>
                <w:szCs w:val="20"/>
              </w:rPr>
              <w:t xml:space="preserve">Hypertension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60" w:after="60"/>
              <w:jc w:val="left"/>
            </w:pPr>
            <w:r>
              <w:rPr>
                <w:rFonts w:ascii="Arial" w:cs="Arial" w:eastAsia="Arial" w:hAnsi="Arial"/>
                <w:b w:val="false"/>
                <w:bCs w:val="false"/>
                <w:i w:val="false"/>
                <w:iCs w:val="false"/>
                <w:color w:val="111827"/>
                <w:sz w:val="20"/>
                <w:szCs w:val="20"/>
              </w:rPr>
              <w:t xml:space="preserve">10–20% loading; BP-related claims may have co-payment</w:t>
            </w:r>
          </w:p>
        </w:tc>
      </w:tr>
      <w:tr>
        <w:tc>
          <w:tcPr>
            <w:tcW w:type="dxa" w:w="2800"/>
            <w:tcBorders>
              <w:top w:val="single" w:color="AACCEE" w:sz="1"/>
              <w:left w:val="single" w:color="AACCEE" w:sz="1"/>
              <w:bottom w:val="single" w:color="AACCEE" w:sz="1"/>
              <w:right w:val="single" w:color="AACCEE" w:sz="1"/>
            </w:tcBorders>
            <w:shd w:fill="DBEAFE" w:val="clear"/>
            <w:tcMar>
              <w:top w:type="dxa" w:w="100"/>
              <w:left w:type="dxa" w:w="140"/>
              <w:bottom w:type="dxa" w:w="100"/>
              <w:right w:type="dxa" w:w="140"/>
            </w:tcMar>
            <w:vAlign w:val="center"/>
          </w:tcPr>
          <w:p>
            <w:pPr>
              <w:spacing w:before="60" w:after="60"/>
              <w:jc w:val="left"/>
            </w:pPr>
            <w:r>
              <w:rPr>
                <w:rFonts w:ascii="Arial" w:cs="Arial" w:eastAsia="Arial" w:hAnsi="Arial"/>
                <w:b/>
                <w:bCs/>
                <w:i w:val="false"/>
                <w:iCs w:val="false"/>
                <w:color w:val="1B3A6B"/>
                <w:sz w:val="20"/>
                <w:szCs w:val="20"/>
              </w:rPr>
              <w:t xml:space="preserve">Heart Disease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60" w:after="60"/>
              <w:jc w:val="left"/>
            </w:pPr>
            <w:r>
              <w:rPr>
                <w:rFonts w:ascii="Arial" w:cs="Arial" w:eastAsia="Arial" w:hAnsi="Arial"/>
                <w:b w:val="false"/>
                <w:bCs w:val="false"/>
                <w:i w:val="false"/>
                <w:iCs w:val="false"/>
                <w:color w:val="111827"/>
                <w:sz w:val="20"/>
                <w:szCs w:val="20"/>
              </w:rPr>
              <w:t xml:space="preserve">30–50% loading or dedicated cardiac rider required</w:t>
            </w:r>
          </w:p>
        </w:tc>
      </w:tr>
      <w:tr>
        <w:tc>
          <w:tcPr>
            <w:tcW w:type="dxa" w:w="2800"/>
            <w:tcBorders>
              <w:top w:val="single" w:color="AACCEE" w:sz="1"/>
              <w:left w:val="single" w:color="AACCEE" w:sz="1"/>
              <w:bottom w:val="single" w:color="AACCEE" w:sz="1"/>
              <w:right w:val="single" w:color="AACCEE" w:sz="1"/>
            </w:tcBorders>
            <w:shd w:fill="DBEAFE" w:val="clear"/>
            <w:tcMar>
              <w:top w:type="dxa" w:w="100"/>
              <w:left w:type="dxa" w:w="140"/>
              <w:bottom w:type="dxa" w:w="100"/>
              <w:right w:type="dxa" w:w="140"/>
            </w:tcMar>
            <w:vAlign w:val="center"/>
          </w:tcPr>
          <w:p>
            <w:pPr>
              <w:spacing w:before="60" w:after="60"/>
              <w:jc w:val="left"/>
            </w:pPr>
            <w:r>
              <w:rPr>
                <w:rFonts w:ascii="Arial" w:cs="Arial" w:eastAsia="Arial" w:hAnsi="Arial"/>
                <w:b/>
                <w:bCs/>
                <w:i w:val="false"/>
                <w:iCs w:val="false"/>
                <w:color w:val="1B3A6B"/>
                <w:sz w:val="20"/>
                <w:szCs w:val="20"/>
              </w:rPr>
              <w:t xml:space="preserve">Asthma</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60" w:after="60"/>
              <w:jc w:val="left"/>
            </w:pPr>
            <w:r>
              <w:rPr>
                <w:rFonts w:ascii="Arial" w:cs="Arial" w:eastAsia="Arial" w:hAnsi="Arial"/>
                <w:b w:val="false"/>
                <w:bCs w:val="false"/>
                <w:i w:val="false"/>
                <w:iCs w:val="false"/>
                <w:color w:val="111827"/>
                <w:sz w:val="20"/>
                <w:szCs w:val="20"/>
              </w:rPr>
              <w:t xml:space="preserve">Minimal loading; usually covered after standard waiting period</w:t>
            </w:r>
          </w:p>
        </w:tc>
      </w:tr>
      <w:tr>
        <w:tc>
          <w:tcPr>
            <w:tcW w:type="dxa" w:w="2800"/>
            <w:tcBorders>
              <w:top w:val="single" w:color="AACCEE" w:sz="1"/>
              <w:left w:val="single" w:color="AACCEE" w:sz="1"/>
              <w:bottom w:val="single" w:color="AACCEE" w:sz="1"/>
              <w:right w:val="single" w:color="AACCEE" w:sz="1"/>
            </w:tcBorders>
            <w:shd w:fill="DBEAFE" w:val="clear"/>
            <w:tcMar>
              <w:top w:type="dxa" w:w="100"/>
              <w:left w:type="dxa" w:w="140"/>
              <w:bottom w:type="dxa" w:w="100"/>
              <w:right w:type="dxa" w:w="140"/>
            </w:tcMar>
            <w:vAlign w:val="center"/>
          </w:tcPr>
          <w:p>
            <w:pPr>
              <w:spacing w:before="60" w:after="60"/>
              <w:jc w:val="left"/>
            </w:pPr>
            <w:r>
              <w:rPr>
                <w:rFonts w:ascii="Arial" w:cs="Arial" w:eastAsia="Arial" w:hAnsi="Arial"/>
                <w:b/>
                <w:bCs/>
                <w:i w:val="false"/>
                <w:iCs w:val="false"/>
                <w:color w:val="1B3A6B"/>
                <w:sz w:val="20"/>
                <w:szCs w:val="20"/>
              </w:rPr>
              <w:t xml:space="preserve">Cancer (previous)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60" w:after="60"/>
              <w:jc w:val="left"/>
            </w:pPr>
            <w:r>
              <w:rPr>
                <w:rFonts w:ascii="Arial" w:cs="Arial" w:eastAsia="Arial" w:hAnsi="Arial"/>
                <w:b w:val="false"/>
                <w:bCs w:val="false"/>
                <w:i w:val="false"/>
                <w:iCs w:val="false"/>
                <w:color w:val="111827"/>
                <w:sz w:val="20"/>
                <w:szCs w:val="20"/>
              </w:rPr>
              <w:t xml:space="preserve">May be declined or covered with permanent exclusion</w:t>
            </w:r>
          </w:p>
        </w:tc>
      </w:tr>
      <w:tr>
        <w:tc>
          <w:tcPr>
            <w:tcW w:type="dxa" w:w="2800"/>
            <w:tcBorders>
              <w:top w:val="single" w:color="AACCEE" w:sz="1"/>
              <w:left w:val="single" w:color="AACCEE" w:sz="1"/>
              <w:bottom w:val="single" w:color="AACCEE" w:sz="1"/>
              <w:right w:val="single" w:color="AACCEE" w:sz="1"/>
            </w:tcBorders>
            <w:shd w:fill="DBEAFE" w:val="clear"/>
            <w:tcMar>
              <w:top w:type="dxa" w:w="100"/>
              <w:left w:type="dxa" w:w="140"/>
              <w:bottom w:type="dxa" w:w="100"/>
              <w:right w:type="dxa" w:w="140"/>
            </w:tcMar>
            <w:vAlign w:val="center"/>
          </w:tcPr>
          <w:p>
            <w:pPr>
              <w:spacing w:before="60" w:after="60"/>
              <w:jc w:val="left"/>
            </w:pPr>
            <w:r>
              <w:rPr>
                <w:rFonts w:ascii="Arial" w:cs="Arial" w:eastAsia="Arial" w:hAnsi="Arial"/>
                <w:b/>
                <w:bCs/>
                <w:i w:val="false"/>
                <w:iCs w:val="false"/>
                <w:color w:val="1B3A6B"/>
                <w:sz w:val="20"/>
                <w:szCs w:val="20"/>
              </w:rPr>
              <w:t xml:space="preserve">Obesity (BMI &gt;35)</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60" w:after="60"/>
              <w:jc w:val="left"/>
            </w:pPr>
            <w:r>
              <w:rPr>
                <w:rFonts w:ascii="Arial" w:cs="Arial" w:eastAsia="Arial" w:hAnsi="Arial"/>
                <w:b w:val="false"/>
                <w:bCs w:val="false"/>
                <w:i w:val="false"/>
                <w:iCs w:val="false"/>
                <w:color w:val="111827"/>
                <w:sz w:val="20"/>
                <w:szCs w:val="20"/>
              </w:rPr>
              <w:t xml:space="preserve">10–25% loading; bariatric surgery usually excluded</w:t>
            </w:r>
          </w:p>
        </w:tc>
      </w:tr>
      <w:tr>
        <w:tc>
          <w:tcPr>
            <w:tcW w:type="dxa" w:w="2800"/>
            <w:tcBorders>
              <w:top w:val="single" w:color="AACCEE" w:sz="1"/>
              <w:left w:val="single" w:color="AACCEE" w:sz="1"/>
              <w:bottom w:val="single" w:color="AACCEE" w:sz="1"/>
              <w:right w:val="single" w:color="AACCEE" w:sz="1"/>
            </w:tcBorders>
            <w:shd w:fill="DBEAFE" w:val="clear"/>
            <w:tcMar>
              <w:top w:type="dxa" w:w="100"/>
              <w:left w:type="dxa" w:w="140"/>
              <w:bottom w:type="dxa" w:w="100"/>
              <w:right w:type="dxa" w:w="140"/>
            </w:tcMar>
            <w:vAlign w:val="center"/>
          </w:tcPr>
          <w:p>
            <w:pPr>
              <w:spacing w:before="60" w:after="60"/>
              <w:jc w:val="left"/>
            </w:pPr>
            <w:r>
              <w:rPr>
                <w:rFonts w:ascii="Arial" w:cs="Arial" w:eastAsia="Arial" w:hAnsi="Arial"/>
                <w:b/>
                <w:bCs/>
                <w:i w:val="false"/>
                <w:iCs w:val="false"/>
                <w:color w:val="1B3A6B"/>
                <w:sz w:val="20"/>
                <w:szCs w:val="20"/>
              </w:rPr>
              <w:t xml:space="preserve">Kidney Disease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60" w:after="60"/>
              <w:jc w:val="left"/>
            </w:pPr>
            <w:r>
              <w:rPr>
                <w:rFonts w:ascii="Arial" w:cs="Arial" w:eastAsia="Arial" w:hAnsi="Arial"/>
                <w:b w:val="false"/>
                <w:bCs w:val="false"/>
                <w:i w:val="false"/>
                <w:iCs w:val="false"/>
                <w:color w:val="111827"/>
                <w:sz w:val="20"/>
                <w:szCs w:val="20"/>
              </w:rPr>
              <w:t xml:space="preserve">High loading or exclusion; dialysis may not be covered</w:t>
            </w:r>
          </w:p>
        </w:tc>
      </w:tr>
      <w:tr>
        <w:tc>
          <w:tcPr>
            <w:tcW w:type="dxa" w:w="2800"/>
            <w:tcBorders>
              <w:top w:val="single" w:color="AACCEE" w:sz="1"/>
              <w:left w:val="single" w:color="AACCEE" w:sz="1"/>
              <w:bottom w:val="single" w:color="AACCEE" w:sz="1"/>
              <w:right w:val="single" w:color="AACCEE" w:sz="1"/>
            </w:tcBorders>
            <w:shd w:fill="DBEAFE" w:val="clear"/>
            <w:tcMar>
              <w:top w:type="dxa" w:w="100"/>
              <w:left w:type="dxa" w:w="140"/>
              <w:bottom w:type="dxa" w:w="100"/>
              <w:right w:type="dxa" w:w="140"/>
            </w:tcMar>
            <w:vAlign w:val="center"/>
          </w:tcPr>
          <w:p>
            <w:pPr>
              <w:spacing w:before="60" w:after="60"/>
              <w:jc w:val="left"/>
            </w:pPr>
            <w:r>
              <w:rPr>
                <w:rFonts w:ascii="Arial" w:cs="Arial" w:eastAsia="Arial" w:hAnsi="Arial"/>
                <w:b/>
                <w:bCs/>
                <w:i w:val="false"/>
                <w:iCs w:val="false"/>
                <w:color w:val="1B3A6B"/>
                <w:sz w:val="20"/>
                <w:szCs w:val="20"/>
              </w:rPr>
              <w:t xml:space="preserve">Mental Illness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60" w:after="60"/>
              <w:jc w:val="left"/>
            </w:pPr>
            <w:r>
              <w:rPr>
                <w:rFonts w:ascii="Arial" w:cs="Arial" w:eastAsia="Arial" w:hAnsi="Arial"/>
                <w:b w:val="false"/>
                <w:bCs w:val="false"/>
                <w:i w:val="false"/>
                <w:iCs w:val="false"/>
                <w:color w:val="111827"/>
                <w:sz w:val="20"/>
                <w:szCs w:val="20"/>
              </w:rPr>
              <w:t xml:space="preserve">Covered under IRDAI mandate since 2018; suicide excluded</w:t>
            </w:r>
          </w:p>
        </w:tc>
      </w:tr>
    </w:tbl>
    <w:p>
      <w:pPr>
        <w:spacing w:before="0" w:after="0"/>
      </w:pPr>
      <w:r>
        <w:rPr>
          <w:rFonts w:ascii="Arial" w:cs="Arial" w:eastAsia="Arial" w:hAnsi="Arial"/>
          <w:b w:val="false"/>
          <w:bCs w:val="false"/>
          <w:i w:val="false"/>
          <w:iCs w:val="false"/>
          <w:color w:val="111827"/>
          <w:sz w:val="22"/>
          <w:szCs w:val="22"/>
        </w:rPr>
        <w:t xml:space="preserve"/>
      </w:r>
    </w:p>
    <w:p>
      <w:pPr>
        <w:pStyle w:val="Heading2"/>
        <w:spacing w:before="240" w:after="120"/>
      </w:pPr>
      <w:r>
        <w:rPr>
          <w:rFonts w:ascii="Arial" w:cs="Arial" w:eastAsia="Arial" w:hAnsi="Arial"/>
          <w:b/>
          <w:bCs/>
          <w:color w:val="2563EB"/>
          <w:sz w:val="28"/>
          <w:szCs w:val="28"/>
        </w:rPr>
        <w:t xml:space="preserve">1.5  What is Covered vs Not Covered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6A34A" w:sz="1"/>
              <w:left w:val="single" w:color="16A34A" w:sz="1"/>
              <w:bottom w:val="single" w:color="16A34A" w:sz="1"/>
              <w:right w:val="single" w:color="16A34A" w:sz="1"/>
            </w:tcBorders>
            <w:shd w:fill="16A34A" w:val="clear"/>
            <w:tcMar>
              <w:top w:type="dxa" w:w="100"/>
              <w:left w:type="dxa" w:w="140"/>
              <w:bottom w:type="dxa" w:w="100"/>
              <w:right w:type="dxa" w:w="140"/>
            </w:tcMar>
            <w:vAlign w:val="center"/>
          </w:tcPr>
          <w:p>
            <w:pPr>
              <w:spacing w:before="60" w:after="60"/>
              <w:jc w:val="center"/>
            </w:pPr>
            <w:r>
              <w:rPr>
                <w:rFonts w:ascii="Arial" w:cs="Arial" w:eastAsia="Arial" w:hAnsi="Arial"/>
                <w:b/>
                <w:bCs/>
                <w:i w:val="false"/>
                <w:iCs w:val="false"/>
                <w:color w:val="FFFFFF"/>
                <w:sz w:val="22"/>
                <w:szCs w:val="22"/>
              </w:rPr>
              <w:t xml:space="preserve">✅  COVERED</w:t>
            </w:r>
          </w:p>
        </w:tc>
        <w:tc>
          <w:tcPr>
            <w:tcW w:type="dxa" w:w="4680"/>
            <w:tcBorders>
              <w:top w:val="single" w:color="DC2626" w:sz="1"/>
              <w:left w:val="single" w:color="DC2626" w:sz="1"/>
              <w:bottom w:val="single" w:color="DC2626" w:sz="1"/>
              <w:right w:val="single" w:color="DC2626" w:sz="1"/>
            </w:tcBorders>
            <w:shd w:fill="DC2626" w:val="clear"/>
            <w:tcMar>
              <w:top w:type="dxa" w:w="100"/>
              <w:left w:type="dxa" w:w="140"/>
              <w:bottom w:type="dxa" w:w="100"/>
              <w:right w:type="dxa" w:w="140"/>
            </w:tcMar>
            <w:vAlign w:val="center"/>
          </w:tcPr>
          <w:p>
            <w:pPr>
              <w:spacing w:before="60" w:after="60"/>
              <w:jc w:val="center"/>
            </w:pPr>
            <w:r>
              <w:rPr>
                <w:rFonts w:ascii="Arial" w:cs="Arial" w:eastAsia="Arial" w:hAnsi="Arial"/>
                <w:b/>
                <w:bCs/>
                <w:i w:val="false"/>
                <w:iCs w:val="false"/>
                <w:color w:val="FFFFFF"/>
                <w:sz w:val="22"/>
                <w:szCs w:val="22"/>
              </w:rPr>
              <w:t xml:space="preserve">❌  NOT COVERED</w:t>
            </w:r>
          </w:p>
        </w:tc>
      </w:tr>
      <w:tr>
        <w:tc>
          <w:tcPr>
            <w:tcW w:type="dxa" w:w="4680"/>
            <w:tcBorders>
              <w:top w:val="single" w:color="DDDDDD" w:sz="1"/>
              <w:left w:val="single" w:color="DDDDDD" w:sz="1"/>
              <w:bottom w:val="single" w:color="DDDDDD" w:sz="1"/>
              <w:right w:val="single" w:color="DDDDDD" w:sz="1"/>
            </w:tcBorders>
            <w:shd w:fill="DCFCE7" w:val="clear"/>
            <w:tcMar>
              <w:top w:type="dxa" w:w="100"/>
              <w:left w:type="dxa" w:w="140"/>
              <w:bottom w:type="dxa" w:w="100"/>
              <w:right w:type="dxa" w:w="140"/>
            </w:tcMar>
            <w:vAlign w:val="center"/>
          </w:tcPr>
          <w:p>
            <w:pPr>
              <w:spacing w:before="60" w:after="60"/>
              <w:jc w:val="left"/>
            </w:pPr>
            <w:r>
              <w:rPr>
                <w:rFonts w:ascii="Arial" w:cs="Arial" w:eastAsia="Arial" w:hAnsi="Arial"/>
                <w:b w:val="false"/>
                <w:bCs w:val="false"/>
                <w:i w:val="false"/>
                <w:iCs w:val="false"/>
                <w:color w:val="111827"/>
                <w:sz w:val="20"/>
                <w:szCs w:val="20"/>
              </w:rPr>
              <w:t xml:space="preserve">Hospitalisation (in-patient)</w:t>
            </w:r>
          </w:p>
          <w:p>
            <w:pPr>
              <w:spacing w:before="60" w:after="60"/>
              <w:jc w:val="left"/>
            </w:pPr>
            <w:r>
              <w:rPr>
                <w:rFonts w:ascii="Arial" w:cs="Arial" w:eastAsia="Arial" w:hAnsi="Arial"/>
                <w:b w:val="false"/>
                <w:bCs w:val="false"/>
                <w:i w:val="false"/>
                <w:iCs w:val="false"/>
                <w:color w:val="111827"/>
                <w:sz w:val="20"/>
                <w:szCs w:val="20"/>
              </w:rPr>
              <w:t xml:space="preserve">Day care procedures (cataract, dialysis)</w:t>
            </w:r>
          </w:p>
          <w:p>
            <w:pPr>
              <w:spacing w:before="60" w:after="60"/>
              <w:jc w:val="left"/>
            </w:pPr>
            <w:r>
              <w:rPr>
                <w:rFonts w:ascii="Arial" w:cs="Arial" w:eastAsia="Arial" w:hAnsi="Arial"/>
                <w:b w:val="false"/>
                <w:bCs w:val="false"/>
                <w:i w:val="false"/>
                <w:iCs w:val="false"/>
                <w:color w:val="111827"/>
                <w:sz w:val="20"/>
                <w:szCs w:val="20"/>
              </w:rPr>
              <w:t xml:space="preserve">Pre and post hospitalisation (30/60 days)</w:t>
            </w:r>
          </w:p>
          <w:p>
            <w:pPr>
              <w:spacing w:before="60" w:after="60"/>
              <w:jc w:val="left"/>
            </w:pPr>
            <w:r>
              <w:rPr>
                <w:rFonts w:ascii="Arial" w:cs="Arial" w:eastAsia="Arial" w:hAnsi="Arial"/>
                <w:b w:val="false"/>
                <w:bCs w:val="false"/>
                <w:i w:val="false"/>
                <w:iCs w:val="false"/>
                <w:color w:val="111827"/>
                <w:sz w:val="20"/>
                <w:szCs w:val="20"/>
              </w:rPr>
              <w:t xml:space="preserve">Ambulance charges (up to ₹2,000–₹5,000)</w:t>
            </w:r>
          </w:p>
          <w:p>
            <w:pPr>
              <w:spacing w:before="60" w:after="60"/>
              <w:jc w:val="left"/>
            </w:pPr>
            <w:r>
              <w:rPr>
                <w:rFonts w:ascii="Arial" w:cs="Arial" w:eastAsia="Arial" w:hAnsi="Arial"/>
                <w:b w:val="false"/>
                <w:bCs w:val="false"/>
                <w:i w:val="false"/>
                <w:iCs w:val="false"/>
                <w:color w:val="111827"/>
                <w:sz w:val="20"/>
                <w:szCs w:val="20"/>
              </w:rPr>
              <w:t xml:space="preserve">ICU/ICCU charges</w:t>
            </w:r>
          </w:p>
          <w:p>
            <w:pPr>
              <w:spacing w:before="60" w:after="60"/>
              <w:jc w:val="left"/>
            </w:pPr>
            <w:r>
              <w:rPr>
                <w:rFonts w:ascii="Arial" w:cs="Arial" w:eastAsia="Arial" w:hAnsi="Arial"/>
                <w:b w:val="false"/>
                <w:bCs w:val="false"/>
                <w:i w:val="false"/>
                <w:iCs w:val="false"/>
                <w:color w:val="111827"/>
                <w:sz w:val="20"/>
                <w:szCs w:val="20"/>
              </w:rPr>
              <w:t xml:space="preserve">Organ donor expenses</w:t>
            </w:r>
          </w:p>
          <w:p>
            <w:pPr>
              <w:spacing w:before="60" w:after="60"/>
              <w:jc w:val="left"/>
            </w:pPr>
            <w:r>
              <w:rPr>
                <w:rFonts w:ascii="Arial" w:cs="Arial" w:eastAsia="Arial" w:hAnsi="Arial"/>
                <w:b w:val="false"/>
                <w:bCs w:val="false"/>
                <w:i w:val="false"/>
                <w:iCs w:val="false"/>
                <w:color w:val="111827"/>
                <w:sz w:val="20"/>
                <w:szCs w:val="20"/>
              </w:rPr>
              <w:t xml:space="preserve">AYUSH treatments</w:t>
            </w:r>
          </w:p>
          <w:p>
            <w:pPr>
              <w:spacing w:before="60" w:after="60"/>
              <w:jc w:val="left"/>
            </w:pPr>
            <w:r>
              <w:rPr>
                <w:rFonts w:ascii="Arial" w:cs="Arial" w:eastAsia="Arial" w:hAnsi="Arial"/>
                <w:b w:val="false"/>
                <w:bCs w:val="false"/>
                <w:i w:val="false"/>
                <w:iCs w:val="false"/>
                <w:color w:val="111827"/>
                <w:sz w:val="20"/>
                <w:szCs w:val="20"/>
              </w:rPr>
              <w:t xml:space="preserve">Maternity (with add-on rider)</w:t>
            </w:r>
          </w:p>
        </w:tc>
        <w:tc>
          <w:tcPr>
            <w:tcW w:type="dxa" w:w="4680"/>
            <w:tcBorders>
              <w:top w:val="single" w:color="DDDDDD" w:sz="1"/>
              <w:left w:val="single" w:color="DDDDDD" w:sz="1"/>
              <w:bottom w:val="single" w:color="DDDDDD" w:sz="1"/>
              <w:right w:val="single" w:color="DDDDDD" w:sz="1"/>
            </w:tcBorders>
            <w:shd w:fill="FEE2E2" w:val="clear"/>
            <w:tcMar>
              <w:top w:type="dxa" w:w="100"/>
              <w:left w:type="dxa" w:w="140"/>
              <w:bottom w:type="dxa" w:w="100"/>
              <w:right w:type="dxa" w:w="140"/>
            </w:tcMar>
            <w:vAlign w:val="center"/>
          </w:tcPr>
          <w:p>
            <w:pPr>
              <w:spacing w:before="60" w:after="60"/>
              <w:jc w:val="left"/>
            </w:pPr>
            <w:r>
              <w:rPr>
                <w:rFonts w:ascii="Arial" w:cs="Arial" w:eastAsia="Arial" w:hAnsi="Arial"/>
                <w:b w:val="false"/>
                <w:bCs w:val="false"/>
                <w:i w:val="false"/>
                <w:iCs w:val="false"/>
                <w:color w:val="111827"/>
                <w:sz w:val="20"/>
                <w:szCs w:val="20"/>
              </w:rPr>
              <w:t xml:space="preserve">Cosmetic/aesthetic treatments</w:t>
            </w:r>
          </w:p>
          <w:p>
            <w:pPr>
              <w:spacing w:before="60" w:after="60"/>
              <w:jc w:val="left"/>
            </w:pPr>
            <w:r>
              <w:rPr>
                <w:rFonts w:ascii="Arial" w:cs="Arial" w:eastAsia="Arial" w:hAnsi="Arial"/>
                <w:b w:val="false"/>
                <w:bCs w:val="false"/>
                <w:i w:val="false"/>
                <w:iCs w:val="false"/>
                <w:color w:val="111827"/>
                <w:sz w:val="20"/>
                <w:szCs w:val="20"/>
              </w:rPr>
              <w:t xml:space="preserve">Dental (unless due to accident)</w:t>
            </w:r>
          </w:p>
          <w:p>
            <w:pPr>
              <w:spacing w:before="60" w:after="60"/>
              <w:jc w:val="left"/>
            </w:pPr>
            <w:r>
              <w:rPr>
                <w:rFonts w:ascii="Arial" w:cs="Arial" w:eastAsia="Arial" w:hAnsi="Arial"/>
                <w:b w:val="false"/>
                <w:bCs w:val="false"/>
                <w:i w:val="false"/>
                <w:iCs w:val="false"/>
                <w:color w:val="111827"/>
                <w:sz w:val="20"/>
                <w:szCs w:val="20"/>
              </w:rPr>
              <w:t xml:space="preserve">Vision correction (spectacles/lenses)</w:t>
            </w:r>
          </w:p>
          <w:p>
            <w:pPr>
              <w:spacing w:before="60" w:after="60"/>
              <w:jc w:val="left"/>
            </w:pPr>
            <w:r>
              <w:rPr>
                <w:rFonts w:ascii="Arial" w:cs="Arial" w:eastAsia="Arial" w:hAnsi="Arial"/>
                <w:b w:val="false"/>
                <w:bCs w:val="false"/>
                <w:i w:val="false"/>
                <w:iCs w:val="false"/>
                <w:color w:val="111827"/>
                <w:sz w:val="20"/>
                <w:szCs w:val="20"/>
              </w:rPr>
              <w:t xml:space="preserve">Self-inflicted injuries / suicide attempt</w:t>
            </w:r>
          </w:p>
          <w:p>
            <w:pPr>
              <w:spacing w:before="60" w:after="60"/>
              <w:jc w:val="left"/>
            </w:pPr>
            <w:r>
              <w:rPr>
                <w:rFonts w:ascii="Arial" w:cs="Arial" w:eastAsia="Arial" w:hAnsi="Arial"/>
                <w:b w:val="false"/>
                <w:bCs w:val="false"/>
                <w:i w:val="false"/>
                <w:iCs w:val="false"/>
                <w:color w:val="111827"/>
                <w:sz w:val="20"/>
                <w:szCs w:val="20"/>
              </w:rPr>
              <w:t xml:space="preserve">War, nuclear, or radiation injuries</w:t>
            </w:r>
          </w:p>
          <w:p>
            <w:pPr>
              <w:spacing w:before="60" w:after="60"/>
              <w:jc w:val="left"/>
            </w:pPr>
            <w:r>
              <w:rPr>
                <w:rFonts w:ascii="Arial" w:cs="Arial" w:eastAsia="Arial" w:hAnsi="Arial"/>
                <w:b w:val="false"/>
                <w:bCs w:val="false"/>
                <w:i w:val="false"/>
                <w:iCs w:val="false"/>
                <w:color w:val="111827"/>
                <w:sz w:val="20"/>
                <w:szCs w:val="20"/>
              </w:rPr>
              <w:t xml:space="preserve">Experimental/unproven treatments</w:t>
            </w:r>
          </w:p>
          <w:p>
            <w:pPr>
              <w:spacing w:before="60" w:after="60"/>
              <w:jc w:val="left"/>
            </w:pPr>
            <w:r>
              <w:rPr>
                <w:rFonts w:ascii="Arial" w:cs="Arial" w:eastAsia="Arial" w:hAnsi="Arial"/>
                <w:b w:val="false"/>
                <w:bCs w:val="false"/>
                <w:i w:val="false"/>
                <w:iCs w:val="false"/>
                <w:color w:val="111827"/>
                <w:sz w:val="20"/>
                <w:szCs w:val="20"/>
              </w:rPr>
              <w:t xml:space="preserve">General OPD (unless rider added)</w:t>
            </w:r>
          </w:p>
          <w:p>
            <w:pPr>
              <w:spacing w:before="60" w:after="60"/>
              <w:jc w:val="left"/>
            </w:pPr>
            <w:r>
              <w:rPr>
                <w:rFonts w:ascii="Arial" w:cs="Arial" w:eastAsia="Arial" w:hAnsi="Arial"/>
                <w:b w:val="false"/>
                <w:bCs w:val="false"/>
                <w:i w:val="false"/>
                <w:iCs w:val="false"/>
                <w:color w:val="111827"/>
                <w:sz w:val="20"/>
                <w:szCs w:val="20"/>
              </w:rPr>
              <w:t xml:space="preserve">STDs unless HIV-specific rider</w:t>
            </w:r>
          </w:p>
        </w:tc>
      </w:tr>
    </w:tbl>
    <w:p>
      <w:pPr>
        <w:spacing w:before="0" w:after="0"/>
      </w:pPr>
      <w:r>
        <w:rPr>
          <w:rFonts w:ascii="Arial" w:cs="Arial" w:eastAsia="Arial" w:hAnsi="Arial"/>
          <w:b w:val="false"/>
          <w:bCs w:val="false"/>
          <w:i w:val="false"/>
          <w:iCs w:val="false"/>
          <w:color w:val="111827"/>
          <w:sz w:val="22"/>
          <w:szCs w:val="22"/>
        </w:rPr>
        <w:t xml:space="preserve"/>
      </w:r>
    </w:p>
    <w:p>
      <w:pPr>
        <w:pStyle w:val="Heading2"/>
        <w:spacing w:before="240" w:after="120"/>
      </w:pPr>
      <w:r>
        <w:rPr>
          <w:rFonts w:ascii="Arial" w:cs="Arial" w:eastAsia="Arial" w:hAnsi="Arial"/>
          <w:b/>
          <w:bCs/>
          <w:color w:val="2563EB"/>
          <w:sz w:val="28"/>
          <w:szCs w:val="28"/>
        </w:rPr>
        <w:t xml:space="preserve">1.6  Section 80D — Tax Benefits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AACCEE" w:sz="1"/>
              <w:left w:val="single" w:color="AACCEE" w:sz="1"/>
              <w:bottom w:val="single" w:color="AACCEE" w:sz="1"/>
              <w:right w:val="single" w:color="AACCEE" w:sz="1"/>
            </w:tcBorders>
            <w:shd w:fill="1B3A6B" w:val="clear"/>
            <w:tcMar>
              <w:top w:type="dxa" w:w="100"/>
              <w:left w:type="dxa" w:w="140"/>
              <w:bottom w:type="dxa" w:w="100"/>
              <w:right w:type="dxa" w:w="140"/>
            </w:tcMar>
            <w:vAlign w:val="center"/>
          </w:tcPr>
          <w:p>
            <w:pPr>
              <w:spacing w:before="60" w:after="60"/>
              <w:jc w:val="left"/>
            </w:pPr>
            <w:r>
              <w:rPr>
                <w:rFonts w:ascii="Arial" w:cs="Arial" w:eastAsia="Arial" w:hAnsi="Arial"/>
                <w:b/>
                <w:bCs/>
                <w:i w:val="false"/>
                <w:iCs w:val="false"/>
                <w:color w:val="FFFFFF"/>
                <w:sz w:val="20"/>
                <w:szCs w:val="20"/>
              </w:rPr>
              <w:t xml:space="preserve">Who is Insured</w:t>
            </w:r>
          </w:p>
        </w:tc>
        <w:tc>
          <w:tcPr>
            <w:tcW w:type="dxa" w:w="58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spacing w:before="60" w:after="60"/>
              <w:jc w:val="left"/>
            </w:pPr>
            <w:r>
              <w:rPr>
                <w:rFonts w:ascii="Arial" w:cs="Arial" w:eastAsia="Arial" w:hAnsi="Arial"/>
                <w:b w:val="false"/>
                <w:bCs w:val="false"/>
                <w:i w:val="false"/>
                <w:iCs w:val="false"/>
                <w:color w:val="111827"/>
                <w:sz w:val="20"/>
                <w:szCs w:val="20"/>
              </w:rPr>
              <w:t xml:space="preserve">Tax Deduction Limit</w:t>
            </w:r>
          </w:p>
        </w:tc>
      </w:tr>
      <w:tr>
        <w:tc>
          <w:tcPr>
            <w:tcW w:type="dxa" w:w="3500"/>
            <w:tcBorders>
              <w:top w:val="single" w:color="AACCEE" w:sz="1"/>
              <w:left w:val="single" w:color="AACCEE" w:sz="1"/>
              <w:bottom w:val="single" w:color="AACCEE" w:sz="1"/>
              <w:right w:val="single" w:color="AACCEE" w:sz="1"/>
            </w:tcBorders>
            <w:shd w:fill="DBEAFE" w:val="clear"/>
            <w:tcMar>
              <w:top w:type="dxa" w:w="100"/>
              <w:left w:type="dxa" w:w="140"/>
              <w:bottom w:type="dxa" w:w="100"/>
              <w:right w:type="dxa" w:w="140"/>
            </w:tcMar>
            <w:vAlign w:val="center"/>
          </w:tcPr>
          <w:p>
            <w:pPr>
              <w:spacing w:before="60" w:after="60"/>
              <w:jc w:val="left"/>
            </w:pPr>
            <w:r>
              <w:rPr>
                <w:rFonts w:ascii="Arial" w:cs="Arial" w:eastAsia="Arial" w:hAnsi="Arial"/>
                <w:b/>
                <w:bCs/>
                <w:i w:val="false"/>
                <w:iCs w:val="false"/>
                <w:color w:val="1B3A6B"/>
                <w:sz w:val="20"/>
                <w:szCs w:val="20"/>
              </w:rPr>
              <w:t xml:space="preserve">Self + Family (below 60)</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60" w:after="60"/>
              <w:jc w:val="left"/>
            </w:pPr>
            <w:r>
              <w:rPr>
                <w:rFonts w:ascii="Arial" w:cs="Arial" w:eastAsia="Arial" w:hAnsi="Arial"/>
                <w:b w:val="false"/>
                <w:bCs w:val="false"/>
                <w:i w:val="false"/>
                <w:iCs w:val="false"/>
                <w:color w:val="111827"/>
                <w:sz w:val="20"/>
                <w:szCs w:val="20"/>
              </w:rPr>
              <w:t xml:space="preserve">Up to ₹25,000/year</w:t>
            </w:r>
          </w:p>
        </w:tc>
      </w:tr>
      <w:tr>
        <w:tc>
          <w:tcPr>
            <w:tcW w:type="dxa" w:w="3500"/>
            <w:tcBorders>
              <w:top w:val="single" w:color="AACCEE" w:sz="1"/>
              <w:left w:val="single" w:color="AACCEE" w:sz="1"/>
              <w:bottom w:val="single" w:color="AACCEE" w:sz="1"/>
              <w:right w:val="single" w:color="AACCEE" w:sz="1"/>
            </w:tcBorders>
            <w:shd w:fill="DBEAFE" w:val="clear"/>
            <w:tcMar>
              <w:top w:type="dxa" w:w="100"/>
              <w:left w:type="dxa" w:w="140"/>
              <w:bottom w:type="dxa" w:w="100"/>
              <w:right w:type="dxa" w:w="140"/>
            </w:tcMar>
            <w:vAlign w:val="center"/>
          </w:tcPr>
          <w:p>
            <w:pPr>
              <w:spacing w:before="60" w:after="60"/>
              <w:jc w:val="left"/>
            </w:pPr>
            <w:r>
              <w:rPr>
                <w:rFonts w:ascii="Arial" w:cs="Arial" w:eastAsia="Arial" w:hAnsi="Arial"/>
                <w:b/>
                <w:bCs/>
                <w:i w:val="false"/>
                <w:iCs w:val="false"/>
                <w:color w:val="1B3A6B"/>
                <w:sz w:val="20"/>
                <w:szCs w:val="20"/>
              </w:rPr>
              <w:t xml:space="preserve">Self + Family + Parents (below 60)</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60" w:after="60"/>
              <w:jc w:val="left"/>
            </w:pPr>
            <w:r>
              <w:rPr>
                <w:rFonts w:ascii="Arial" w:cs="Arial" w:eastAsia="Arial" w:hAnsi="Arial"/>
                <w:b w:val="false"/>
                <w:bCs w:val="false"/>
                <w:i w:val="false"/>
                <w:iCs w:val="false"/>
                <w:color w:val="111827"/>
                <w:sz w:val="20"/>
                <w:szCs w:val="20"/>
              </w:rPr>
              <w:t xml:space="preserve">Up to ₹50,000/year (₹25K+₹25K)</w:t>
            </w:r>
          </w:p>
        </w:tc>
      </w:tr>
      <w:tr>
        <w:tc>
          <w:tcPr>
            <w:tcW w:type="dxa" w:w="3500"/>
            <w:tcBorders>
              <w:top w:val="single" w:color="AACCEE" w:sz="1"/>
              <w:left w:val="single" w:color="AACCEE" w:sz="1"/>
              <w:bottom w:val="single" w:color="AACCEE" w:sz="1"/>
              <w:right w:val="single" w:color="AACCEE" w:sz="1"/>
            </w:tcBorders>
            <w:shd w:fill="DBEAFE" w:val="clear"/>
            <w:tcMar>
              <w:top w:type="dxa" w:w="100"/>
              <w:left w:type="dxa" w:w="140"/>
              <w:bottom w:type="dxa" w:w="100"/>
              <w:right w:type="dxa" w:w="140"/>
            </w:tcMar>
            <w:vAlign w:val="center"/>
          </w:tcPr>
          <w:p>
            <w:pPr>
              <w:spacing w:before="60" w:after="60"/>
              <w:jc w:val="left"/>
            </w:pPr>
            <w:r>
              <w:rPr>
                <w:rFonts w:ascii="Arial" w:cs="Arial" w:eastAsia="Arial" w:hAnsi="Arial"/>
                <w:b/>
                <w:bCs/>
                <w:i w:val="false"/>
                <w:iCs w:val="false"/>
                <w:color w:val="1B3A6B"/>
                <w:sz w:val="20"/>
                <w:szCs w:val="20"/>
              </w:rPr>
              <w:t xml:space="preserve">Self + Family (below 60) + Senior Parents</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60" w:after="60"/>
              <w:jc w:val="left"/>
            </w:pPr>
            <w:r>
              <w:rPr>
                <w:rFonts w:ascii="Arial" w:cs="Arial" w:eastAsia="Arial" w:hAnsi="Arial"/>
                <w:b w:val="false"/>
                <w:bCs w:val="false"/>
                <w:i w:val="false"/>
                <w:iCs w:val="false"/>
                <w:color w:val="111827"/>
                <w:sz w:val="20"/>
                <w:szCs w:val="20"/>
              </w:rPr>
              <w:t xml:space="preserve">Up to ₹75,000/year (₹25K+₹50K)</w:t>
            </w:r>
          </w:p>
        </w:tc>
      </w:tr>
      <w:tr>
        <w:tc>
          <w:tcPr>
            <w:tcW w:type="dxa" w:w="3500"/>
            <w:tcBorders>
              <w:top w:val="single" w:color="AACCEE" w:sz="1"/>
              <w:left w:val="single" w:color="AACCEE" w:sz="1"/>
              <w:bottom w:val="single" w:color="AACCEE" w:sz="1"/>
              <w:right w:val="single" w:color="AACCEE" w:sz="1"/>
            </w:tcBorders>
            <w:shd w:fill="DBEAFE" w:val="clear"/>
            <w:tcMar>
              <w:top w:type="dxa" w:w="100"/>
              <w:left w:type="dxa" w:w="140"/>
              <w:bottom w:type="dxa" w:w="100"/>
              <w:right w:type="dxa" w:w="140"/>
            </w:tcMar>
            <w:vAlign w:val="center"/>
          </w:tcPr>
          <w:p>
            <w:pPr>
              <w:spacing w:before="60" w:after="60"/>
              <w:jc w:val="left"/>
            </w:pPr>
            <w:r>
              <w:rPr>
                <w:rFonts w:ascii="Arial" w:cs="Arial" w:eastAsia="Arial" w:hAnsi="Arial"/>
                <w:b/>
                <w:bCs/>
                <w:i w:val="false"/>
                <w:iCs w:val="false"/>
                <w:color w:val="1B3A6B"/>
                <w:sz w:val="20"/>
                <w:szCs w:val="20"/>
              </w:rPr>
              <w:t xml:space="preserve">Self (senior citizen)</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60" w:after="60"/>
              <w:jc w:val="left"/>
            </w:pPr>
            <w:r>
              <w:rPr>
                <w:rFonts w:ascii="Arial" w:cs="Arial" w:eastAsia="Arial" w:hAnsi="Arial"/>
                <w:b w:val="false"/>
                <w:bCs w:val="false"/>
                <w:i w:val="false"/>
                <w:iCs w:val="false"/>
                <w:color w:val="111827"/>
                <w:sz w:val="20"/>
                <w:szCs w:val="20"/>
              </w:rPr>
              <w:t xml:space="preserve">Up to ₹50,000/year</w:t>
            </w:r>
          </w:p>
        </w:tc>
      </w:tr>
      <w:tr>
        <w:tc>
          <w:tcPr>
            <w:tcW w:type="dxa" w:w="3500"/>
            <w:tcBorders>
              <w:top w:val="single" w:color="AACCEE" w:sz="1"/>
              <w:left w:val="single" w:color="AACCEE" w:sz="1"/>
              <w:bottom w:val="single" w:color="AACCEE" w:sz="1"/>
              <w:right w:val="single" w:color="AACCEE" w:sz="1"/>
            </w:tcBorders>
            <w:shd w:fill="DBEAFE" w:val="clear"/>
            <w:tcMar>
              <w:top w:type="dxa" w:w="100"/>
              <w:left w:type="dxa" w:w="140"/>
              <w:bottom w:type="dxa" w:w="100"/>
              <w:right w:type="dxa" w:w="140"/>
            </w:tcMar>
            <w:vAlign w:val="center"/>
          </w:tcPr>
          <w:p>
            <w:pPr>
              <w:spacing w:before="60" w:after="60"/>
              <w:jc w:val="left"/>
            </w:pPr>
            <w:r>
              <w:rPr>
                <w:rFonts w:ascii="Arial" w:cs="Arial" w:eastAsia="Arial" w:hAnsi="Arial"/>
                <w:b/>
                <w:bCs/>
                <w:i w:val="false"/>
                <w:iCs w:val="false"/>
                <w:color w:val="1B3A6B"/>
                <w:sz w:val="20"/>
                <w:szCs w:val="20"/>
              </w:rPr>
              <w:t xml:space="preserve">Preventive health check-up</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60" w:after="60"/>
              <w:jc w:val="left"/>
            </w:pPr>
            <w:r>
              <w:rPr>
                <w:rFonts w:ascii="Arial" w:cs="Arial" w:eastAsia="Arial" w:hAnsi="Arial"/>
                <w:b w:val="false"/>
                <w:bCs w:val="false"/>
                <w:i w:val="false"/>
                <w:iCs w:val="false"/>
                <w:color w:val="111827"/>
                <w:sz w:val="20"/>
                <w:szCs w:val="20"/>
              </w:rPr>
              <w:t xml:space="preserve">Up to ₹5,000 (within above limits)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1"/>
              <w:bottom w:val="single" w:color="7C3AED" w:sz="1"/>
              <w:right w:val="single" w:color="7C3AED" w:sz="1"/>
            </w:tcBorders>
            <w:shd w:fill="7C3AED" w:val="clear"/>
            <w:tcMar>
              <w:top w:type="dxa" w:w="100"/>
              <w:left w:type="dxa" w:w="140"/>
              <w:bottom w:type="dxa" w:w="100"/>
              <w:right w:type="dxa" w:w="140"/>
            </w:tcMar>
            <w:vAlign w:val="center"/>
          </w:tcPr>
          <w:p>
            <w:pPr>
              <w:spacing w:before="60" w:after="60"/>
              <w:jc w:val="center"/>
            </w:pPr>
            <w:r>
              <w:rPr>
                <w:rFonts w:ascii="Arial" w:cs="Arial" w:eastAsia="Arial" w:hAnsi="Arial"/>
                <w:b/>
                <w:bCs/>
                <w:i w:val="false"/>
                <w:iCs w:val="false"/>
                <w:color w:val="FFFFFF"/>
                <w:sz w:val="30"/>
                <w:szCs w:val="30"/>
              </w:rPr>
              <w:t xml:space="preserve">SECTION 2 — LIFE / TERM INSURANCE 👪</w:t>
            </w:r>
          </w:p>
        </w:tc>
      </w:tr>
    </w:tbl>
    <w:p>
      <w:pPr>
        <w:spacing w:before="0" w:after="0"/>
      </w:pPr>
      <w:r>
        <w:rPr>
          <w:rFonts w:ascii="Arial" w:cs="Arial" w:eastAsia="Arial" w:hAnsi="Arial"/>
          <w:b w:val="false"/>
          <w:bCs w:val="false"/>
          <w:i w:val="false"/>
          <w:iCs w:val="false"/>
          <w:color w:val="111827"/>
          <w:sz w:val="22"/>
          <w:szCs w:val="22"/>
        </w:rPr>
        <w:t xml:space="preserve"/>
      </w:r>
    </w:p>
    <w:p>
      <w:pPr>
        <w:pStyle w:val="Heading1"/>
        <w:pBdr>
          <w:bottom w:val="single" w:color="7C3AED" w:sz="8" w:space="2"/>
        </w:pBdr>
        <w:spacing w:before="320" w:after="160"/>
      </w:pPr>
      <w:r>
        <w:rPr>
          <w:rFonts w:ascii="Arial" w:cs="Arial" w:eastAsia="Arial" w:hAnsi="Arial"/>
          <w:b/>
          <w:bCs/>
          <w:color w:val="7C3AED"/>
          <w:sz w:val="36"/>
          <w:szCs w:val="36"/>
        </w:rPr>
        <w:t xml:space="preserve">2. Life and Term Insurance in India</w:t>
      </w:r>
    </w:p>
    <w:p>
      <w:pPr>
        <w:spacing w:before="60" w:after="100"/>
        <w:jc w:val="left"/>
      </w:pPr>
      <w:r>
        <w:rPr>
          <w:rFonts w:ascii="Arial" w:cs="Arial" w:eastAsia="Arial" w:hAnsi="Arial"/>
          <w:b w:val="false"/>
          <w:bCs w:val="false"/>
          <w:i w:val="false"/>
          <w:iCs w:val="false"/>
          <w:color w:val="111827"/>
          <w:sz w:val="21"/>
          <w:szCs w:val="21"/>
        </w:rPr>
        <w:t xml:space="preserve">Life insurance provides a financial safety net for your family in the event of your untimely death. Term insurance is the purest and most affordable form — it pays a death benefit only, with no maturity/investment component.</w:t>
      </w:r>
    </w:p>
    <w:p>
      <w:pPr>
        <w:pStyle w:val="Heading2"/>
        <w:spacing w:before="240" w:after="120"/>
      </w:pPr>
      <w:r>
        <w:rPr>
          <w:rFonts w:ascii="Arial" w:cs="Arial" w:eastAsia="Arial" w:hAnsi="Arial"/>
          <w:b/>
          <w:bCs/>
          <w:color w:val="2563EB"/>
          <w:sz w:val="28"/>
          <w:szCs w:val="28"/>
        </w:rPr>
        <w:t xml:space="preserve">2.1  Types of Life Insurance</w:t>
      </w:r>
    </w:p>
    <w:p>
      <w:pPr>
        <w:pStyle w:val="ListParagraph"/>
        <w:numPr>
          <w:ilvl w:val="0"/>
          <w:numId w:val="2"/>
        </w:numPr>
        <w:spacing w:before="40" w:after="40"/>
      </w:pPr>
      <w:r>
        <w:rPr>
          <w:rFonts w:ascii="Arial" w:cs="Arial" w:eastAsia="Arial" w:hAnsi="Arial"/>
          <w:b/>
          <w:bCs/>
          <w:i w:val="false"/>
          <w:iCs w:val="false"/>
          <w:color w:val="111827"/>
          <w:sz w:val="21"/>
          <w:szCs w:val="21"/>
        </w:rPr>
        <w:t xml:space="preserve">Term Life Insurance — Pure protection, highest coverage at lowest cost</w:t>
      </w:r>
    </w:p>
    <w:p>
      <w:pPr>
        <w:pStyle w:val="ListParagraph"/>
        <w:numPr>
          <w:ilvl w:val="0"/>
          <w:numId w:val="3"/>
        </w:numPr>
        <w:spacing w:before="30" w:after="30"/>
      </w:pPr>
      <w:r>
        <w:rPr>
          <w:rFonts w:ascii="Arial" w:cs="Arial" w:eastAsia="Arial" w:hAnsi="Arial"/>
          <w:b w:val="false"/>
          <w:bCs w:val="false"/>
          <w:i w:val="false"/>
          <w:iCs w:val="false"/>
          <w:color w:val="6B7280"/>
          <w:sz w:val="20"/>
          <w:szCs w:val="20"/>
        </w:rPr>
        <w:t xml:space="preserve">No survival benefit (pure risk cover)</w:t>
      </w:r>
    </w:p>
    <w:p>
      <w:pPr>
        <w:pStyle w:val="ListParagraph"/>
        <w:numPr>
          <w:ilvl w:val="0"/>
          <w:numId w:val="3"/>
        </w:numPr>
        <w:spacing w:before="30" w:after="30"/>
      </w:pPr>
      <w:r>
        <w:rPr>
          <w:rFonts w:ascii="Arial" w:cs="Arial" w:eastAsia="Arial" w:hAnsi="Arial"/>
          <w:b w:val="false"/>
          <w:bCs w:val="false"/>
          <w:i w:val="false"/>
          <w:iCs w:val="false"/>
          <w:color w:val="6B7280"/>
          <w:sz w:val="20"/>
          <w:szCs w:val="20"/>
        </w:rPr>
        <w:t xml:space="preserve">₹1 Crore cover available from ₹700–₹1,000/month for 30-year-old</w:t>
      </w:r>
    </w:p>
    <w:p>
      <w:pPr>
        <w:pStyle w:val="ListParagraph"/>
        <w:numPr>
          <w:ilvl w:val="0"/>
          <w:numId w:val="3"/>
        </w:numPr>
        <w:spacing w:before="30" w:after="30"/>
      </w:pPr>
      <w:r>
        <w:rPr>
          <w:rFonts w:ascii="Arial" w:cs="Arial" w:eastAsia="Arial" w:hAnsi="Arial"/>
          <w:b w:val="false"/>
          <w:bCs w:val="false"/>
          <w:i w:val="false"/>
          <w:iCs w:val="false"/>
          <w:color w:val="6B7280"/>
          <w:sz w:val="20"/>
          <w:szCs w:val="20"/>
        </w:rPr>
        <w:t xml:space="preserve">Policy period: 10–40 years</w:t>
      </w:r>
    </w:p>
    <w:p>
      <w:pPr>
        <w:pStyle w:val="ListParagraph"/>
        <w:numPr>
          <w:ilvl w:val="0"/>
          <w:numId w:val="2"/>
        </w:numPr>
        <w:spacing w:before="40" w:after="40"/>
      </w:pPr>
      <w:r>
        <w:rPr>
          <w:rFonts w:ascii="Arial" w:cs="Arial" w:eastAsia="Arial" w:hAnsi="Arial"/>
          <w:b/>
          <w:bCs/>
          <w:i w:val="false"/>
          <w:iCs w:val="false"/>
          <w:color w:val="111827"/>
          <w:sz w:val="21"/>
          <w:szCs w:val="21"/>
        </w:rPr>
        <w:t xml:space="preserve">Whole Life Insurance — Coverage for entire lifetime (up to 99/100 years)</w:t>
      </w:r>
    </w:p>
    <w:p>
      <w:pPr>
        <w:pStyle w:val="ListParagraph"/>
        <w:numPr>
          <w:ilvl w:val="0"/>
          <w:numId w:val="3"/>
        </w:numPr>
        <w:spacing w:before="30" w:after="30"/>
      </w:pPr>
      <w:r>
        <w:rPr>
          <w:rFonts w:ascii="Arial" w:cs="Arial" w:eastAsia="Arial" w:hAnsi="Arial"/>
          <w:b w:val="false"/>
          <w:bCs w:val="false"/>
          <w:i w:val="false"/>
          <w:iCs w:val="false"/>
          <w:color w:val="6B7280"/>
          <w:sz w:val="20"/>
          <w:szCs w:val="20"/>
        </w:rPr>
        <w:t xml:space="preserve">Combines protection + savings element</w:t>
      </w:r>
    </w:p>
    <w:p>
      <w:pPr>
        <w:pStyle w:val="ListParagraph"/>
        <w:numPr>
          <w:ilvl w:val="0"/>
          <w:numId w:val="3"/>
        </w:numPr>
        <w:spacing w:before="30" w:after="30"/>
      </w:pPr>
      <w:r>
        <w:rPr>
          <w:rFonts w:ascii="Arial" w:cs="Arial" w:eastAsia="Arial" w:hAnsi="Arial"/>
          <w:b w:val="false"/>
          <w:bCs w:val="false"/>
          <w:i w:val="false"/>
          <w:iCs w:val="false"/>
          <w:color w:val="6B7280"/>
          <w:sz w:val="20"/>
          <w:szCs w:val="20"/>
        </w:rPr>
        <w:t xml:space="preserve">Premium paid for limited years but covered for life</w:t>
      </w:r>
    </w:p>
    <w:p>
      <w:pPr>
        <w:pStyle w:val="ListParagraph"/>
        <w:numPr>
          <w:ilvl w:val="0"/>
          <w:numId w:val="2"/>
        </w:numPr>
        <w:spacing w:before="40" w:after="40"/>
      </w:pPr>
      <w:r>
        <w:rPr>
          <w:rFonts w:ascii="Arial" w:cs="Arial" w:eastAsia="Arial" w:hAnsi="Arial"/>
          <w:b/>
          <w:bCs/>
          <w:i w:val="false"/>
          <w:iCs w:val="false"/>
          <w:color w:val="111827"/>
          <w:sz w:val="21"/>
          <w:szCs w:val="21"/>
        </w:rPr>
        <w:t xml:space="preserve">Endowment Plan — Maturity benefit if you survive the policy term</w:t>
      </w:r>
    </w:p>
    <w:p>
      <w:pPr>
        <w:pStyle w:val="ListParagraph"/>
        <w:numPr>
          <w:ilvl w:val="0"/>
          <w:numId w:val="3"/>
        </w:numPr>
        <w:spacing w:before="30" w:after="30"/>
      </w:pPr>
      <w:r>
        <w:rPr>
          <w:rFonts w:ascii="Arial" w:cs="Arial" w:eastAsia="Arial" w:hAnsi="Arial"/>
          <w:b w:val="false"/>
          <w:bCs w:val="false"/>
          <w:i w:val="false"/>
          <w:iCs w:val="false"/>
          <w:color w:val="6B7280"/>
          <w:sz w:val="20"/>
          <w:szCs w:val="20"/>
        </w:rPr>
        <w:t xml:space="preserve">Lower cover than term for same premium</w:t>
      </w:r>
    </w:p>
    <w:p>
      <w:pPr>
        <w:pStyle w:val="ListParagraph"/>
        <w:numPr>
          <w:ilvl w:val="0"/>
          <w:numId w:val="3"/>
        </w:numPr>
        <w:spacing w:before="30" w:after="30"/>
      </w:pPr>
      <w:r>
        <w:rPr>
          <w:rFonts w:ascii="Arial" w:cs="Arial" w:eastAsia="Arial" w:hAnsi="Arial"/>
          <w:b w:val="false"/>
          <w:bCs w:val="false"/>
          <w:i w:val="false"/>
          <w:iCs w:val="false"/>
          <w:color w:val="6B7280"/>
          <w:sz w:val="20"/>
          <w:szCs w:val="20"/>
        </w:rPr>
        <w:t xml:space="preserve">Returns 3–5% typically (below inflation)</w:t>
      </w:r>
    </w:p>
    <w:p>
      <w:pPr>
        <w:pStyle w:val="ListParagraph"/>
        <w:numPr>
          <w:ilvl w:val="0"/>
          <w:numId w:val="2"/>
        </w:numPr>
        <w:spacing w:before="40" w:after="40"/>
      </w:pPr>
      <w:r>
        <w:rPr>
          <w:rFonts w:ascii="Arial" w:cs="Arial" w:eastAsia="Arial" w:hAnsi="Arial"/>
          <w:b/>
          <w:bCs/>
          <w:i w:val="false"/>
          <w:iCs w:val="false"/>
          <w:color w:val="111827"/>
          <w:sz w:val="21"/>
          <w:szCs w:val="21"/>
        </w:rPr>
        <w:t xml:space="preserve">ULIP (Unit Linked Insurance Plan) — Insurance + market investment</w:t>
      </w:r>
    </w:p>
    <w:p>
      <w:pPr>
        <w:pStyle w:val="ListParagraph"/>
        <w:numPr>
          <w:ilvl w:val="0"/>
          <w:numId w:val="3"/>
        </w:numPr>
        <w:spacing w:before="30" w:after="30"/>
      </w:pPr>
      <w:r>
        <w:rPr>
          <w:rFonts w:ascii="Arial" w:cs="Arial" w:eastAsia="Arial" w:hAnsi="Arial"/>
          <w:b w:val="false"/>
          <w:bCs w:val="false"/>
          <w:i w:val="false"/>
          <w:iCs w:val="false"/>
          <w:color w:val="6B7280"/>
          <w:sz w:val="20"/>
          <w:szCs w:val="20"/>
        </w:rPr>
        <w:t xml:space="preserve">Part of premium goes to equity/debt market funds</w:t>
      </w:r>
    </w:p>
    <w:p>
      <w:pPr>
        <w:pStyle w:val="ListParagraph"/>
        <w:numPr>
          <w:ilvl w:val="0"/>
          <w:numId w:val="3"/>
        </w:numPr>
        <w:spacing w:before="30" w:after="30"/>
      </w:pPr>
      <w:r>
        <w:rPr>
          <w:rFonts w:ascii="Arial" w:cs="Arial" w:eastAsia="Arial" w:hAnsi="Arial"/>
          <w:b w:val="false"/>
          <w:bCs w:val="false"/>
          <w:i w:val="false"/>
          <w:iCs w:val="false"/>
          <w:color w:val="6B7280"/>
          <w:sz w:val="20"/>
          <w:szCs w:val="20"/>
        </w:rPr>
        <w:t xml:space="preserve">5-year lock-in period</w:t>
      </w:r>
    </w:p>
    <w:p>
      <w:pPr>
        <w:pStyle w:val="ListParagraph"/>
        <w:numPr>
          <w:ilvl w:val="0"/>
          <w:numId w:val="3"/>
        </w:numPr>
        <w:spacing w:before="30" w:after="30"/>
      </w:pPr>
      <w:r>
        <w:rPr>
          <w:rFonts w:ascii="Arial" w:cs="Arial" w:eastAsia="Arial" w:hAnsi="Arial"/>
          <w:b w:val="false"/>
          <w:bCs w:val="false"/>
          <w:i w:val="false"/>
          <w:iCs w:val="false"/>
          <w:color w:val="6B7280"/>
          <w:sz w:val="20"/>
          <w:szCs w:val="20"/>
        </w:rPr>
        <w:t xml:space="preserve">Returns vary with market performance</w:t>
      </w:r>
    </w:p>
    <w:p>
      <w:pPr>
        <w:pStyle w:val="ListParagraph"/>
        <w:numPr>
          <w:ilvl w:val="0"/>
          <w:numId w:val="2"/>
        </w:numPr>
        <w:spacing w:before="40" w:after="40"/>
      </w:pPr>
      <w:r>
        <w:rPr>
          <w:rFonts w:ascii="Arial" w:cs="Arial" w:eastAsia="Arial" w:hAnsi="Arial"/>
          <w:b/>
          <w:bCs/>
          <w:i w:val="false"/>
          <w:iCs w:val="false"/>
          <w:color w:val="111827"/>
          <w:sz w:val="21"/>
          <w:szCs w:val="21"/>
        </w:rPr>
        <w:t xml:space="preserve">Money Back Plan — Periodic payouts during policy term</w:t>
      </w:r>
    </w:p>
    <w:p>
      <w:pPr>
        <w:pStyle w:val="ListParagraph"/>
        <w:numPr>
          <w:ilvl w:val="0"/>
          <w:numId w:val="3"/>
        </w:numPr>
        <w:spacing w:before="30" w:after="30"/>
      </w:pPr>
      <w:r>
        <w:rPr>
          <w:rFonts w:ascii="Arial" w:cs="Arial" w:eastAsia="Arial" w:hAnsi="Arial"/>
          <w:b w:val="false"/>
          <w:bCs w:val="false"/>
          <w:i w:val="false"/>
          <w:iCs w:val="false"/>
          <w:color w:val="6B7280"/>
          <w:sz w:val="20"/>
          <w:szCs w:val="20"/>
        </w:rPr>
        <w:t xml:space="preserve">20–25% of sum assured paid at regular intervals</w:t>
      </w:r>
    </w:p>
    <w:p>
      <w:pPr>
        <w:pStyle w:val="ListParagraph"/>
        <w:numPr>
          <w:ilvl w:val="0"/>
          <w:numId w:val="3"/>
        </w:numPr>
        <w:spacing w:before="30" w:after="30"/>
      </w:pPr>
      <w:r>
        <w:rPr>
          <w:rFonts w:ascii="Arial" w:cs="Arial" w:eastAsia="Arial" w:hAnsi="Arial"/>
          <w:b w:val="false"/>
          <w:bCs w:val="false"/>
          <w:i w:val="false"/>
          <w:iCs w:val="false"/>
          <w:color w:val="6B7280"/>
          <w:sz w:val="20"/>
          <w:szCs w:val="20"/>
        </w:rPr>
        <w:t xml:space="preserve">Balance paid on maturity</w:t>
      </w:r>
    </w:p>
    <w:p>
      <w:pPr>
        <w:spacing w:before="0" w:after="0"/>
      </w:pPr>
      <w:r>
        <w:rPr>
          <w:rFonts w:ascii="Arial" w:cs="Arial" w:eastAsia="Arial" w:hAnsi="Arial"/>
          <w:b w:val="false"/>
          <w:bCs w:val="false"/>
          <w:i w:val="false"/>
          <w:iCs w:val="false"/>
          <w:color w:val="111827"/>
          <w:sz w:val="22"/>
          <w:szCs w:val="22"/>
        </w:rPr>
        <w:t xml:space="preserve"/>
      </w:r>
    </w:p>
    <w:p>
      <w:pPr>
        <w:pStyle w:val="Heading2"/>
        <w:spacing w:before="240" w:after="120"/>
      </w:pPr>
      <w:r>
        <w:rPr>
          <w:rFonts w:ascii="Arial" w:cs="Arial" w:eastAsia="Arial" w:hAnsi="Arial"/>
          <w:b/>
          <w:bCs/>
          <w:color w:val="2563EB"/>
          <w:sz w:val="28"/>
          <w:szCs w:val="28"/>
        </w:rPr>
        <w:t xml:space="preserve">2.2  Top Term Insurance Plans — Comparison</w:t>
      </w:r>
    </w:p>
    <w:p>
      <w:pPr>
        <w:spacing w:before="0" w:after="0"/>
      </w:pPr>
      <w:r>
        <w:rPr>
          <w:rFonts w:ascii="Arial" w:cs="Arial" w:eastAsia="Arial" w:hAnsi="Arial"/>
          <w:b w:val="false"/>
          <w:bCs w:val="false"/>
          <w:i w:val="false"/>
          <w:iCs w:val="false"/>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spacing w:before="60" w:after="60"/>
              <w:jc w:val="center"/>
            </w:pPr>
            <w:r>
              <w:rPr>
                <w:rFonts w:ascii="Arial" w:cs="Arial" w:eastAsia="Arial" w:hAnsi="Arial"/>
                <w:b/>
                <w:bCs/>
                <w:i w:val="false"/>
                <w:iCs w:val="false"/>
                <w:color w:val="FFFFFF"/>
                <w:sz w:val="20"/>
                <w:szCs w:val="20"/>
              </w:rPr>
              <w:t xml:space="preserve">LIC
e-Term</w:t>
            </w:r>
          </w:p>
        </w:tc>
        <w:tc>
          <w:tcPr>
            <w:tcW w:type="dxa" w:w="312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spacing w:before="60" w:after="60"/>
              <w:jc w:val="center"/>
            </w:pPr>
            <w:r>
              <w:rPr>
                <w:rFonts w:ascii="Arial" w:cs="Arial" w:eastAsia="Arial" w:hAnsi="Arial"/>
                <w:b/>
                <w:bCs/>
                <w:i w:val="false"/>
                <w:iCs w:val="false"/>
                <w:color w:val="FFFFFF"/>
                <w:sz w:val="20"/>
                <w:szCs w:val="20"/>
              </w:rPr>
              <w:t xml:space="preserve">HDFC Life
Click2Protect</w:t>
            </w:r>
          </w:p>
        </w:tc>
        <w:tc>
          <w:tcPr>
            <w:tcW w:type="dxa" w:w="312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spacing w:before="60" w:after="60"/>
              <w:jc w:val="center"/>
            </w:pPr>
            <w:r>
              <w:rPr>
                <w:rFonts w:ascii="Arial" w:cs="Arial" w:eastAsia="Arial" w:hAnsi="Arial"/>
                <w:b/>
                <w:bCs/>
                <w:i w:val="false"/>
                <w:iCs w:val="false"/>
                <w:color w:val="FFFFFF"/>
                <w:sz w:val="20"/>
                <w:szCs w:val="20"/>
              </w:rPr>
              <w:t xml:space="preserve">ICICI Prulife
iProtect Smart</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60" w:after="30"/>
              <w:jc w:val="left"/>
            </w:pPr>
            <w:r>
              <w:rPr>
                <w:rFonts w:ascii="Arial" w:cs="Arial" w:eastAsia="Arial" w:hAnsi="Arial"/>
                <w:b/>
                <w:bCs/>
                <w:i w:val="false"/>
                <w:iCs w:val="false"/>
                <w:color w:val="1B3A6B"/>
                <w:sz w:val="18"/>
                <w:szCs w:val="18"/>
              </w:rPr>
              <w:t xml:space="preserve">Monthly Premium</w:t>
            </w:r>
          </w:p>
          <w:p>
            <w:pPr>
              <w:spacing w:before="60" w:after="60"/>
              <w:jc w:val="left"/>
            </w:pPr>
            <w:r>
              <w:rPr>
                <w:rFonts w:ascii="Arial" w:cs="Arial" w:eastAsia="Arial" w:hAnsi="Arial"/>
                <w:b w:val="false"/>
                <w:bCs w:val="false"/>
                <w:i w:val="false"/>
                <w:iCs w:val="false"/>
                <w:color w:val="111827"/>
                <w:sz w:val="20"/>
                <w:szCs w:val="20"/>
              </w:rPr>
              <w:t xml:space="preserve">₹800–₹1,200/month
(₹1Cr cover, 30yr)</w:t>
            </w:r>
          </w:p>
        </w:tc>
        <w:tc>
          <w:tcPr>
            <w:tcW w:type="dxa" w:w="3120"/>
            <w:tcBorders>
              <w:top w:val="single" w:color="DDDDDD" w:sz="1"/>
              <w:left w:val="single" w:color="DDDDDD" w:sz="1"/>
              <w:bottom w:val="single" w:color="DDDDDD" w:sz="1"/>
              <w:right w:val="single" w:color="DDDDDD" w:sz="1"/>
            </w:tcBorders>
            <w:shd w:fill="F3F4F6" w:val="clear"/>
            <w:tcMar>
              <w:top w:type="dxa" w:w="100"/>
              <w:left w:type="dxa" w:w="140"/>
              <w:bottom w:type="dxa" w:w="100"/>
              <w:right w:type="dxa" w:w="140"/>
            </w:tcMar>
            <w:vAlign w:val="center"/>
          </w:tcPr>
          <w:p>
            <w:pPr>
              <w:spacing w:before="60" w:after="30"/>
              <w:jc w:val="left"/>
            </w:pPr>
            <w:r>
              <w:rPr>
                <w:rFonts w:ascii="Arial" w:cs="Arial" w:eastAsia="Arial" w:hAnsi="Arial"/>
                <w:b/>
                <w:bCs/>
                <w:i w:val="false"/>
                <w:iCs w:val="false"/>
                <w:color w:val="1B3A6B"/>
                <w:sz w:val="18"/>
                <w:szCs w:val="18"/>
              </w:rPr>
              <w:t xml:space="preserve">Monthly Premium</w:t>
            </w:r>
          </w:p>
          <w:p>
            <w:pPr>
              <w:spacing w:before="60" w:after="60"/>
              <w:jc w:val="left"/>
            </w:pPr>
            <w:r>
              <w:rPr>
                <w:rFonts w:ascii="Arial" w:cs="Arial" w:eastAsia="Arial" w:hAnsi="Arial"/>
                <w:b w:val="false"/>
                <w:bCs w:val="false"/>
                <w:i w:val="false"/>
                <w:iCs w:val="false"/>
                <w:color w:val="111827"/>
                <w:sz w:val="20"/>
                <w:szCs w:val="20"/>
              </w:rPr>
              <w:t xml:space="preserve">₹700–₹1,100/month
(₹1Cr cover, 30yr)</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60" w:after="30"/>
              <w:jc w:val="left"/>
            </w:pPr>
            <w:r>
              <w:rPr>
                <w:rFonts w:ascii="Arial" w:cs="Arial" w:eastAsia="Arial" w:hAnsi="Arial"/>
                <w:b/>
                <w:bCs/>
                <w:i w:val="false"/>
                <w:iCs w:val="false"/>
                <w:color w:val="1B3A6B"/>
                <w:sz w:val="18"/>
                <w:szCs w:val="18"/>
              </w:rPr>
              <w:t xml:space="preserve">Monthly Premium</w:t>
            </w:r>
          </w:p>
          <w:p>
            <w:pPr>
              <w:spacing w:before="60" w:after="60"/>
              <w:jc w:val="left"/>
            </w:pPr>
            <w:r>
              <w:rPr>
                <w:rFonts w:ascii="Arial" w:cs="Arial" w:eastAsia="Arial" w:hAnsi="Arial"/>
                <w:b w:val="false"/>
                <w:bCs w:val="false"/>
                <w:i w:val="false"/>
                <w:iCs w:val="false"/>
                <w:color w:val="111827"/>
                <w:sz w:val="20"/>
                <w:szCs w:val="20"/>
              </w:rPr>
              <w:t xml:space="preserve">₹650–₹1,050/month
(₹1Cr cover, 30yr)</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60" w:after="30"/>
              <w:jc w:val="left"/>
            </w:pPr>
            <w:r>
              <w:rPr>
                <w:rFonts w:ascii="Arial" w:cs="Arial" w:eastAsia="Arial" w:hAnsi="Arial"/>
                <w:b/>
                <w:bCs/>
                <w:i w:val="false"/>
                <w:iCs w:val="false"/>
                <w:color w:val="1B3A6B"/>
                <w:sz w:val="18"/>
                <w:szCs w:val="18"/>
              </w:rPr>
              <w:t xml:space="preserve">Sum Insured</w:t>
            </w:r>
          </w:p>
          <w:p>
            <w:pPr>
              <w:spacing w:before="60" w:after="60"/>
              <w:jc w:val="left"/>
            </w:pPr>
            <w:r>
              <w:rPr>
                <w:rFonts w:ascii="Arial" w:cs="Arial" w:eastAsia="Arial" w:hAnsi="Arial"/>
                <w:b w:val="false"/>
                <w:bCs w:val="false"/>
                <w:i w:val="false"/>
                <w:iCs w:val="false"/>
                <w:color w:val="111827"/>
                <w:sz w:val="20"/>
                <w:szCs w:val="20"/>
              </w:rPr>
              <w:t xml:space="preserve">₹25L to ₹10 Crore+</w:t>
            </w:r>
          </w:p>
        </w:tc>
        <w:tc>
          <w:tcPr>
            <w:tcW w:type="dxa" w:w="3120"/>
            <w:tcBorders>
              <w:top w:val="single" w:color="DDDDDD" w:sz="1"/>
              <w:left w:val="single" w:color="DDDDDD" w:sz="1"/>
              <w:bottom w:val="single" w:color="DDDDDD" w:sz="1"/>
              <w:right w:val="single" w:color="DDDDDD" w:sz="1"/>
            </w:tcBorders>
            <w:shd w:fill="F3F4F6" w:val="clear"/>
            <w:tcMar>
              <w:top w:type="dxa" w:w="100"/>
              <w:left w:type="dxa" w:w="140"/>
              <w:bottom w:type="dxa" w:w="100"/>
              <w:right w:type="dxa" w:w="140"/>
            </w:tcMar>
            <w:vAlign w:val="center"/>
          </w:tcPr>
          <w:p>
            <w:pPr>
              <w:spacing w:before="60" w:after="30"/>
              <w:jc w:val="left"/>
            </w:pPr>
            <w:r>
              <w:rPr>
                <w:rFonts w:ascii="Arial" w:cs="Arial" w:eastAsia="Arial" w:hAnsi="Arial"/>
                <w:b/>
                <w:bCs/>
                <w:i w:val="false"/>
                <w:iCs w:val="false"/>
                <w:color w:val="1B3A6B"/>
                <w:sz w:val="18"/>
                <w:szCs w:val="18"/>
              </w:rPr>
              <w:t xml:space="preserve">Sum Insured</w:t>
            </w:r>
          </w:p>
          <w:p>
            <w:pPr>
              <w:spacing w:before="60" w:after="60"/>
              <w:jc w:val="left"/>
            </w:pPr>
            <w:r>
              <w:rPr>
                <w:rFonts w:ascii="Arial" w:cs="Arial" w:eastAsia="Arial" w:hAnsi="Arial"/>
                <w:b w:val="false"/>
                <w:bCs w:val="false"/>
                <w:i w:val="false"/>
                <w:iCs w:val="false"/>
                <w:color w:val="111827"/>
                <w:sz w:val="20"/>
                <w:szCs w:val="20"/>
              </w:rPr>
              <w:t xml:space="preserve">₹50L to ₹10 Crore</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60" w:after="30"/>
              <w:jc w:val="left"/>
            </w:pPr>
            <w:r>
              <w:rPr>
                <w:rFonts w:ascii="Arial" w:cs="Arial" w:eastAsia="Arial" w:hAnsi="Arial"/>
                <w:b/>
                <w:bCs/>
                <w:i w:val="false"/>
                <w:iCs w:val="false"/>
                <w:color w:val="1B3A6B"/>
                <w:sz w:val="18"/>
                <w:szCs w:val="18"/>
              </w:rPr>
              <w:t xml:space="preserve">Sum Insured</w:t>
            </w:r>
          </w:p>
          <w:p>
            <w:pPr>
              <w:spacing w:before="60" w:after="60"/>
              <w:jc w:val="left"/>
            </w:pPr>
            <w:r>
              <w:rPr>
                <w:rFonts w:ascii="Arial" w:cs="Arial" w:eastAsia="Arial" w:hAnsi="Arial"/>
                <w:b w:val="false"/>
                <w:bCs w:val="false"/>
                <w:i w:val="false"/>
                <w:iCs w:val="false"/>
                <w:color w:val="111827"/>
                <w:sz w:val="20"/>
                <w:szCs w:val="20"/>
              </w:rPr>
              <w:t xml:space="preserve">₹50L to unlimited</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60" w:after="30"/>
              <w:jc w:val="left"/>
            </w:pPr>
            <w:r>
              <w:rPr>
                <w:rFonts w:ascii="Arial" w:cs="Arial" w:eastAsia="Arial" w:hAnsi="Arial"/>
                <w:b/>
                <w:bCs/>
                <w:i w:val="false"/>
                <w:iCs w:val="false"/>
                <w:color w:val="1B3A6B"/>
                <w:sz w:val="18"/>
                <w:szCs w:val="18"/>
              </w:rPr>
              <w:t xml:space="preserve">Waiting Period</w:t>
            </w:r>
          </w:p>
          <w:p>
            <w:pPr>
              <w:spacing w:before="60" w:after="60"/>
              <w:jc w:val="left"/>
            </w:pPr>
            <w:r>
              <w:rPr>
                <w:rFonts w:ascii="Arial" w:cs="Arial" w:eastAsia="Arial" w:hAnsi="Arial"/>
                <w:b w:val="false"/>
                <w:bCs w:val="false"/>
                <w:i w:val="false"/>
                <w:iCs w:val="false"/>
                <w:color w:val="111827"/>
                <w:sz w:val="20"/>
                <w:szCs w:val="20"/>
              </w:rPr>
              <w:t xml:space="preserve">90 days (accident
covered from Day 1)</w:t>
            </w:r>
          </w:p>
        </w:tc>
        <w:tc>
          <w:tcPr>
            <w:tcW w:type="dxa" w:w="3120"/>
            <w:tcBorders>
              <w:top w:val="single" w:color="DDDDDD" w:sz="1"/>
              <w:left w:val="single" w:color="DDDDDD" w:sz="1"/>
              <w:bottom w:val="single" w:color="DDDDDD" w:sz="1"/>
              <w:right w:val="single" w:color="DDDDDD" w:sz="1"/>
            </w:tcBorders>
            <w:shd w:fill="F3F4F6" w:val="clear"/>
            <w:tcMar>
              <w:top w:type="dxa" w:w="100"/>
              <w:left w:type="dxa" w:w="140"/>
              <w:bottom w:type="dxa" w:w="100"/>
              <w:right w:type="dxa" w:w="140"/>
            </w:tcMar>
            <w:vAlign w:val="center"/>
          </w:tcPr>
          <w:p>
            <w:pPr>
              <w:spacing w:before="60" w:after="30"/>
              <w:jc w:val="left"/>
            </w:pPr>
            <w:r>
              <w:rPr>
                <w:rFonts w:ascii="Arial" w:cs="Arial" w:eastAsia="Arial" w:hAnsi="Arial"/>
                <w:b/>
                <w:bCs/>
                <w:i w:val="false"/>
                <w:iCs w:val="false"/>
                <w:color w:val="1B3A6B"/>
                <w:sz w:val="18"/>
                <w:szCs w:val="18"/>
              </w:rPr>
              <w:t xml:space="preserve">Waiting Period</w:t>
            </w:r>
          </w:p>
          <w:p>
            <w:pPr>
              <w:spacing w:before="60" w:after="60"/>
              <w:jc w:val="left"/>
            </w:pPr>
            <w:r>
              <w:rPr>
                <w:rFonts w:ascii="Arial" w:cs="Arial" w:eastAsia="Arial" w:hAnsi="Arial"/>
                <w:b w:val="false"/>
                <w:bCs w:val="false"/>
                <w:i w:val="false"/>
                <w:iCs w:val="false"/>
                <w:color w:val="111827"/>
                <w:sz w:val="20"/>
                <w:szCs w:val="20"/>
              </w:rPr>
              <w:t xml:space="preserve">90 days general</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60" w:after="30"/>
              <w:jc w:val="left"/>
            </w:pPr>
            <w:r>
              <w:rPr>
                <w:rFonts w:ascii="Arial" w:cs="Arial" w:eastAsia="Arial" w:hAnsi="Arial"/>
                <w:b/>
                <w:bCs/>
                <w:i w:val="false"/>
                <w:iCs w:val="false"/>
                <w:color w:val="1B3A6B"/>
                <w:sz w:val="18"/>
                <w:szCs w:val="18"/>
              </w:rPr>
              <w:t xml:space="preserve">Waiting Period</w:t>
            </w:r>
          </w:p>
          <w:p>
            <w:pPr>
              <w:spacing w:before="60" w:after="60"/>
              <w:jc w:val="left"/>
            </w:pPr>
            <w:r>
              <w:rPr>
                <w:rFonts w:ascii="Arial" w:cs="Arial" w:eastAsia="Arial" w:hAnsi="Arial"/>
                <w:b w:val="false"/>
                <w:bCs w:val="false"/>
                <w:i w:val="false"/>
                <w:iCs w:val="false"/>
                <w:color w:val="111827"/>
                <w:sz w:val="20"/>
                <w:szCs w:val="20"/>
              </w:rPr>
              <w:t xml:space="preserve">90 days general</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60" w:after="30"/>
              <w:jc w:val="left"/>
            </w:pPr>
            <w:r>
              <w:rPr>
                <w:rFonts w:ascii="Arial" w:cs="Arial" w:eastAsia="Arial" w:hAnsi="Arial"/>
                <w:b/>
                <w:bCs/>
                <w:i w:val="false"/>
                <w:iCs w:val="false"/>
                <w:color w:val="1B3A6B"/>
                <w:sz w:val="18"/>
                <w:szCs w:val="18"/>
              </w:rPr>
              <w:t xml:space="preserve">Network Hospitals</w:t>
            </w:r>
          </w:p>
          <w:p>
            <w:pPr>
              <w:spacing w:before="60" w:after="60"/>
              <w:jc w:val="left"/>
            </w:pPr>
            <w:r>
              <w:rPr>
                <w:rFonts w:ascii="Arial" w:cs="Arial" w:eastAsia="Arial" w:hAnsi="Arial"/>
                <w:b w:val="false"/>
                <w:bCs w:val="false"/>
                <w:i w:val="false"/>
                <w:iCs w:val="false"/>
                <w:color w:val="111827"/>
                <w:sz w:val="20"/>
                <w:szCs w:val="20"/>
              </w:rPr>
              <w:t xml:space="preserve">Largest claim
settlement network</w:t>
            </w:r>
          </w:p>
        </w:tc>
        <w:tc>
          <w:tcPr>
            <w:tcW w:type="dxa" w:w="3120"/>
            <w:tcBorders>
              <w:top w:val="single" w:color="DDDDDD" w:sz="1"/>
              <w:left w:val="single" w:color="DDDDDD" w:sz="1"/>
              <w:bottom w:val="single" w:color="DDDDDD" w:sz="1"/>
              <w:right w:val="single" w:color="DDDDDD" w:sz="1"/>
            </w:tcBorders>
            <w:shd w:fill="F3F4F6" w:val="clear"/>
            <w:tcMar>
              <w:top w:type="dxa" w:w="100"/>
              <w:left w:type="dxa" w:w="140"/>
              <w:bottom w:type="dxa" w:w="100"/>
              <w:right w:type="dxa" w:w="140"/>
            </w:tcMar>
            <w:vAlign w:val="center"/>
          </w:tcPr>
          <w:p>
            <w:pPr>
              <w:spacing w:before="60" w:after="30"/>
              <w:jc w:val="left"/>
            </w:pPr>
            <w:r>
              <w:rPr>
                <w:rFonts w:ascii="Arial" w:cs="Arial" w:eastAsia="Arial" w:hAnsi="Arial"/>
                <w:b/>
                <w:bCs/>
                <w:i w:val="false"/>
                <w:iCs w:val="false"/>
                <w:color w:val="1B3A6B"/>
                <w:sz w:val="18"/>
                <w:szCs w:val="18"/>
              </w:rPr>
              <w:t xml:space="preserve">Network Hospitals</w:t>
            </w:r>
          </w:p>
          <w:p>
            <w:pPr>
              <w:spacing w:before="60" w:after="60"/>
              <w:jc w:val="left"/>
            </w:pPr>
            <w:r>
              <w:rPr>
                <w:rFonts w:ascii="Arial" w:cs="Arial" w:eastAsia="Arial" w:hAnsi="Arial"/>
                <w:b w:val="false"/>
                <w:bCs w:val="false"/>
                <w:i w:val="false"/>
                <w:iCs w:val="false"/>
                <w:color w:val="111827"/>
                <w:sz w:val="20"/>
                <w:szCs w:val="20"/>
              </w:rPr>
              <w:t xml:space="preserve">Online process
Fastest issuance</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60" w:after="30"/>
              <w:jc w:val="left"/>
            </w:pPr>
            <w:r>
              <w:rPr>
                <w:rFonts w:ascii="Arial" w:cs="Arial" w:eastAsia="Arial" w:hAnsi="Arial"/>
                <w:b/>
                <w:bCs/>
                <w:i w:val="false"/>
                <w:iCs w:val="false"/>
                <w:color w:val="1B3A6B"/>
                <w:sz w:val="18"/>
                <w:szCs w:val="18"/>
              </w:rPr>
              <w:t xml:space="preserve">Network Hospitals</w:t>
            </w:r>
          </w:p>
          <w:p>
            <w:pPr>
              <w:spacing w:before="60" w:after="60"/>
              <w:jc w:val="left"/>
            </w:pPr>
            <w:r>
              <w:rPr>
                <w:rFonts w:ascii="Arial" w:cs="Arial" w:eastAsia="Arial" w:hAnsi="Arial"/>
                <w:b w:val="false"/>
                <w:bCs w:val="false"/>
                <w:i w:val="false"/>
                <w:iCs w:val="false"/>
                <w:color w:val="111827"/>
                <w:sz w:val="20"/>
                <w:szCs w:val="20"/>
              </w:rPr>
              <w:t xml:space="preserve">Digital-first
PAN India support</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60" w:after="30"/>
              <w:jc w:val="left"/>
            </w:pPr>
            <w:r>
              <w:rPr>
                <w:rFonts w:ascii="Arial" w:cs="Arial" w:eastAsia="Arial" w:hAnsi="Arial"/>
                <w:b/>
                <w:bCs/>
                <w:i w:val="false"/>
                <w:iCs w:val="false"/>
                <w:color w:val="1B3A6B"/>
                <w:sz w:val="18"/>
                <w:szCs w:val="18"/>
              </w:rPr>
              <w:t xml:space="preserve">Age Limit</w:t>
            </w:r>
          </w:p>
          <w:p>
            <w:pPr>
              <w:spacing w:before="60" w:after="60"/>
              <w:jc w:val="left"/>
            </w:pPr>
            <w:r>
              <w:rPr>
                <w:rFonts w:ascii="Arial" w:cs="Arial" w:eastAsia="Arial" w:hAnsi="Arial"/>
                <w:b w:val="false"/>
                <w:bCs w:val="false"/>
                <w:i w:val="false"/>
                <w:iCs w:val="false"/>
                <w:color w:val="111827"/>
                <w:sz w:val="20"/>
                <w:szCs w:val="20"/>
              </w:rPr>
              <w:t xml:space="preserve">18–60 entry
Max maturity 80yr</w:t>
            </w:r>
          </w:p>
        </w:tc>
        <w:tc>
          <w:tcPr>
            <w:tcW w:type="dxa" w:w="3120"/>
            <w:tcBorders>
              <w:top w:val="single" w:color="DDDDDD" w:sz="1"/>
              <w:left w:val="single" w:color="DDDDDD" w:sz="1"/>
              <w:bottom w:val="single" w:color="DDDDDD" w:sz="1"/>
              <w:right w:val="single" w:color="DDDDDD" w:sz="1"/>
            </w:tcBorders>
            <w:shd w:fill="F3F4F6" w:val="clear"/>
            <w:tcMar>
              <w:top w:type="dxa" w:w="100"/>
              <w:left w:type="dxa" w:w="140"/>
              <w:bottom w:type="dxa" w:w="100"/>
              <w:right w:type="dxa" w:w="140"/>
            </w:tcMar>
            <w:vAlign w:val="center"/>
          </w:tcPr>
          <w:p>
            <w:pPr>
              <w:spacing w:before="60" w:after="30"/>
              <w:jc w:val="left"/>
            </w:pPr>
            <w:r>
              <w:rPr>
                <w:rFonts w:ascii="Arial" w:cs="Arial" w:eastAsia="Arial" w:hAnsi="Arial"/>
                <w:b/>
                <w:bCs/>
                <w:i w:val="false"/>
                <w:iCs w:val="false"/>
                <w:color w:val="1B3A6B"/>
                <w:sz w:val="18"/>
                <w:szCs w:val="18"/>
              </w:rPr>
              <w:t xml:space="preserve">Age Limit</w:t>
            </w:r>
          </w:p>
          <w:p>
            <w:pPr>
              <w:spacing w:before="60" w:after="60"/>
              <w:jc w:val="left"/>
            </w:pPr>
            <w:r>
              <w:rPr>
                <w:rFonts w:ascii="Arial" w:cs="Arial" w:eastAsia="Arial" w:hAnsi="Arial"/>
                <w:b w:val="false"/>
                <w:bCs w:val="false"/>
                <w:i w:val="false"/>
                <w:iCs w:val="false"/>
                <w:color w:val="111827"/>
                <w:sz w:val="20"/>
                <w:szCs w:val="20"/>
              </w:rPr>
              <w:t xml:space="preserve">18–65 entry</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60" w:after="30"/>
              <w:jc w:val="left"/>
            </w:pPr>
            <w:r>
              <w:rPr>
                <w:rFonts w:ascii="Arial" w:cs="Arial" w:eastAsia="Arial" w:hAnsi="Arial"/>
                <w:b/>
                <w:bCs/>
                <w:i w:val="false"/>
                <w:iCs w:val="false"/>
                <w:color w:val="1B3A6B"/>
                <w:sz w:val="18"/>
                <w:szCs w:val="18"/>
              </w:rPr>
              <w:t xml:space="preserve">Age Limit</w:t>
            </w:r>
          </w:p>
          <w:p>
            <w:pPr>
              <w:spacing w:before="60" w:after="60"/>
              <w:jc w:val="left"/>
            </w:pPr>
            <w:r>
              <w:rPr>
                <w:rFonts w:ascii="Arial" w:cs="Arial" w:eastAsia="Arial" w:hAnsi="Arial"/>
                <w:b w:val="false"/>
                <w:bCs w:val="false"/>
                <w:i w:val="false"/>
                <w:iCs w:val="false"/>
                <w:color w:val="111827"/>
                <w:sz w:val="20"/>
                <w:szCs w:val="20"/>
              </w:rPr>
              <w:t xml:space="preserve">18–65 entry</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60" w:after="30"/>
              <w:jc w:val="left"/>
            </w:pPr>
            <w:r>
              <w:rPr>
                <w:rFonts w:ascii="Arial" w:cs="Arial" w:eastAsia="Arial" w:hAnsi="Arial"/>
                <w:b/>
                <w:bCs/>
                <w:i w:val="false"/>
                <w:iCs w:val="false"/>
                <w:color w:val="1B3A6B"/>
                <w:sz w:val="18"/>
                <w:szCs w:val="18"/>
              </w:rPr>
              <w:t xml:space="preserve">Key Features</w:t>
            </w:r>
          </w:p>
          <w:p>
            <w:pPr>
              <w:spacing w:before="60" w:after="60"/>
              <w:jc w:val="left"/>
            </w:pPr>
            <w:r>
              <w:rPr>
                <w:rFonts w:ascii="Arial" w:cs="Arial" w:eastAsia="Arial" w:hAnsi="Arial"/>
                <w:b w:val="false"/>
                <w:bCs w:val="false"/>
                <w:i w:val="false"/>
                <w:iCs w:val="false"/>
                <w:color w:val="111827"/>
                <w:sz w:val="20"/>
                <w:szCs w:val="20"/>
              </w:rPr>
              <w:t xml:space="preserve">97.9% claim ratio
Government backed
Joint life option
Smoker/non-smoker rates</w:t>
            </w:r>
          </w:p>
        </w:tc>
        <w:tc>
          <w:tcPr>
            <w:tcW w:type="dxa" w:w="3120"/>
            <w:tcBorders>
              <w:top w:val="single" w:color="DDDDDD" w:sz="1"/>
              <w:left w:val="single" w:color="DDDDDD" w:sz="1"/>
              <w:bottom w:val="single" w:color="DDDDDD" w:sz="1"/>
              <w:right w:val="single" w:color="DDDDDD" w:sz="1"/>
            </w:tcBorders>
            <w:shd w:fill="F3F4F6" w:val="clear"/>
            <w:tcMar>
              <w:top w:type="dxa" w:w="100"/>
              <w:left w:type="dxa" w:w="140"/>
              <w:bottom w:type="dxa" w:w="100"/>
              <w:right w:type="dxa" w:w="140"/>
            </w:tcMar>
            <w:vAlign w:val="center"/>
          </w:tcPr>
          <w:p>
            <w:pPr>
              <w:spacing w:before="60" w:after="30"/>
              <w:jc w:val="left"/>
            </w:pPr>
            <w:r>
              <w:rPr>
                <w:rFonts w:ascii="Arial" w:cs="Arial" w:eastAsia="Arial" w:hAnsi="Arial"/>
                <w:b/>
                <w:bCs/>
                <w:i w:val="false"/>
                <w:iCs w:val="false"/>
                <w:color w:val="1B3A6B"/>
                <w:sz w:val="18"/>
                <w:szCs w:val="18"/>
              </w:rPr>
              <w:t xml:space="preserve">Key Features</w:t>
            </w:r>
          </w:p>
          <w:p>
            <w:pPr>
              <w:spacing w:before="60" w:after="60"/>
              <w:jc w:val="left"/>
            </w:pPr>
            <w:r>
              <w:rPr>
                <w:rFonts w:ascii="Arial" w:cs="Arial" w:eastAsia="Arial" w:hAnsi="Arial"/>
                <w:b w:val="false"/>
                <w:bCs w:val="false"/>
                <w:i w:val="false"/>
                <w:iCs w:val="false"/>
                <w:color w:val="111827"/>
                <w:sz w:val="20"/>
                <w:szCs w:val="20"/>
              </w:rPr>
              <w:t xml:space="preserve">Income payout option
Return of premium
Critical illness add-on
Waiver of premium</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60" w:after="30"/>
              <w:jc w:val="left"/>
            </w:pPr>
            <w:r>
              <w:rPr>
                <w:rFonts w:ascii="Arial" w:cs="Arial" w:eastAsia="Arial" w:hAnsi="Arial"/>
                <w:b/>
                <w:bCs/>
                <w:i w:val="false"/>
                <w:iCs w:val="false"/>
                <w:color w:val="1B3A6B"/>
                <w:sz w:val="18"/>
                <w:szCs w:val="18"/>
              </w:rPr>
              <w:t xml:space="preserve">Key Features</w:t>
            </w:r>
          </w:p>
          <w:p>
            <w:pPr>
              <w:spacing w:before="60" w:after="60"/>
              <w:jc w:val="left"/>
            </w:pPr>
            <w:r>
              <w:rPr>
                <w:rFonts w:ascii="Arial" w:cs="Arial" w:eastAsia="Arial" w:hAnsi="Arial"/>
                <w:b w:val="false"/>
                <w:bCs w:val="false"/>
                <w:i w:val="false"/>
                <w:iCs w:val="false"/>
                <w:color w:val="111827"/>
                <w:sz w:val="20"/>
                <w:szCs w:val="20"/>
              </w:rPr>
              <w:t xml:space="preserve">34 critical illnesses
Terminal illness benefit
Accidental death doubler
Disability waiver</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60" w:after="30"/>
              <w:jc w:val="left"/>
            </w:pPr>
            <w:r>
              <w:rPr>
                <w:rFonts w:ascii="Arial" w:cs="Arial" w:eastAsia="Arial" w:hAnsi="Arial"/>
                <w:b/>
                <w:bCs/>
                <w:i w:val="false"/>
                <w:iCs w:val="false"/>
                <w:color w:val="1B3A6B"/>
                <w:sz w:val="18"/>
                <w:szCs w:val="18"/>
              </w:rPr>
              <w:t xml:space="preserve">Best For</w:t>
            </w:r>
          </w:p>
          <w:p>
            <w:pPr>
              <w:spacing w:before="60" w:after="60"/>
              <w:jc w:val="left"/>
            </w:pPr>
            <w:r>
              <w:rPr>
                <w:rFonts w:ascii="Arial" w:cs="Arial" w:eastAsia="Arial" w:hAnsi="Arial"/>
                <w:b w:val="false"/>
                <w:bCs w:val="false"/>
                <w:i w:val="false"/>
                <w:iCs w:val="false"/>
                <w:color w:val="111827"/>
                <w:sz w:val="20"/>
                <w:szCs w:val="20"/>
              </w:rPr>
              <w:t xml:space="preserve">Risk-averse buyers
Government employees</w:t>
            </w:r>
          </w:p>
        </w:tc>
        <w:tc>
          <w:tcPr>
            <w:tcW w:type="dxa" w:w="3120"/>
            <w:tcBorders>
              <w:top w:val="single" w:color="DDDDDD" w:sz="1"/>
              <w:left w:val="single" w:color="DDDDDD" w:sz="1"/>
              <w:bottom w:val="single" w:color="DDDDDD" w:sz="1"/>
              <w:right w:val="single" w:color="DDDDDD" w:sz="1"/>
            </w:tcBorders>
            <w:shd w:fill="F3F4F6" w:val="clear"/>
            <w:tcMar>
              <w:top w:type="dxa" w:w="100"/>
              <w:left w:type="dxa" w:w="140"/>
              <w:bottom w:type="dxa" w:w="100"/>
              <w:right w:type="dxa" w:w="140"/>
            </w:tcMar>
            <w:vAlign w:val="center"/>
          </w:tcPr>
          <w:p>
            <w:pPr>
              <w:spacing w:before="60" w:after="30"/>
              <w:jc w:val="left"/>
            </w:pPr>
            <w:r>
              <w:rPr>
                <w:rFonts w:ascii="Arial" w:cs="Arial" w:eastAsia="Arial" w:hAnsi="Arial"/>
                <w:b/>
                <w:bCs/>
                <w:i w:val="false"/>
                <w:iCs w:val="false"/>
                <w:color w:val="1B3A6B"/>
                <w:sz w:val="18"/>
                <w:szCs w:val="18"/>
              </w:rPr>
              <w:t xml:space="preserve">Best For</w:t>
            </w:r>
          </w:p>
          <w:p>
            <w:pPr>
              <w:spacing w:before="60" w:after="60"/>
              <w:jc w:val="left"/>
            </w:pPr>
            <w:r>
              <w:rPr>
                <w:rFonts w:ascii="Arial" w:cs="Arial" w:eastAsia="Arial" w:hAnsi="Arial"/>
                <w:b w:val="false"/>
                <w:bCs w:val="false"/>
                <w:i w:val="false"/>
                <w:iCs w:val="false"/>
                <w:color w:val="111827"/>
                <w:sz w:val="20"/>
                <w:szCs w:val="20"/>
              </w:rPr>
              <w:t xml:space="preserve">Working professionals
High earners</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60" w:after="30"/>
              <w:jc w:val="left"/>
            </w:pPr>
            <w:r>
              <w:rPr>
                <w:rFonts w:ascii="Arial" w:cs="Arial" w:eastAsia="Arial" w:hAnsi="Arial"/>
                <w:b/>
                <w:bCs/>
                <w:i w:val="false"/>
                <w:iCs w:val="false"/>
                <w:color w:val="1B3A6B"/>
                <w:sz w:val="18"/>
                <w:szCs w:val="18"/>
              </w:rPr>
              <w:t xml:space="preserve">Best For</w:t>
            </w:r>
          </w:p>
          <w:p>
            <w:pPr>
              <w:spacing w:before="60" w:after="60"/>
              <w:jc w:val="left"/>
            </w:pPr>
            <w:r>
              <w:rPr>
                <w:rFonts w:ascii="Arial" w:cs="Arial" w:eastAsia="Arial" w:hAnsi="Arial"/>
                <w:b w:val="false"/>
                <w:bCs w:val="false"/>
                <w:i w:val="false"/>
                <w:iCs w:val="false"/>
                <w:color w:val="111827"/>
                <w:sz w:val="20"/>
                <w:szCs w:val="20"/>
              </w:rPr>
              <w:t xml:space="preserve">Young professionals
self-employed</w:t>
            </w:r>
          </w:p>
        </w:tc>
      </w:tr>
    </w:tbl>
    <w:p>
      <w:pPr>
        <w:spacing w:before="0" w:after="0"/>
      </w:pPr>
      <w:r>
        <w:rPr>
          <w:rFonts w:ascii="Arial" w:cs="Arial" w:eastAsia="Arial" w:hAnsi="Arial"/>
          <w:b w:val="false"/>
          <w:bCs w:val="false"/>
          <w:i w:val="false"/>
          <w:iCs w:val="false"/>
          <w:color w:val="111827"/>
          <w:sz w:val="22"/>
          <w:szCs w:val="22"/>
        </w:rPr>
        <w:t xml:space="preserve"/>
      </w:r>
    </w:p>
    <w:p>
      <w:pPr>
        <w:pStyle w:val="Heading2"/>
        <w:spacing w:before="240" w:after="120"/>
      </w:pPr>
      <w:r>
        <w:rPr>
          <w:rFonts w:ascii="Arial" w:cs="Arial" w:eastAsia="Arial" w:hAnsi="Arial"/>
          <w:b/>
          <w:bCs/>
          <w:color w:val="2563EB"/>
          <w:sz w:val="28"/>
          <w:szCs w:val="28"/>
        </w:rPr>
        <w:t xml:space="preserve">2.3  How Much Life Cover Do You Need?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1"/>
              <w:bottom w:val="single" w:color="7C3AED" w:sz="1"/>
              <w:right w:val="single" w:color="7C3AED" w:sz="1"/>
            </w:tcBorders>
            <w:shd w:fill="EDE9FE" w:val="clear"/>
            <w:tcMar>
              <w:top w:type="dxa" w:w="100"/>
              <w:left w:type="dxa" w:w="140"/>
              <w:bottom w:type="dxa" w:w="100"/>
              <w:right w:type="dxa" w:w="140"/>
            </w:tcMar>
            <w:vAlign w:val="center"/>
          </w:tcPr>
          <w:p>
            <w:pPr>
              <w:spacing w:before="60" w:after="60"/>
              <w:jc w:val="left"/>
            </w:pPr>
            <w:r>
              <w:rPr>
                <w:rFonts w:ascii="Arial" w:cs="Arial" w:eastAsia="Arial" w:hAnsi="Arial"/>
                <w:b/>
                <w:bCs/>
                <w:i w:val="false"/>
                <w:iCs w:val="false"/>
                <w:color w:val="7C3AED"/>
                <w:sz w:val="20"/>
                <w:szCs w:val="20"/>
              </w:rPr>
              <w:t xml:space="preserve">Human Life Value (HLV) Method</w:t>
            </w:r>
          </w:p>
          <w:p>
            <w:pPr>
              <w:spacing w:before="60" w:after="60"/>
              <w:jc w:val="left"/>
            </w:pPr>
            <w:r>
              <w:rPr>
                <w:rFonts w:ascii="Arial" w:cs="Arial" w:eastAsia="Arial" w:hAnsi="Arial"/>
                <w:b w:val="false"/>
                <w:bCs w:val="false"/>
                <w:i w:val="false"/>
                <w:iCs w:val="false"/>
                <w:color w:val="111827"/>
                <w:sz w:val="21"/>
                <w:szCs w:val="21"/>
              </w:rPr>
              <w:t xml:space="preserve">Recommended Cover = Annual Income × Years to Retirement × 10–15
Example: ₹6 Lakh annual income × 30 years remaining × 12 = ₹2.16 Crore coverage recommended</w:t>
            </w:r>
          </w:p>
        </w:tc>
      </w:tr>
    </w:tbl>
    <w:p>
      <w:pPr>
        <w:spacing w:before="0" w:after="0"/>
      </w:pPr>
      <w:r>
        <w:rPr>
          <w:rFonts w:ascii="Arial" w:cs="Arial" w:eastAsia="Arial" w:hAnsi="Arial"/>
          <w:b w:val="false"/>
          <w:bCs w:val="false"/>
          <w:i w:val="false"/>
          <w:iCs w:val="false"/>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AACCEE" w:sz="1"/>
              <w:left w:val="single" w:color="AACCEE" w:sz="1"/>
              <w:bottom w:val="single" w:color="AACCEE" w:sz="1"/>
              <w:right w:val="single" w:color="AACCEE" w:sz="1"/>
            </w:tcBorders>
            <w:shd w:fill="1B3A6B" w:val="clear"/>
            <w:tcMar>
              <w:top w:type="dxa" w:w="100"/>
              <w:left w:type="dxa" w:w="140"/>
              <w:bottom w:type="dxa" w:w="100"/>
              <w:right w:type="dxa" w:w="140"/>
            </w:tcMar>
            <w:vAlign w:val="center"/>
          </w:tcPr>
          <w:p>
            <w:pPr>
              <w:spacing w:before="60" w:after="60"/>
              <w:jc w:val="left"/>
            </w:pPr>
            <w:r>
              <w:rPr>
                <w:rFonts w:ascii="Arial" w:cs="Arial" w:eastAsia="Arial" w:hAnsi="Arial"/>
                <w:b/>
                <w:bCs/>
                <w:i w:val="false"/>
                <w:iCs w:val="false"/>
                <w:color w:val="FFFFFF"/>
                <w:sz w:val="20"/>
                <w:szCs w:val="20"/>
              </w:rPr>
              <w:t xml:space="preserve">Income Range</w:t>
            </w:r>
          </w:p>
        </w:tc>
        <w:tc>
          <w:tcPr>
            <w:tcW w:type="dxa" w:w="58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spacing w:before="60" w:after="60"/>
              <w:jc w:val="left"/>
            </w:pPr>
            <w:r>
              <w:rPr>
                <w:rFonts w:ascii="Arial" w:cs="Arial" w:eastAsia="Arial" w:hAnsi="Arial"/>
                <w:b w:val="false"/>
                <w:bCs w:val="false"/>
                <w:i w:val="false"/>
                <w:iCs w:val="false"/>
                <w:color w:val="111827"/>
                <w:sz w:val="20"/>
                <w:szCs w:val="20"/>
              </w:rPr>
              <w:t xml:space="preserve">Recommended Cover</w:t>
            </w:r>
          </w:p>
        </w:tc>
      </w:tr>
      <w:tr>
        <w:tc>
          <w:tcPr>
            <w:tcW w:type="dxa" w:w="3500"/>
            <w:tcBorders>
              <w:top w:val="single" w:color="AACCEE" w:sz="1"/>
              <w:left w:val="single" w:color="AACCEE" w:sz="1"/>
              <w:bottom w:val="single" w:color="AACCEE" w:sz="1"/>
              <w:right w:val="single" w:color="AACCEE" w:sz="1"/>
            </w:tcBorders>
            <w:shd w:fill="DBEAFE" w:val="clear"/>
            <w:tcMar>
              <w:top w:type="dxa" w:w="100"/>
              <w:left w:type="dxa" w:w="140"/>
              <w:bottom w:type="dxa" w:w="100"/>
              <w:right w:type="dxa" w:w="140"/>
            </w:tcMar>
            <w:vAlign w:val="center"/>
          </w:tcPr>
          <w:p>
            <w:pPr>
              <w:spacing w:before="60" w:after="60"/>
              <w:jc w:val="left"/>
            </w:pPr>
            <w:r>
              <w:rPr>
                <w:rFonts w:ascii="Arial" w:cs="Arial" w:eastAsia="Arial" w:hAnsi="Arial"/>
                <w:b/>
                <w:bCs/>
                <w:i w:val="false"/>
                <w:iCs w:val="false"/>
                <w:color w:val="1B3A6B"/>
                <w:sz w:val="20"/>
                <w:szCs w:val="20"/>
              </w:rPr>
              <w:t xml:space="preserve">₹3–5 Lakh/year</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60" w:after="60"/>
              <w:jc w:val="left"/>
            </w:pPr>
            <w:r>
              <w:rPr>
                <w:rFonts w:ascii="Arial" w:cs="Arial" w:eastAsia="Arial" w:hAnsi="Arial"/>
                <w:b w:val="false"/>
                <w:bCs w:val="false"/>
                <w:i w:val="false"/>
                <w:iCs w:val="false"/>
                <w:color w:val="111827"/>
                <w:sz w:val="20"/>
                <w:szCs w:val="20"/>
              </w:rPr>
              <w:t xml:space="preserve">₹50L – ₹1 Crore</w:t>
            </w:r>
          </w:p>
        </w:tc>
      </w:tr>
      <w:tr>
        <w:tc>
          <w:tcPr>
            <w:tcW w:type="dxa" w:w="3500"/>
            <w:tcBorders>
              <w:top w:val="single" w:color="AACCEE" w:sz="1"/>
              <w:left w:val="single" w:color="AACCEE" w:sz="1"/>
              <w:bottom w:val="single" w:color="AACCEE" w:sz="1"/>
              <w:right w:val="single" w:color="AACCEE" w:sz="1"/>
            </w:tcBorders>
            <w:shd w:fill="DBEAFE" w:val="clear"/>
            <w:tcMar>
              <w:top w:type="dxa" w:w="100"/>
              <w:left w:type="dxa" w:w="140"/>
              <w:bottom w:type="dxa" w:w="100"/>
              <w:right w:type="dxa" w:w="140"/>
            </w:tcMar>
            <w:vAlign w:val="center"/>
          </w:tcPr>
          <w:p>
            <w:pPr>
              <w:spacing w:before="60" w:after="60"/>
              <w:jc w:val="left"/>
            </w:pPr>
            <w:r>
              <w:rPr>
                <w:rFonts w:ascii="Arial" w:cs="Arial" w:eastAsia="Arial" w:hAnsi="Arial"/>
                <w:b/>
                <w:bCs/>
                <w:i w:val="false"/>
                <w:iCs w:val="false"/>
                <w:color w:val="1B3A6B"/>
                <w:sz w:val="20"/>
                <w:szCs w:val="20"/>
              </w:rPr>
              <w:t xml:space="preserve">₹5–10 Lakh/year</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60" w:after="60"/>
              <w:jc w:val="left"/>
            </w:pPr>
            <w:r>
              <w:rPr>
                <w:rFonts w:ascii="Arial" w:cs="Arial" w:eastAsia="Arial" w:hAnsi="Arial"/>
                <w:b w:val="false"/>
                <w:bCs w:val="false"/>
                <w:i w:val="false"/>
                <w:iCs w:val="false"/>
                <w:color w:val="111827"/>
                <w:sz w:val="20"/>
                <w:szCs w:val="20"/>
              </w:rPr>
              <w:t xml:space="preserve">₹1 Crore – ₹2 Crore</w:t>
            </w:r>
          </w:p>
        </w:tc>
      </w:tr>
      <w:tr>
        <w:tc>
          <w:tcPr>
            <w:tcW w:type="dxa" w:w="3500"/>
            <w:tcBorders>
              <w:top w:val="single" w:color="AACCEE" w:sz="1"/>
              <w:left w:val="single" w:color="AACCEE" w:sz="1"/>
              <w:bottom w:val="single" w:color="AACCEE" w:sz="1"/>
              <w:right w:val="single" w:color="AACCEE" w:sz="1"/>
            </w:tcBorders>
            <w:shd w:fill="DBEAFE" w:val="clear"/>
            <w:tcMar>
              <w:top w:type="dxa" w:w="100"/>
              <w:left w:type="dxa" w:w="140"/>
              <w:bottom w:type="dxa" w:w="100"/>
              <w:right w:type="dxa" w:w="140"/>
            </w:tcMar>
            <w:vAlign w:val="center"/>
          </w:tcPr>
          <w:p>
            <w:pPr>
              <w:spacing w:before="60" w:after="60"/>
              <w:jc w:val="left"/>
            </w:pPr>
            <w:r>
              <w:rPr>
                <w:rFonts w:ascii="Arial" w:cs="Arial" w:eastAsia="Arial" w:hAnsi="Arial"/>
                <w:b/>
                <w:bCs/>
                <w:i w:val="false"/>
                <w:iCs w:val="false"/>
                <w:color w:val="1B3A6B"/>
                <w:sz w:val="20"/>
                <w:szCs w:val="20"/>
              </w:rPr>
              <w:t xml:space="preserve">₹10–25 Lakh/year</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60" w:after="60"/>
              <w:jc w:val="left"/>
            </w:pPr>
            <w:r>
              <w:rPr>
                <w:rFonts w:ascii="Arial" w:cs="Arial" w:eastAsia="Arial" w:hAnsi="Arial"/>
                <w:b w:val="false"/>
                <w:bCs w:val="false"/>
                <w:i w:val="false"/>
                <w:iCs w:val="false"/>
                <w:color w:val="111827"/>
                <w:sz w:val="20"/>
                <w:szCs w:val="20"/>
              </w:rPr>
              <w:t xml:space="preserve">₹2 Crore – ₹5 Crore</w:t>
            </w:r>
          </w:p>
        </w:tc>
      </w:tr>
      <w:tr>
        <w:tc>
          <w:tcPr>
            <w:tcW w:type="dxa" w:w="3500"/>
            <w:tcBorders>
              <w:top w:val="single" w:color="AACCEE" w:sz="1"/>
              <w:left w:val="single" w:color="AACCEE" w:sz="1"/>
              <w:bottom w:val="single" w:color="AACCEE" w:sz="1"/>
              <w:right w:val="single" w:color="AACCEE" w:sz="1"/>
            </w:tcBorders>
            <w:shd w:fill="DBEAFE" w:val="clear"/>
            <w:tcMar>
              <w:top w:type="dxa" w:w="100"/>
              <w:left w:type="dxa" w:w="140"/>
              <w:bottom w:type="dxa" w:w="100"/>
              <w:right w:type="dxa" w:w="140"/>
            </w:tcMar>
            <w:vAlign w:val="center"/>
          </w:tcPr>
          <w:p>
            <w:pPr>
              <w:spacing w:before="60" w:after="60"/>
              <w:jc w:val="left"/>
            </w:pPr>
            <w:r>
              <w:rPr>
                <w:rFonts w:ascii="Arial" w:cs="Arial" w:eastAsia="Arial" w:hAnsi="Arial"/>
                <w:b/>
                <w:bCs/>
                <w:i w:val="false"/>
                <w:iCs w:val="false"/>
                <w:color w:val="1B3A6B"/>
                <w:sz w:val="20"/>
                <w:szCs w:val="20"/>
              </w:rPr>
              <w:t xml:space="preserve">₹25 Lakh+/year</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60" w:after="60"/>
              <w:jc w:val="left"/>
            </w:pPr>
            <w:r>
              <w:rPr>
                <w:rFonts w:ascii="Arial" w:cs="Arial" w:eastAsia="Arial" w:hAnsi="Arial"/>
                <w:b w:val="false"/>
                <w:bCs w:val="false"/>
                <w:i w:val="false"/>
                <w:iCs w:val="false"/>
                <w:color w:val="111827"/>
                <w:sz w:val="20"/>
                <w:szCs w:val="20"/>
              </w:rPr>
              <w:t xml:space="preserve">₹5 Crore – ₹10 Crore</w:t>
            </w:r>
          </w:p>
        </w:tc>
      </w:tr>
      <w:tr>
        <w:tc>
          <w:tcPr>
            <w:tcW w:type="dxa" w:w="3500"/>
            <w:tcBorders>
              <w:top w:val="single" w:color="AACCEE" w:sz="1"/>
              <w:left w:val="single" w:color="AACCEE" w:sz="1"/>
              <w:bottom w:val="single" w:color="AACCEE" w:sz="1"/>
              <w:right w:val="single" w:color="AACCEE" w:sz="1"/>
            </w:tcBorders>
            <w:shd w:fill="DBEAFE" w:val="clear"/>
            <w:tcMar>
              <w:top w:type="dxa" w:w="100"/>
              <w:left w:type="dxa" w:w="140"/>
              <w:bottom w:type="dxa" w:w="100"/>
              <w:right w:type="dxa" w:w="140"/>
            </w:tcMar>
            <w:vAlign w:val="center"/>
          </w:tcPr>
          <w:p>
            <w:pPr>
              <w:spacing w:before="60" w:after="60"/>
              <w:jc w:val="left"/>
            </w:pPr>
            <w:r>
              <w:rPr>
                <w:rFonts w:ascii="Arial" w:cs="Arial" w:eastAsia="Arial" w:hAnsi="Arial"/>
                <w:b/>
                <w:bCs/>
                <w:i w:val="false"/>
                <w:iCs w:val="false"/>
                <w:color w:val="1B3A6B"/>
                <w:sz w:val="20"/>
                <w:szCs w:val="20"/>
              </w:rPr>
              <w:t xml:space="preserve">Self-employed/Biz</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60" w:after="60"/>
              <w:jc w:val="left"/>
            </w:pPr>
            <w:r>
              <w:rPr>
                <w:rFonts w:ascii="Arial" w:cs="Arial" w:eastAsia="Arial" w:hAnsi="Arial"/>
                <w:b w:val="false"/>
                <w:bCs w:val="false"/>
                <w:i w:val="false"/>
                <w:iCs w:val="false"/>
                <w:color w:val="111827"/>
                <w:sz w:val="20"/>
                <w:szCs w:val="20"/>
              </w:rPr>
              <w:t xml:space="preserve">10× annual profit + liabilities</w:t>
            </w:r>
          </w:p>
        </w:tc>
      </w:tr>
    </w:tbl>
    <w:p>
      <w:pPr>
        <w:spacing w:before="0" w:after="0"/>
      </w:pPr>
      <w:r>
        <w:rPr>
          <w:rFonts w:ascii="Arial" w:cs="Arial" w:eastAsia="Arial" w:hAnsi="Arial"/>
          <w:b w:val="false"/>
          <w:bCs w:val="false"/>
          <w:i w:val="false"/>
          <w:iCs w:val="false"/>
          <w:color w:val="111827"/>
          <w:sz w:val="22"/>
          <w:szCs w:val="22"/>
        </w:rPr>
        <w:t xml:space="preserve"/>
      </w:r>
    </w:p>
    <w:p>
      <w:pPr>
        <w:pStyle w:val="Heading2"/>
        <w:spacing w:before="240" w:after="120"/>
      </w:pPr>
      <w:r>
        <w:rPr>
          <w:rFonts w:ascii="Arial" w:cs="Arial" w:eastAsia="Arial" w:hAnsi="Arial"/>
          <w:b/>
          <w:bCs/>
          <w:color w:val="2563EB"/>
          <w:sz w:val="28"/>
          <w:szCs w:val="28"/>
        </w:rPr>
        <w:t xml:space="preserve">2.4  Critical Illness Riders Available</w:t>
      </w:r>
    </w:p>
    <w:p>
      <w:pPr>
        <w:pStyle w:val="ListParagraph"/>
        <w:numPr>
          <w:ilvl w:val="0"/>
          <w:numId w:val="2"/>
        </w:numPr>
        <w:spacing w:before="40" w:after="40"/>
      </w:pPr>
      <w:r>
        <w:rPr>
          <w:rFonts w:ascii="Arial" w:cs="Arial" w:eastAsia="Arial" w:hAnsi="Arial"/>
          <w:b w:val="false"/>
          <w:bCs w:val="false"/>
          <w:i w:val="false"/>
          <w:iCs w:val="false"/>
          <w:color w:val="111827"/>
          <w:sz w:val="21"/>
          <w:szCs w:val="21"/>
        </w:rPr>
        <w:t xml:space="preserve">Cancer (all stages) — Lump sum on diagnosis</w:t>
      </w:r>
    </w:p>
    <w:p>
      <w:pPr>
        <w:pStyle w:val="ListParagraph"/>
        <w:numPr>
          <w:ilvl w:val="0"/>
          <w:numId w:val="2"/>
        </w:numPr>
        <w:spacing w:before="40" w:after="40"/>
      </w:pPr>
      <w:r>
        <w:rPr>
          <w:rFonts w:ascii="Arial" w:cs="Arial" w:eastAsia="Arial" w:hAnsi="Arial"/>
          <w:b w:val="false"/>
          <w:bCs w:val="false"/>
          <w:i w:val="false"/>
          <w:iCs w:val="false"/>
          <w:color w:val="111827"/>
          <w:sz w:val="21"/>
          <w:szCs w:val="21"/>
        </w:rPr>
        <w:t xml:space="preserve">Heart Attack / Coronary Artery Bypass Surgery</w:t>
      </w:r>
    </w:p>
    <w:p>
      <w:pPr>
        <w:pStyle w:val="ListParagraph"/>
        <w:numPr>
          <w:ilvl w:val="0"/>
          <w:numId w:val="2"/>
        </w:numPr>
        <w:spacing w:before="40" w:after="40"/>
      </w:pPr>
      <w:r>
        <w:rPr>
          <w:rFonts w:ascii="Arial" w:cs="Arial" w:eastAsia="Arial" w:hAnsi="Arial"/>
          <w:b w:val="false"/>
          <w:bCs w:val="false"/>
          <w:i w:val="false"/>
          <w:iCs w:val="false"/>
          <w:color w:val="111827"/>
          <w:sz w:val="21"/>
          <w:szCs w:val="21"/>
        </w:rPr>
        <w:t xml:space="preserve">Stroke with permanent neurological deficit</w:t>
      </w:r>
    </w:p>
    <w:p>
      <w:pPr>
        <w:pStyle w:val="ListParagraph"/>
        <w:numPr>
          <w:ilvl w:val="0"/>
          <w:numId w:val="2"/>
        </w:numPr>
        <w:spacing w:before="40" w:after="40"/>
      </w:pPr>
      <w:r>
        <w:rPr>
          <w:rFonts w:ascii="Arial" w:cs="Arial" w:eastAsia="Arial" w:hAnsi="Arial"/>
          <w:b w:val="false"/>
          <w:bCs w:val="false"/>
          <w:i w:val="false"/>
          <w:iCs w:val="false"/>
          <w:color w:val="111827"/>
          <w:sz w:val="21"/>
          <w:szCs w:val="21"/>
        </w:rPr>
        <w:t xml:space="preserve">Kidney Failure requiring regular dialysis</w:t>
      </w:r>
    </w:p>
    <w:p>
      <w:pPr>
        <w:pStyle w:val="ListParagraph"/>
        <w:numPr>
          <w:ilvl w:val="0"/>
          <w:numId w:val="2"/>
        </w:numPr>
        <w:spacing w:before="40" w:after="40"/>
      </w:pPr>
      <w:r>
        <w:rPr>
          <w:rFonts w:ascii="Arial" w:cs="Arial" w:eastAsia="Arial" w:hAnsi="Arial"/>
          <w:b w:val="false"/>
          <w:bCs w:val="false"/>
          <w:i w:val="false"/>
          <w:iCs w:val="false"/>
          <w:color w:val="111827"/>
          <w:sz w:val="21"/>
          <w:szCs w:val="21"/>
        </w:rPr>
        <w:t xml:space="preserve">Major Organ Transplant (heart, liver, kidney, lung)</w:t>
      </w:r>
    </w:p>
    <w:p>
      <w:pPr>
        <w:pStyle w:val="ListParagraph"/>
        <w:numPr>
          <w:ilvl w:val="0"/>
          <w:numId w:val="2"/>
        </w:numPr>
        <w:spacing w:before="40" w:after="40"/>
      </w:pPr>
      <w:r>
        <w:rPr>
          <w:rFonts w:ascii="Arial" w:cs="Arial" w:eastAsia="Arial" w:hAnsi="Arial"/>
          <w:b w:val="false"/>
          <w:bCs w:val="false"/>
          <w:i w:val="false"/>
          <w:iCs w:val="false"/>
          <w:color w:val="111827"/>
          <w:sz w:val="21"/>
          <w:szCs w:val="21"/>
        </w:rPr>
        <w:t xml:space="preserve">Paralysis (of 2 or more limbs, permanent)</w:t>
      </w:r>
    </w:p>
    <w:p>
      <w:pPr>
        <w:pStyle w:val="ListParagraph"/>
        <w:numPr>
          <w:ilvl w:val="0"/>
          <w:numId w:val="2"/>
        </w:numPr>
        <w:spacing w:before="40" w:after="40"/>
      </w:pPr>
      <w:r>
        <w:rPr>
          <w:rFonts w:ascii="Arial" w:cs="Arial" w:eastAsia="Arial" w:hAnsi="Arial"/>
          <w:b w:val="false"/>
          <w:bCs w:val="false"/>
          <w:i w:val="false"/>
          <w:iCs w:val="false"/>
          <w:color w:val="111827"/>
          <w:sz w:val="21"/>
          <w:szCs w:val="21"/>
        </w:rPr>
        <w:t xml:space="preserve">Multiple Sclerosis with persisting symptoms</w:t>
      </w:r>
    </w:p>
    <w:p>
      <w:pPr>
        <w:pStyle w:val="ListParagraph"/>
        <w:numPr>
          <w:ilvl w:val="0"/>
          <w:numId w:val="2"/>
        </w:numPr>
        <w:spacing w:before="40" w:after="40"/>
      </w:pPr>
      <w:r>
        <w:rPr>
          <w:rFonts w:ascii="Arial" w:cs="Arial" w:eastAsia="Arial" w:hAnsi="Arial"/>
          <w:b w:val="false"/>
          <w:bCs w:val="false"/>
          <w:i w:val="false"/>
          <w:iCs w:val="false"/>
          <w:color w:val="111827"/>
          <w:sz w:val="21"/>
          <w:szCs w:val="21"/>
        </w:rPr>
        <w:t xml:space="preserve">Motor Neurone Disease</w:t>
      </w:r>
    </w:p>
    <w:p>
      <w:pPr>
        <w:pStyle w:val="ListParagraph"/>
        <w:numPr>
          <w:ilvl w:val="0"/>
          <w:numId w:val="2"/>
        </w:numPr>
        <w:spacing w:before="40" w:after="40"/>
      </w:pPr>
      <w:r>
        <w:rPr>
          <w:rFonts w:ascii="Arial" w:cs="Arial" w:eastAsia="Arial" w:hAnsi="Arial"/>
          <w:b w:val="false"/>
          <w:bCs w:val="false"/>
          <w:i w:val="false"/>
          <w:iCs w:val="false"/>
          <w:color w:val="111827"/>
          <w:sz w:val="21"/>
          <w:szCs w:val="21"/>
        </w:rPr>
        <w:t xml:space="preserve">Aorta Graft Surgery</w:t>
      </w:r>
    </w:p>
    <w:p>
      <w:pPr>
        <w:pStyle w:val="ListParagraph"/>
        <w:numPr>
          <w:ilvl w:val="0"/>
          <w:numId w:val="2"/>
        </w:numPr>
        <w:spacing w:before="40" w:after="40"/>
      </w:pPr>
      <w:r>
        <w:rPr>
          <w:rFonts w:ascii="Arial" w:cs="Arial" w:eastAsia="Arial" w:hAnsi="Arial"/>
          <w:b w:val="false"/>
          <w:bCs w:val="false"/>
          <w:i w:val="false"/>
          <w:iCs w:val="false"/>
          <w:color w:val="111827"/>
          <w:sz w:val="21"/>
          <w:szCs w:val="21"/>
        </w:rPr>
        <w:t xml:space="preserve">Primary Pulmonary Hypertension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580C" w:sz="1"/>
              <w:left w:val="single" w:color="EA580C" w:sz="1"/>
              <w:bottom w:val="single" w:color="EA580C" w:sz="1"/>
              <w:right w:val="single" w:color="EA580C" w:sz="1"/>
            </w:tcBorders>
            <w:shd w:fill="EA580C" w:val="clear"/>
            <w:tcMar>
              <w:top w:type="dxa" w:w="100"/>
              <w:left w:type="dxa" w:w="140"/>
              <w:bottom w:type="dxa" w:w="100"/>
              <w:right w:type="dxa" w:w="140"/>
            </w:tcMar>
            <w:vAlign w:val="center"/>
          </w:tcPr>
          <w:p>
            <w:pPr>
              <w:spacing w:before="60" w:after="60"/>
              <w:jc w:val="center"/>
            </w:pPr>
            <w:r>
              <w:rPr>
                <w:rFonts w:ascii="Arial" w:cs="Arial" w:eastAsia="Arial" w:hAnsi="Arial"/>
                <w:b/>
                <w:bCs/>
                <w:i w:val="false"/>
                <w:iCs w:val="false"/>
                <w:color w:val="FFFFFF"/>
                <w:sz w:val="30"/>
                <w:szCs w:val="30"/>
              </w:rPr>
              <w:t xml:space="preserve">SECTION 3 — VEHICLE INSURANCE 🚗</w:t>
            </w:r>
          </w:p>
        </w:tc>
      </w:tr>
    </w:tbl>
    <w:p>
      <w:pPr>
        <w:spacing w:before="0" w:after="0"/>
      </w:pPr>
      <w:r>
        <w:rPr>
          <w:rFonts w:ascii="Arial" w:cs="Arial" w:eastAsia="Arial" w:hAnsi="Arial"/>
          <w:b w:val="false"/>
          <w:bCs w:val="false"/>
          <w:i w:val="false"/>
          <w:iCs w:val="false"/>
          <w:color w:val="111827"/>
          <w:sz w:val="22"/>
          <w:szCs w:val="22"/>
        </w:rPr>
        <w:t xml:space="preserve"/>
      </w:r>
    </w:p>
    <w:p>
      <w:pPr>
        <w:pStyle w:val="Heading1"/>
        <w:pBdr>
          <w:bottom w:val="single" w:color="EA580C" w:sz="8" w:space="2"/>
        </w:pBdr>
        <w:spacing w:before="320" w:after="160"/>
      </w:pPr>
      <w:r>
        <w:rPr>
          <w:rFonts w:ascii="Arial" w:cs="Arial" w:eastAsia="Arial" w:hAnsi="Arial"/>
          <w:b/>
          <w:bCs/>
          <w:color w:val="EA580C"/>
          <w:sz w:val="36"/>
          <w:szCs w:val="36"/>
        </w:rPr>
        <w:t xml:space="preserve">3. Vehicle Insurance in India</w:t>
      </w:r>
    </w:p>
    <w:p>
      <w:pPr>
        <w:spacing w:before="60" w:after="100"/>
        <w:jc w:val="left"/>
      </w:pPr>
      <w:r>
        <w:rPr>
          <w:rFonts w:ascii="Arial" w:cs="Arial" w:eastAsia="Arial" w:hAnsi="Arial"/>
          <w:b w:val="false"/>
          <w:bCs w:val="false"/>
          <w:i w:val="false"/>
          <w:iCs w:val="false"/>
          <w:color w:val="111827"/>
          <w:sz w:val="21"/>
          <w:szCs w:val="21"/>
        </w:rPr>
        <w:t xml:space="preserve">Vehicle insurance (also called Motor Insurance) is mandatory under the Motor Vehicles Act 1988 for all vehicles plying on Indian roads. Third-party liability cover is the minimum legal requirement.</w:t>
      </w:r>
    </w:p>
    <w:p>
      <w:pPr>
        <w:pStyle w:val="Heading2"/>
        <w:spacing w:before="240" w:after="120"/>
      </w:pPr>
      <w:r>
        <w:rPr>
          <w:rFonts w:ascii="Arial" w:cs="Arial" w:eastAsia="Arial" w:hAnsi="Arial"/>
          <w:b/>
          <w:bCs/>
          <w:color w:val="2563EB"/>
          <w:sz w:val="28"/>
          <w:szCs w:val="28"/>
        </w:rPr>
        <w:t xml:space="preserve">3.1  Types of Vehicle Insurance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CCEE" w:sz="1"/>
              <w:left w:val="single" w:color="AACCEE" w:sz="1"/>
              <w:bottom w:val="single" w:color="AACCEE" w:sz="1"/>
              <w:right w:val="single" w:color="AACCEE" w:sz="1"/>
            </w:tcBorders>
            <w:shd w:fill="1B3A6B" w:val="clear"/>
            <w:tcMar>
              <w:top w:type="dxa" w:w="100"/>
              <w:left w:type="dxa" w:w="140"/>
              <w:bottom w:type="dxa" w:w="100"/>
              <w:right w:type="dxa" w:w="140"/>
            </w:tcMar>
            <w:vAlign w:val="center"/>
          </w:tcPr>
          <w:p>
            <w:pPr>
              <w:spacing w:before="60" w:after="60"/>
              <w:jc w:val="left"/>
            </w:pPr>
            <w:r>
              <w:rPr>
                <w:rFonts w:ascii="Arial" w:cs="Arial" w:eastAsia="Arial" w:hAnsi="Arial"/>
                <w:b/>
                <w:bCs/>
                <w:i w:val="false"/>
                <w:iCs w:val="false"/>
                <w:color w:val="FFFFFF"/>
                <w:sz w:val="20"/>
                <w:szCs w:val="20"/>
              </w:rPr>
              <w:t xml:space="preserve">Type</w:t>
            </w:r>
          </w:p>
        </w:tc>
        <w:tc>
          <w:tcPr>
            <w:tcW w:type="dxa" w:w="65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spacing w:before="60" w:after="60"/>
              <w:jc w:val="left"/>
            </w:pPr>
            <w:r>
              <w:rPr>
                <w:rFonts w:ascii="Arial" w:cs="Arial" w:eastAsia="Arial" w:hAnsi="Arial"/>
                <w:b w:val="false"/>
                <w:bCs w:val="false"/>
                <w:i w:val="false"/>
                <w:iCs w:val="false"/>
                <w:color w:val="111827"/>
                <w:sz w:val="20"/>
                <w:szCs w:val="20"/>
              </w:rPr>
              <w:t xml:space="preserve">Description</w:t>
            </w:r>
          </w:p>
        </w:tc>
      </w:tr>
      <w:tr>
        <w:tc>
          <w:tcPr>
            <w:tcW w:type="dxa" w:w="2800"/>
            <w:tcBorders>
              <w:top w:val="single" w:color="AACCEE" w:sz="1"/>
              <w:left w:val="single" w:color="AACCEE" w:sz="1"/>
              <w:bottom w:val="single" w:color="AACCEE" w:sz="1"/>
              <w:right w:val="single" w:color="AACCEE" w:sz="1"/>
            </w:tcBorders>
            <w:shd w:fill="DBEAFE" w:val="clear"/>
            <w:tcMar>
              <w:top w:type="dxa" w:w="100"/>
              <w:left w:type="dxa" w:w="140"/>
              <w:bottom w:type="dxa" w:w="100"/>
              <w:right w:type="dxa" w:w="140"/>
            </w:tcMar>
            <w:vAlign w:val="center"/>
          </w:tcPr>
          <w:p>
            <w:pPr>
              <w:spacing w:before="60" w:after="60"/>
              <w:jc w:val="left"/>
            </w:pPr>
            <w:r>
              <w:rPr>
                <w:rFonts w:ascii="Arial" w:cs="Arial" w:eastAsia="Arial" w:hAnsi="Arial"/>
                <w:b/>
                <w:bCs/>
                <w:i w:val="false"/>
                <w:iCs w:val="false"/>
                <w:color w:val="1B3A6B"/>
                <w:sz w:val="20"/>
                <w:szCs w:val="20"/>
              </w:rPr>
              <w:t xml:space="preserve">Third Party (TP)</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60" w:after="60"/>
              <w:jc w:val="left"/>
            </w:pPr>
            <w:r>
              <w:rPr>
                <w:rFonts w:ascii="Arial" w:cs="Arial" w:eastAsia="Arial" w:hAnsi="Arial"/>
                <w:b w:val="false"/>
                <w:bCs w:val="false"/>
                <w:i w:val="false"/>
                <w:iCs w:val="false"/>
                <w:color w:val="111827"/>
                <w:sz w:val="20"/>
                <w:szCs w:val="20"/>
              </w:rPr>
              <w:t xml:space="preserve">Mandatory by law. Covers damage/injury to third party. Does NOT cover own vehicle damage.</w:t>
            </w:r>
          </w:p>
        </w:tc>
      </w:tr>
      <w:tr>
        <w:tc>
          <w:tcPr>
            <w:tcW w:type="dxa" w:w="2800"/>
            <w:tcBorders>
              <w:top w:val="single" w:color="AACCEE" w:sz="1"/>
              <w:left w:val="single" w:color="AACCEE" w:sz="1"/>
              <w:bottom w:val="single" w:color="AACCEE" w:sz="1"/>
              <w:right w:val="single" w:color="AACCEE" w:sz="1"/>
            </w:tcBorders>
            <w:shd w:fill="DBEAFE" w:val="clear"/>
            <w:tcMar>
              <w:top w:type="dxa" w:w="100"/>
              <w:left w:type="dxa" w:w="140"/>
              <w:bottom w:type="dxa" w:w="100"/>
              <w:right w:type="dxa" w:w="140"/>
            </w:tcMar>
            <w:vAlign w:val="center"/>
          </w:tcPr>
          <w:p>
            <w:pPr>
              <w:spacing w:before="60" w:after="60"/>
              <w:jc w:val="left"/>
            </w:pPr>
            <w:r>
              <w:rPr>
                <w:rFonts w:ascii="Arial" w:cs="Arial" w:eastAsia="Arial" w:hAnsi="Arial"/>
                <w:b/>
                <w:bCs/>
                <w:i w:val="false"/>
                <w:iCs w:val="false"/>
                <w:color w:val="1B3A6B"/>
                <w:sz w:val="20"/>
                <w:szCs w:val="20"/>
              </w:rPr>
              <w:t xml:space="preserve">Comprehensive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60" w:after="60"/>
              <w:jc w:val="left"/>
            </w:pPr>
            <w:r>
              <w:rPr>
                <w:rFonts w:ascii="Arial" w:cs="Arial" w:eastAsia="Arial" w:hAnsi="Arial"/>
                <w:b w:val="false"/>
                <w:bCs w:val="false"/>
                <w:i w:val="false"/>
                <w:iCs w:val="false"/>
                <w:color w:val="111827"/>
                <w:sz w:val="20"/>
                <w:szCs w:val="20"/>
              </w:rPr>
              <w:t xml:space="preserve">Covers own damage + third party liability + theft + natural/man-made calamities.</w:t>
            </w:r>
          </w:p>
        </w:tc>
      </w:tr>
      <w:tr>
        <w:tc>
          <w:tcPr>
            <w:tcW w:type="dxa" w:w="2800"/>
            <w:tcBorders>
              <w:top w:val="single" w:color="AACCEE" w:sz="1"/>
              <w:left w:val="single" w:color="AACCEE" w:sz="1"/>
              <w:bottom w:val="single" w:color="AACCEE" w:sz="1"/>
              <w:right w:val="single" w:color="AACCEE" w:sz="1"/>
            </w:tcBorders>
            <w:shd w:fill="DBEAFE" w:val="clear"/>
            <w:tcMar>
              <w:top w:type="dxa" w:w="100"/>
              <w:left w:type="dxa" w:w="140"/>
              <w:bottom w:type="dxa" w:w="100"/>
              <w:right w:type="dxa" w:w="140"/>
            </w:tcMar>
            <w:vAlign w:val="center"/>
          </w:tcPr>
          <w:p>
            <w:pPr>
              <w:spacing w:before="60" w:after="60"/>
              <w:jc w:val="left"/>
            </w:pPr>
            <w:r>
              <w:rPr>
                <w:rFonts w:ascii="Arial" w:cs="Arial" w:eastAsia="Arial" w:hAnsi="Arial"/>
                <w:b/>
                <w:bCs/>
                <w:i w:val="false"/>
                <w:iCs w:val="false"/>
                <w:color w:val="1B3A6B"/>
                <w:sz w:val="20"/>
                <w:szCs w:val="20"/>
              </w:rPr>
              <w:t xml:space="preserve">Standalone Own Damage (OD)</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60" w:after="60"/>
              <w:jc w:val="left"/>
            </w:pPr>
            <w:r>
              <w:rPr>
                <w:rFonts w:ascii="Arial" w:cs="Arial" w:eastAsia="Arial" w:hAnsi="Arial"/>
                <w:b w:val="false"/>
                <w:bCs w:val="false"/>
                <w:i w:val="false"/>
                <w:iCs w:val="false"/>
                <w:color w:val="111827"/>
                <w:sz w:val="20"/>
                <w:szCs w:val="20"/>
              </w:rPr>
              <w:t xml:space="preserve">Covers own vehicle damage only. Must be paired with TP policy.</w:t>
            </w:r>
          </w:p>
        </w:tc>
      </w:tr>
      <w:tr>
        <w:tc>
          <w:tcPr>
            <w:tcW w:type="dxa" w:w="2800"/>
            <w:tcBorders>
              <w:top w:val="single" w:color="AACCEE" w:sz="1"/>
              <w:left w:val="single" w:color="AACCEE" w:sz="1"/>
              <w:bottom w:val="single" w:color="AACCEE" w:sz="1"/>
              <w:right w:val="single" w:color="AACCEE" w:sz="1"/>
            </w:tcBorders>
            <w:shd w:fill="DBEAFE" w:val="clear"/>
            <w:tcMar>
              <w:top w:type="dxa" w:w="100"/>
              <w:left w:type="dxa" w:w="140"/>
              <w:bottom w:type="dxa" w:w="100"/>
              <w:right w:type="dxa" w:w="140"/>
            </w:tcMar>
            <w:vAlign w:val="center"/>
          </w:tcPr>
          <w:p>
            <w:pPr>
              <w:spacing w:before="60" w:after="60"/>
              <w:jc w:val="left"/>
            </w:pPr>
            <w:r>
              <w:rPr>
                <w:rFonts w:ascii="Arial" w:cs="Arial" w:eastAsia="Arial" w:hAnsi="Arial"/>
                <w:b/>
                <w:bCs/>
                <w:i w:val="false"/>
                <w:iCs w:val="false"/>
                <w:color w:val="1B3A6B"/>
                <w:sz w:val="20"/>
                <w:szCs w:val="20"/>
              </w:rPr>
              <w:t xml:space="preserve">Zero Depreciation Add-on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60" w:after="60"/>
              <w:jc w:val="left"/>
            </w:pPr>
            <w:r>
              <w:rPr>
                <w:rFonts w:ascii="Arial" w:cs="Arial" w:eastAsia="Arial" w:hAnsi="Arial"/>
                <w:b w:val="false"/>
                <w:bCs w:val="false"/>
                <w:i w:val="false"/>
                <w:iCs w:val="false"/>
                <w:color w:val="111827"/>
                <w:sz w:val="20"/>
                <w:szCs w:val="20"/>
              </w:rPr>
              <w:t xml:space="preserve">Claims settled at full value without depreciation deduction on parts.</w:t>
            </w:r>
          </w:p>
        </w:tc>
      </w:tr>
      <w:tr>
        <w:tc>
          <w:tcPr>
            <w:tcW w:type="dxa" w:w="2800"/>
            <w:tcBorders>
              <w:top w:val="single" w:color="AACCEE" w:sz="1"/>
              <w:left w:val="single" w:color="AACCEE" w:sz="1"/>
              <w:bottom w:val="single" w:color="AACCEE" w:sz="1"/>
              <w:right w:val="single" w:color="AACCEE" w:sz="1"/>
            </w:tcBorders>
            <w:shd w:fill="DBEAFE" w:val="clear"/>
            <w:tcMar>
              <w:top w:type="dxa" w:w="100"/>
              <w:left w:type="dxa" w:w="140"/>
              <w:bottom w:type="dxa" w:w="100"/>
              <w:right w:type="dxa" w:w="140"/>
            </w:tcMar>
            <w:vAlign w:val="center"/>
          </w:tcPr>
          <w:p>
            <w:pPr>
              <w:spacing w:before="60" w:after="60"/>
              <w:jc w:val="left"/>
            </w:pPr>
            <w:r>
              <w:rPr>
                <w:rFonts w:ascii="Arial" w:cs="Arial" w:eastAsia="Arial" w:hAnsi="Arial"/>
                <w:b/>
                <w:bCs/>
                <w:i w:val="false"/>
                <w:iCs w:val="false"/>
                <w:color w:val="1B3A6B"/>
                <w:sz w:val="20"/>
                <w:szCs w:val="20"/>
              </w:rPr>
              <w:t xml:space="preserve">Engine Protection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60" w:after="60"/>
              <w:jc w:val="left"/>
            </w:pPr>
            <w:r>
              <w:rPr>
                <w:rFonts w:ascii="Arial" w:cs="Arial" w:eastAsia="Arial" w:hAnsi="Arial"/>
                <w:b w:val="false"/>
                <w:bCs w:val="false"/>
                <w:i w:val="false"/>
                <w:iCs w:val="false"/>
                <w:color w:val="111827"/>
                <w:sz w:val="20"/>
                <w:szCs w:val="20"/>
              </w:rPr>
              <w:t xml:space="preserve">Covers engine damage due to waterlogging, oil leakage.</w:t>
            </w:r>
          </w:p>
        </w:tc>
      </w:tr>
      <w:tr>
        <w:tc>
          <w:tcPr>
            <w:tcW w:type="dxa" w:w="2800"/>
            <w:tcBorders>
              <w:top w:val="single" w:color="AACCEE" w:sz="1"/>
              <w:left w:val="single" w:color="AACCEE" w:sz="1"/>
              <w:bottom w:val="single" w:color="AACCEE" w:sz="1"/>
              <w:right w:val="single" w:color="AACCEE" w:sz="1"/>
            </w:tcBorders>
            <w:shd w:fill="DBEAFE" w:val="clear"/>
            <w:tcMar>
              <w:top w:type="dxa" w:w="100"/>
              <w:left w:type="dxa" w:w="140"/>
              <w:bottom w:type="dxa" w:w="100"/>
              <w:right w:type="dxa" w:w="140"/>
            </w:tcMar>
            <w:vAlign w:val="center"/>
          </w:tcPr>
          <w:p>
            <w:pPr>
              <w:spacing w:before="60" w:after="60"/>
              <w:jc w:val="left"/>
            </w:pPr>
            <w:r>
              <w:rPr>
                <w:rFonts w:ascii="Arial" w:cs="Arial" w:eastAsia="Arial" w:hAnsi="Arial"/>
                <w:b/>
                <w:bCs/>
                <w:i w:val="false"/>
                <w:iCs w:val="false"/>
                <w:color w:val="1B3A6B"/>
                <w:sz w:val="20"/>
                <w:szCs w:val="20"/>
              </w:rPr>
              <w:t xml:space="preserve">Roadside Assistance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60" w:after="60"/>
              <w:jc w:val="left"/>
            </w:pPr>
            <w:r>
              <w:rPr>
                <w:rFonts w:ascii="Arial" w:cs="Arial" w:eastAsia="Arial" w:hAnsi="Arial"/>
                <w:b w:val="false"/>
                <w:bCs w:val="false"/>
                <w:i w:val="false"/>
                <w:iCs w:val="false"/>
                <w:color w:val="111827"/>
                <w:sz w:val="20"/>
                <w:szCs w:val="20"/>
              </w:rPr>
              <w:t xml:space="preserve">24/7 on-road support for breakdown, towing, flat tyre.</w:t>
            </w:r>
          </w:p>
        </w:tc>
      </w:tr>
      <w:tr>
        <w:tc>
          <w:tcPr>
            <w:tcW w:type="dxa" w:w="2800"/>
            <w:tcBorders>
              <w:top w:val="single" w:color="AACCEE" w:sz="1"/>
              <w:left w:val="single" w:color="AACCEE" w:sz="1"/>
              <w:bottom w:val="single" w:color="AACCEE" w:sz="1"/>
              <w:right w:val="single" w:color="AACCEE" w:sz="1"/>
            </w:tcBorders>
            <w:shd w:fill="DBEAFE" w:val="clear"/>
            <w:tcMar>
              <w:top w:type="dxa" w:w="100"/>
              <w:left w:type="dxa" w:w="140"/>
              <w:bottom w:type="dxa" w:w="100"/>
              <w:right w:type="dxa" w:w="140"/>
            </w:tcMar>
            <w:vAlign w:val="center"/>
          </w:tcPr>
          <w:p>
            <w:pPr>
              <w:spacing w:before="60" w:after="60"/>
              <w:jc w:val="left"/>
            </w:pPr>
            <w:r>
              <w:rPr>
                <w:rFonts w:ascii="Arial" w:cs="Arial" w:eastAsia="Arial" w:hAnsi="Arial"/>
                <w:b/>
                <w:bCs/>
                <w:i w:val="false"/>
                <w:iCs w:val="false"/>
                <w:color w:val="1B3A6B"/>
                <w:sz w:val="20"/>
                <w:szCs w:val="20"/>
              </w:rPr>
              <w:t xml:space="preserve">Return to Invoice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60" w:after="60"/>
              <w:jc w:val="left"/>
            </w:pPr>
            <w:r>
              <w:rPr>
                <w:rFonts w:ascii="Arial" w:cs="Arial" w:eastAsia="Arial" w:hAnsi="Arial"/>
                <w:b w:val="false"/>
                <w:bCs w:val="false"/>
                <w:i w:val="false"/>
                <w:iCs w:val="false"/>
                <w:color w:val="111827"/>
                <w:sz w:val="20"/>
                <w:szCs w:val="20"/>
              </w:rPr>
              <w:t xml:space="preserve">In total loss, insurer pays original invoice value of vehicle.</w:t>
            </w:r>
          </w:p>
        </w:tc>
      </w:tr>
    </w:tbl>
    <w:p>
      <w:pPr>
        <w:spacing w:before="0" w:after="0"/>
      </w:pPr>
      <w:r>
        <w:rPr>
          <w:rFonts w:ascii="Arial" w:cs="Arial" w:eastAsia="Arial" w:hAnsi="Arial"/>
          <w:b w:val="false"/>
          <w:bCs w:val="false"/>
          <w:i w:val="false"/>
          <w:iCs w:val="false"/>
          <w:color w:val="111827"/>
          <w:sz w:val="22"/>
          <w:szCs w:val="22"/>
        </w:rPr>
        <w:t xml:space="preserve"/>
      </w:r>
    </w:p>
    <w:p>
      <w:pPr>
        <w:pStyle w:val="Heading2"/>
        <w:spacing w:before="240" w:after="120"/>
      </w:pPr>
      <w:r>
        <w:rPr>
          <w:rFonts w:ascii="Arial" w:cs="Arial" w:eastAsia="Arial" w:hAnsi="Arial"/>
          <w:b/>
          <w:bCs/>
          <w:color w:val="2563EB"/>
          <w:sz w:val="28"/>
          <w:szCs w:val="28"/>
        </w:rPr>
        <w:t xml:space="preserve">3.2  Vehicle Insurance Premium Factors</w:t>
      </w:r>
    </w:p>
    <w:p>
      <w:pPr>
        <w:pStyle w:val="ListParagraph"/>
        <w:numPr>
          <w:ilvl w:val="0"/>
          <w:numId w:val="2"/>
        </w:numPr>
        <w:spacing w:before="40" w:after="40"/>
      </w:pPr>
      <w:r>
        <w:rPr>
          <w:rFonts w:ascii="Arial" w:cs="Arial" w:eastAsia="Arial" w:hAnsi="Arial"/>
          <w:b w:val="false"/>
          <w:bCs w:val="false"/>
          <w:i w:val="false"/>
          <w:iCs w:val="false"/>
          <w:color w:val="111827"/>
          <w:sz w:val="21"/>
          <w:szCs w:val="21"/>
        </w:rPr>
        <w:t xml:space="preserve">Vehicle age and model (IDV — Insured Declared Value)</w:t>
      </w:r>
    </w:p>
    <w:p>
      <w:pPr>
        <w:pStyle w:val="ListParagraph"/>
        <w:numPr>
          <w:ilvl w:val="0"/>
          <w:numId w:val="2"/>
        </w:numPr>
        <w:spacing w:before="40" w:after="40"/>
      </w:pPr>
      <w:r>
        <w:rPr>
          <w:rFonts w:ascii="Arial" w:cs="Arial" w:eastAsia="Arial" w:hAnsi="Arial"/>
          <w:b w:val="false"/>
          <w:bCs w:val="false"/>
          <w:i w:val="false"/>
          <w:iCs w:val="false"/>
          <w:color w:val="111827"/>
          <w:sz w:val="21"/>
          <w:szCs w:val="21"/>
        </w:rPr>
        <w:t xml:space="preserve">Engine cubic capacity (CC) — higher CC = higher premium</w:t>
      </w:r>
    </w:p>
    <w:p>
      <w:pPr>
        <w:pStyle w:val="ListParagraph"/>
        <w:numPr>
          <w:ilvl w:val="0"/>
          <w:numId w:val="2"/>
        </w:numPr>
        <w:spacing w:before="40" w:after="40"/>
      </w:pPr>
      <w:r>
        <w:rPr>
          <w:rFonts w:ascii="Arial" w:cs="Arial" w:eastAsia="Arial" w:hAnsi="Arial"/>
          <w:b w:val="false"/>
          <w:bCs w:val="false"/>
          <w:i w:val="false"/>
          <w:iCs w:val="false"/>
          <w:color w:val="111827"/>
          <w:sz w:val="21"/>
          <w:szCs w:val="21"/>
        </w:rPr>
        <w:t xml:space="preserve">Geographical zone (Zone A: metro cities; Zone B: others)</w:t>
      </w:r>
    </w:p>
    <w:p>
      <w:pPr>
        <w:pStyle w:val="ListParagraph"/>
        <w:numPr>
          <w:ilvl w:val="0"/>
          <w:numId w:val="2"/>
        </w:numPr>
        <w:spacing w:before="40" w:after="40"/>
      </w:pPr>
      <w:r>
        <w:rPr>
          <w:rFonts w:ascii="Arial" w:cs="Arial" w:eastAsia="Arial" w:hAnsi="Arial"/>
          <w:b w:val="false"/>
          <w:bCs w:val="false"/>
          <w:i w:val="false"/>
          <w:iCs w:val="false"/>
          <w:color w:val="111827"/>
          <w:sz w:val="21"/>
          <w:szCs w:val="21"/>
        </w:rPr>
        <w:t xml:space="preserve">Claim history (No Claim Bonus of 20%–50% for claim-free years)</w:t>
      </w:r>
    </w:p>
    <w:p>
      <w:pPr>
        <w:pStyle w:val="ListParagraph"/>
        <w:numPr>
          <w:ilvl w:val="0"/>
          <w:numId w:val="2"/>
        </w:numPr>
        <w:spacing w:before="40" w:after="40"/>
      </w:pPr>
      <w:r>
        <w:rPr>
          <w:rFonts w:ascii="Arial" w:cs="Arial" w:eastAsia="Arial" w:hAnsi="Arial"/>
          <w:b w:val="false"/>
          <w:bCs w:val="false"/>
          <w:i w:val="false"/>
          <w:iCs w:val="false"/>
          <w:color w:val="111827"/>
          <w:sz w:val="21"/>
          <w:szCs w:val="21"/>
        </w:rPr>
        <w:t xml:space="preserve">Add-ons selected (zero dep, engine protect, etc.)</w:t>
      </w:r>
    </w:p>
    <w:p>
      <w:pPr>
        <w:pStyle w:val="ListParagraph"/>
        <w:numPr>
          <w:ilvl w:val="0"/>
          <w:numId w:val="2"/>
        </w:numPr>
        <w:spacing w:before="40" w:after="40"/>
      </w:pPr>
      <w:r>
        <w:rPr>
          <w:rFonts w:ascii="Arial" w:cs="Arial" w:eastAsia="Arial" w:hAnsi="Arial"/>
          <w:b w:val="false"/>
          <w:bCs w:val="false"/>
          <w:i w:val="false"/>
          <w:iCs w:val="false"/>
          <w:color w:val="111827"/>
          <w:sz w:val="21"/>
          <w:szCs w:val="21"/>
        </w:rPr>
        <w:t xml:space="preserve">Vehicle usage type (personal/commercial/taxi)</w:t>
      </w:r>
    </w:p>
    <w:p>
      <w:pPr>
        <w:spacing w:before="0" w:after="0"/>
      </w:pPr>
      <w:r>
        <w:rPr>
          <w:rFonts w:ascii="Arial" w:cs="Arial" w:eastAsia="Arial" w:hAnsi="Arial"/>
          <w:b w:val="false"/>
          <w:bCs w:val="false"/>
          <w:i w:val="false"/>
          <w:iCs w:val="false"/>
          <w:color w:val="111827"/>
          <w:sz w:val="22"/>
          <w:szCs w:val="22"/>
        </w:rPr>
        <w:t xml:space="preserve"/>
      </w:r>
    </w:p>
    <w:p>
      <w:pPr>
        <w:pStyle w:val="Heading2"/>
        <w:spacing w:before="240" w:after="120"/>
      </w:pPr>
      <w:r>
        <w:rPr>
          <w:rFonts w:ascii="Arial" w:cs="Arial" w:eastAsia="Arial" w:hAnsi="Arial"/>
          <w:b/>
          <w:bCs/>
          <w:color w:val="2563EB"/>
          <w:sz w:val="28"/>
          <w:szCs w:val="28"/>
        </w:rPr>
        <w:t xml:space="preserve">3.3  No Claim Bonus (NCB)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AACCEE" w:sz="1"/>
              <w:left w:val="single" w:color="AACCEE" w:sz="1"/>
              <w:bottom w:val="single" w:color="AACCEE" w:sz="1"/>
              <w:right w:val="single" w:color="AACCEE" w:sz="1"/>
            </w:tcBorders>
            <w:shd w:fill="1B3A6B" w:val="clear"/>
            <w:tcMar>
              <w:top w:type="dxa" w:w="100"/>
              <w:left w:type="dxa" w:w="140"/>
              <w:bottom w:type="dxa" w:w="100"/>
              <w:right w:type="dxa" w:w="140"/>
            </w:tcMar>
            <w:vAlign w:val="center"/>
          </w:tcPr>
          <w:p>
            <w:pPr>
              <w:spacing w:before="60" w:after="60"/>
              <w:jc w:val="left"/>
            </w:pPr>
            <w:r>
              <w:rPr>
                <w:rFonts w:ascii="Arial" w:cs="Arial" w:eastAsia="Arial" w:hAnsi="Arial"/>
                <w:b/>
                <w:bCs/>
                <w:i w:val="false"/>
                <w:iCs w:val="false"/>
                <w:color w:val="FFFFFF"/>
                <w:sz w:val="20"/>
                <w:szCs w:val="20"/>
              </w:rPr>
              <w:t xml:space="preserve">Consecutive Claim-Free Years</w:t>
            </w:r>
          </w:p>
        </w:tc>
        <w:tc>
          <w:tcPr>
            <w:tcW w:type="dxa" w:w="53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spacing w:before="60" w:after="60"/>
              <w:jc w:val="left"/>
            </w:pPr>
            <w:r>
              <w:rPr>
                <w:rFonts w:ascii="Arial" w:cs="Arial" w:eastAsia="Arial" w:hAnsi="Arial"/>
                <w:b w:val="false"/>
                <w:bCs w:val="false"/>
                <w:i w:val="false"/>
                <w:iCs w:val="false"/>
                <w:color w:val="111827"/>
                <w:sz w:val="20"/>
                <w:szCs w:val="20"/>
              </w:rPr>
              <w:t xml:space="preserve">NCB Discount on Own Damage Premium</w:t>
            </w:r>
          </w:p>
        </w:tc>
      </w:tr>
      <w:tr>
        <w:tc>
          <w:tcPr>
            <w:tcW w:type="dxa" w:w="4000"/>
            <w:tcBorders>
              <w:top w:val="single" w:color="AACCEE" w:sz="1"/>
              <w:left w:val="single" w:color="AACCEE" w:sz="1"/>
              <w:bottom w:val="single" w:color="AACCEE" w:sz="1"/>
              <w:right w:val="single" w:color="AACCEE" w:sz="1"/>
            </w:tcBorders>
            <w:shd w:fill="DBEAFE" w:val="clear"/>
            <w:tcMar>
              <w:top w:type="dxa" w:w="100"/>
              <w:left w:type="dxa" w:w="140"/>
              <w:bottom w:type="dxa" w:w="100"/>
              <w:right w:type="dxa" w:w="140"/>
            </w:tcMar>
            <w:vAlign w:val="center"/>
          </w:tcPr>
          <w:p>
            <w:pPr>
              <w:spacing w:before="60" w:after="60"/>
              <w:jc w:val="left"/>
            </w:pPr>
            <w:r>
              <w:rPr>
                <w:rFonts w:ascii="Arial" w:cs="Arial" w:eastAsia="Arial" w:hAnsi="Arial"/>
                <w:b/>
                <w:bCs/>
                <w:i w:val="false"/>
                <w:iCs w:val="false"/>
                <w:color w:val="1B3A6B"/>
                <w:sz w:val="20"/>
                <w:szCs w:val="20"/>
              </w:rPr>
              <w:t xml:space="preserve">1 year</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60" w:after="60"/>
              <w:jc w:val="left"/>
            </w:pPr>
            <w:r>
              <w:rPr>
                <w:rFonts w:ascii="Arial" w:cs="Arial" w:eastAsia="Arial" w:hAnsi="Arial"/>
                <w:b w:val="false"/>
                <w:bCs w:val="false"/>
                <w:i w:val="false"/>
                <w:iCs w:val="false"/>
                <w:color w:val="111827"/>
                <w:sz w:val="20"/>
                <w:szCs w:val="20"/>
              </w:rPr>
              <w:t xml:space="preserve">20% discount</w:t>
            </w:r>
          </w:p>
        </w:tc>
      </w:tr>
      <w:tr>
        <w:tc>
          <w:tcPr>
            <w:tcW w:type="dxa" w:w="4000"/>
            <w:tcBorders>
              <w:top w:val="single" w:color="AACCEE" w:sz="1"/>
              <w:left w:val="single" w:color="AACCEE" w:sz="1"/>
              <w:bottom w:val="single" w:color="AACCEE" w:sz="1"/>
              <w:right w:val="single" w:color="AACCEE" w:sz="1"/>
            </w:tcBorders>
            <w:shd w:fill="DBEAFE" w:val="clear"/>
            <w:tcMar>
              <w:top w:type="dxa" w:w="100"/>
              <w:left w:type="dxa" w:w="140"/>
              <w:bottom w:type="dxa" w:w="100"/>
              <w:right w:type="dxa" w:w="140"/>
            </w:tcMar>
            <w:vAlign w:val="center"/>
          </w:tcPr>
          <w:p>
            <w:pPr>
              <w:spacing w:before="60" w:after="60"/>
              <w:jc w:val="left"/>
            </w:pPr>
            <w:r>
              <w:rPr>
                <w:rFonts w:ascii="Arial" w:cs="Arial" w:eastAsia="Arial" w:hAnsi="Arial"/>
                <w:b/>
                <w:bCs/>
                <w:i w:val="false"/>
                <w:iCs w:val="false"/>
                <w:color w:val="1B3A6B"/>
                <w:sz w:val="20"/>
                <w:szCs w:val="20"/>
              </w:rPr>
              <w:t xml:space="preserve">2 years</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60" w:after="60"/>
              <w:jc w:val="left"/>
            </w:pPr>
            <w:r>
              <w:rPr>
                <w:rFonts w:ascii="Arial" w:cs="Arial" w:eastAsia="Arial" w:hAnsi="Arial"/>
                <w:b w:val="false"/>
                <w:bCs w:val="false"/>
                <w:i w:val="false"/>
                <w:iCs w:val="false"/>
                <w:color w:val="111827"/>
                <w:sz w:val="20"/>
                <w:szCs w:val="20"/>
              </w:rPr>
              <w:t xml:space="preserve">25% discount</w:t>
            </w:r>
          </w:p>
        </w:tc>
      </w:tr>
      <w:tr>
        <w:tc>
          <w:tcPr>
            <w:tcW w:type="dxa" w:w="4000"/>
            <w:tcBorders>
              <w:top w:val="single" w:color="AACCEE" w:sz="1"/>
              <w:left w:val="single" w:color="AACCEE" w:sz="1"/>
              <w:bottom w:val="single" w:color="AACCEE" w:sz="1"/>
              <w:right w:val="single" w:color="AACCEE" w:sz="1"/>
            </w:tcBorders>
            <w:shd w:fill="DBEAFE" w:val="clear"/>
            <w:tcMar>
              <w:top w:type="dxa" w:w="100"/>
              <w:left w:type="dxa" w:w="140"/>
              <w:bottom w:type="dxa" w:w="100"/>
              <w:right w:type="dxa" w:w="140"/>
            </w:tcMar>
            <w:vAlign w:val="center"/>
          </w:tcPr>
          <w:p>
            <w:pPr>
              <w:spacing w:before="60" w:after="60"/>
              <w:jc w:val="left"/>
            </w:pPr>
            <w:r>
              <w:rPr>
                <w:rFonts w:ascii="Arial" w:cs="Arial" w:eastAsia="Arial" w:hAnsi="Arial"/>
                <w:b/>
                <w:bCs/>
                <w:i w:val="false"/>
                <w:iCs w:val="false"/>
                <w:color w:val="1B3A6B"/>
                <w:sz w:val="20"/>
                <w:szCs w:val="20"/>
              </w:rPr>
              <w:t xml:space="preserve">3 years</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60" w:after="60"/>
              <w:jc w:val="left"/>
            </w:pPr>
            <w:r>
              <w:rPr>
                <w:rFonts w:ascii="Arial" w:cs="Arial" w:eastAsia="Arial" w:hAnsi="Arial"/>
                <w:b w:val="false"/>
                <w:bCs w:val="false"/>
                <w:i w:val="false"/>
                <w:iCs w:val="false"/>
                <w:color w:val="111827"/>
                <w:sz w:val="20"/>
                <w:szCs w:val="20"/>
              </w:rPr>
              <w:t xml:space="preserve">35% discount</w:t>
            </w:r>
          </w:p>
        </w:tc>
      </w:tr>
      <w:tr>
        <w:tc>
          <w:tcPr>
            <w:tcW w:type="dxa" w:w="4000"/>
            <w:tcBorders>
              <w:top w:val="single" w:color="AACCEE" w:sz="1"/>
              <w:left w:val="single" w:color="AACCEE" w:sz="1"/>
              <w:bottom w:val="single" w:color="AACCEE" w:sz="1"/>
              <w:right w:val="single" w:color="AACCEE" w:sz="1"/>
            </w:tcBorders>
            <w:shd w:fill="DBEAFE" w:val="clear"/>
            <w:tcMar>
              <w:top w:type="dxa" w:w="100"/>
              <w:left w:type="dxa" w:w="140"/>
              <w:bottom w:type="dxa" w:w="100"/>
              <w:right w:type="dxa" w:w="140"/>
            </w:tcMar>
            <w:vAlign w:val="center"/>
          </w:tcPr>
          <w:p>
            <w:pPr>
              <w:spacing w:before="60" w:after="60"/>
              <w:jc w:val="left"/>
            </w:pPr>
            <w:r>
              <w:rPr>
                <w:rFonts w:ascii="Arial" w:cs="Arial" w:eastAsia="Arial" w:hAnsi="Arial"/>
                <w:b/>
                <w:bCs/>
                <w:i w:val="false"/>
                <w:iCs w:val="false"/>
                <w:color w:val="1B3A6B"/>
                <w:sz w:val="20"/>
                <w:szCs w:val="20"/>
              </w:rPr>
              <w:t xml:space="preserve">4 years</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60" w:after="60"/>
              <w:jc w:val="left"/>
            </w:pPr>
            <w:r>
              <w:rPr>
                <w:rFonts w:ascii="Arial" w:cs="Arial" w:eastAsia="Arial" w:hAnsi="Arial"/>
                <w:b w:val="false"/>
                <w:bCs w:val="false"/>
                <w:i w:val="false"/>
                <w:iCs w:val="false"/>
                <w:color w:val="111827"/>
                <w:sz w:val="20"/>
                <w:szCs w:val="20"/>
              </w:rPr>
              <w:t xml:space="preserve">45% discount</w:t>
            </w:r>
          </w:p>
        </w:tc>
      </w:tr>
      <w:tr>
        <w:tc>
          <w:tcPr>
            <w:tcW w:type="dxa" w:w="4000"/>
            <w:tcBorders>
              <w:top w:val="single" w:color="AACCEE" w:sz="1"/>
              <w:left w:val="single" w:color="AACCEE" w:sz="1"/>
              <w:bottom w:val="single" w:color="AACCEE" w:sz="1"/>
              <w:right w:val="single" w:color="AACCEE" w:sz="1"/>
            </w:tcBorders>
            <w:shd w:fill="DBEAFE" w:val="clear"/>
            <w:tcMar>
              <w:top w:type="dxa" w:w="100"/>
              <w:left w:type="dxa" w:w="140"/>
              <w:bottom w:type="dxa" w:w="100"/>
              <w:right w:type="dxa" w:w="140"/>
            </w:tcMar>
            <w:vAlign w:val="center"/>
          </w:tcPr>
          <w:p>
            <w:pPr>
              <w:spacing w:before="60" w:after="60"/>
              <w:jc w:val="left"/>
            </w:pPr>
            <w:r>
              <w:rPr>
                <w:rFonts w:ascii="Arial" w:cs="Arial" w:eastAsia="Arial" w:hAnsi="Arial"/>
                <w:b/>
                <w:bCs/>
                <w:i w:val="false"/>
                <w:iCs w:val="false"/>
                <w:color w:val="1B3A6B"/>
                <w:sz w:val="20"/>
                <w:szCs w:val="20"/>
              </w:rPr>
              <w:t xml:space="preserve">5 years</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60" w:after="60"/>
              <w:jc w:val="left"/>
            </w:pPr>
            <w:r>
              <w:rPr>
                <w:rFonts w:ascii="Arial" w:cs="Arial" w:eastAsia="Arial" w:hAnsi="Arial"/>
                <w:b w:val="false"/>
                <w:bCs w:val="false"/>
                <w:i w:val="false"/>
                <w:iCs w:val="false"/>
                <w:color w:val="111827"/>
                <w:sz w:val="20"/>
                <w:szCs w:val="20"/>
              </w:rPr>
              <w:t xml:space="preserve">50% discount (maximum)</w:t>
            </w:r>
          </w:p>
        </w:tc>
      </w:tr>
      <w:tr>
        <w:tc>
          <w:tcPr>
            <w:tcW w:type="dxa" w:w="4000"/>
            <w:tcBorders>
              <w:top w:val="single" w:color="AACCEE" w:sz="1"/>
              <w:left w:val="single" w:color="AACCEE" w:sz="1"/>
              <w:bottom w:val="single" w:color="AACCEE" w:sz="1"/>
              <w:right w:val="single" w:color="AACCEE" w:sz="1"/>
            </w:tcBorders>
            <w:shd w:fill="DBEAFE" w:val="clear"/>
            <w:tcMar>
              <w:top w:type="dxa" w:w="100"/>
              <w:left w:type="dxa" w:w="140"/>
              <w:bottom w:type="dxa" w:w="100"/>
              <w:right w:type="dxa" w:w="140"/>
            </w:tcMar>
            <w:vAlign w:val="center"/>
          </w:tcPr>
          <w:p>
            <w:pPr>
              <w:spacing w:before="60" w:after="60"/>
              <w:jc w:val="left"/>
            </w:pPr>
            <w:r>
              <w:rPr>
                <w:rFonts w:ascii="Arial" w:cs="Arial" w:eastAsia="Arial" w:hAnsi="Arial"/>
                <w:b/>
                <w:bCs/>
                <w:i w:val="false"/>
                <w:iCs w:val="false"/>
                <w:color w:val="1B3A6B"/>
                <w:sz w:val="20"/>
                <w:szCs w:val="20"/>
              </w:rPr>
              <w:t xml:space="preserve">NCB Transfer</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60" w:after="60"/>
              <w:jc w:val="left"/>
            </w:pPr>
            <w:r>
              <w:rPr>
                <w:rFonts w:ascii="Arial" w:cs="Arial" w:eastAsia="Arial" w:hAnsi="Arial"/>
                <w:b w:val="false"/>
                <w:bCs w:val="false"/>
                <w:i w:val="false"/>
                <w:iCs w:val="false"/>
                <w:color w:val="111827"/>
                <w:sz w:val="20"/>
                <w:szCs w:val="20"/>
              </w:rPr>
              <w:t xml:space="preserve">Transferable when changing insurer; lost if any claim is made</w:t>
            </w:r>
          </w:p>
        </w:tc>
      </w:tr>
    </w:tbl>
    <w:p>
      <w:pPr>
        <w:spacing w:before="0" w:after="0"/>
      </w:pPr>
      <w:r>
        <w:rPr>
          <w:rFonts w:ascii="Arial" w:cs="Arial" w:eastAsia="Arial" w:hAnsi="Arial"/>
          <w:b w:val="false"/>
          <w:bCs w:val="false"/>
          <w:i w:val="false"/>
          <w:iCs w:val="false"/>
          <w:color w:val="111827"/>
          <w:sz w:val="22"/>
          <w:szCs w:val="22"/>
        </w:rPr>
        <w:t xml:space="preserve"/>
      </w:r>
    </w:p>
    <w:p>
      <w:pPr>
        <w:pStyle w:val="Heading2"/>
        <w:spacing w:before="240" w:after="120"/>
      </w:pPr>
      <w:r>
        <w:rPr>
          <w:rFonts w:ascii="Arial" w:cs="Arial" w:eastAsia="Arial" w:hAnsi="Arial"/>
          <w:b/>
          <w:bCs/>
          <w:color w:val="2563EB"/>
          <w:sz w:val="28"/>
          <w:szCs w:val="28"/>
        </w:rPr>
        <w:t xml:space="preserve">3.4  Top Vehicle Insurance Providers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spacing w:before="60" w:after="60"/>
              <w:jc w:val="center"/>
            </w:pPr>
            <w:r>
              <w:rPr>
                <w:rFonts w:ascii="Arial" w:cs="Arial" w:eastAsia="Arial" w:hAnsi="Arial"/>
                <w:b/>
                <w:bCs/>
                <w:i w:val="false"/>
                <w:iCs w:val="false"/>
                <w:color w:val="FFFFFF"/>
                <w:sz w:val="20"/>
                <w:szCs w:val="20"/>
              </w:rPr>
              <w:t xml:space="preserve">Bajaj Allianz
Motor Insurance</w:t>
            </w:r>
          </w:p>
        </w:tc>
        <w:tc>
          <w:tcPr>
            <w:tcW w:type="dxa" w:w="312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spacing w:before="60" w:after="60"/>
              <w:jc w:val="center"/>
            </w:pPr>
            <w:r>
              <w:rPr>
                <w:rFonts w:ascii="Arial" w:cs="Arial" w:eastAsia="Arial" w:hAnsi="Arial"/>
                <w:b/>
                <w:bCs/>
                <w:i w:val="false"/>
                <w:iCs w:val="false"/>
                <w:color w:val="FFFFFF"/>
                <w:sz w:val="20"/>
                <w:szCs w:val="20"/>
              </w:rPr>
              <w:t xml:space="preserve">HDFC ERGO
Motor</w:t>
            </w:r>
          </w:p>
        </w:tc>
        <w:tc>
          <w:tcPr>
            <w:tcW w:type="dxa" w:w="312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spacing w:before="60" w:after="60"/>
              <w:jc w:val="center"/>
            </w:pPr>
            <w:r>
              <w:rPr>
                <w:rFonts w:ascii="Arial" w:cs="Arial" w:eastAsia="Arial" w:hAnsi="Arial"/>
                <w:b/>
                <w:bCs/>
                <w:i w:val="false"/>
                <w:iCs w:val="false"/>
                <w:color w:val="FFFFFF"/>
                <w:sz w:val="20"/>
                <w:szCs w:val="20"/>
              </w:rPr>
              <w:t xml:space="preserve">ICICI Lombard
Complete Cover</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60" w:after="30"/>
              <w:jc w:val="left"/>
            </w:pPr>
            <w:r>
              <w:rPr>
                <w:rFonts w:ascii="Arial" w:cs="Arial" w:eastAsia="Arial" w:hAnsi="Arial"/>
                <w:b/>
                <w:bCs/>
                <w:i w:val="false"/>
                <w:iCs w:val="false"/>
                <w:color w:val="1B3A6B"/>
                <w:sz w:val="18"/>
                <w:szCs w:val="18"/>
              </w:rPr>
              <w:t xml:space="preserve">Monthly Premium</w:t>
            </w:r>
          </w:p>
          <w:p>
            <w:pPr>
              <w:spacing w:before="60" w:after="60"/>
              <w:jc w:val="left"/>
            </w:pPr>
            <w:r>
              <w:rPr>
                <w:rFonts w:ascii="Arial" w:cs="Arial" w:eastAsia="Arial" w:hAnsi="Arial"/>
                <w:b w:val="false"/>
                <w:bCs w:val="false"/>
                <w:i w:val="false"/>
                <w:iCs w:val="false"/>
                <w:color w:val="111827"/>
                <w:sz w:val="20"/>
                <w:szCs w:val="20"/>
              </w:rPr>
              <w:t xml:space="preserve">Car: ₹3,500–₹12,000/yr
Bike: ₹1,200–₹4,000/yr</w:t>
            </w:r>
          </w:p>
        </w:tc>
        <w:tc>
          <w:tcPr>
            <w:tcW w:type="dxa" w:w="3120"/>
            <w:tcBorders>
              <w:top w:val="single" w:color="DDDDDD" w:sz="1"/>
              <w:left w:val="single" w:color="DDDDDD" w:sz="1"/>
              <w:bottom w:val="single" w:color="DDDDDD" w:sz="1"/>
              <w:right w:val="single" w:color="DDDDDD" w:sz="1"/>
            </w:tcBorders>
            <w:shd w:fill="F3F4F6" w:val="clear"/>
            <w:tcMar>
              <w:top w:type="dxa" w:w="100"/>
              <w:left w:type="dxa" w:w="140"/>
              <w:bottom w:type="dxa" w:w="100"/>
              <w:right w:type="dxa" w:w="140"/>
            </w:tcMar>
            <w:vAlign w:val="center"/>
          </w:tcPr>
          <w:p>
            <w:pPr>
              <w:spacing w:before="60" w:after="30"/>
              <w:jc w:val="left"/>
            </w:pPr>
            <w:r>
              <w:rPr>
                <w:rFonts w:ascii="Arial" w:cs="Arial" w:eastAsia="Arial" w:hAnsi="Arial"/>
                <w:b/>
                <w:bCs/>
                <w:i w:val="false"/>
                <w:iCs w:val="false"/>
                <w:color w:val="1B3A6B"/>
                <w:sz w:val="18"/>
                <w:szCs w:val="18"/>
              </w:rPr>
              <w:t xml:space="preserve">Monthly Premium</w:t>
            </w:r>
          </w:p>
          <w:p>
            <w:pPr>
              <w:spacing w:before="60" w:after="60"/>
              <w:jc w:val="left"/>
            </w:pPr>
            <w:r>
              <w:rPr>
                <w:rFonts w:ascii="Arial" w:cs="Arial" w:eastAsia="Arial" w:hAnsi="Arial"/>
                <w:b w:val="false"/>
                <w:bCs w:val="false"/>
                <w:i w:val="false"/>
                <w:iCs w:val="false"/>
                <w:color w:val="111827"/>
                <w:sz w:val="20"/>
                <w:szCs w:val="20"/>
              </w:rPr>
              <w:t xml:space="preserve">Car: ₹4,000–₹14,000/yr
Bike: ₹1,500–₹4,500/yr</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60" w:after="30"/>
              <w:jc w:val="left"/>
            </w:pPr>
            <w:r>
              <w:rPr>
                <w:rFonts w:ascii="Arial" w:cs="Arial" w:eastAsia="Arial" w:hAnsi="Arial"/>
                <w:b/>
                <w:bCs/>
                <w:i w:val="false"/>
                <w:iCs w:val="false"/>
                <w:color w:val="1B3A6B"/>
                <w:sz w:val="18"/>
                <w:szCs w:val="18"/>
              </w:rPr>
              <w:t xml:space="preserve">Monthly Premium</w:t>
            </w:r>
          </w:p>
          <w:p>
            <w:pPr>
              <w:spacing w:before="60" w:after="60"/>
              <w:jc w:val="left"/>
            </w:pPr>
            <w:r>
              <w:rPr>
                <w:rFonts w:ascii="Arial" w:cs="Arial" w:eastAsia="Arial" w:hAnsi="Arial"/>
                <w:b w:val="false"/>
                <w:bCs w:val="false"/>
                <w:i w:val="false"/>
                <w:iCs w:val="false"/>
                <w:color w:val="111827"/>
                <w:sz w:val="20"/>
                <w:szCs w:val="20"/>
              </w:rPr>
              <w:t xml:space="preserve">Car: ₹3,800–₹13,000/yr
Bike: ₹1,300–₹4,200/yr</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60" w:after="30"/>
              <w:jc w:val="left"/>
            </w:pPr>
            <w:r>
              <w:rPr>
                <w:rFonts w:ascii="Arial" w:cs="Arial" w:eastAsia="Arial" w:hAnsi="Arial"/>
                <w:b/>
                <w:bCs/>
                <w:i w:val="false"/>
                <w:iCs w:val="false"/>
                <w:color w:val="1B3A6B"/>
                <w:sz w:val="18"/>
                <w:szCs w:val="18"/>
              </w:rPr>
              <w:t xml:space="preserve">Sum Insured</w:t>
            </w:r>
          </w:p>
          <w:p>
            <w:pPr>
              <w:spacing w:before="60" w:after="60"/>
              <w:jc w:val="left"/>
            </w:pPr>
            <w:r>
              <w:rPr>
                <w:rFonts w:ascii="Arial" w:cs="Arial" w:eastAsia="Arial" w:hAnsi="Arial"/>
                <w:b w:val="false"/>
                <w:bCs w:val="false"/>
                <w:i w:val="false"/>
                <w:iCs w:val="false"/>
                <w:color w:val="111827"/>
                <w:sz w:val="20"/>
                <w:szCs w:val="20"/>
              </w:rPr>
              <w:t xml:space="preserve">As per IDV
(typically 90% of market value)</w:t>
            </w:r>
          </w:p>
        </w:tc>
        <w:tc>
          <w:tcPr>
            <w:tcW w:type="dxa" w:w="3120"/>
            <w:tcBorders>
              <w:top w:val="single" w:color="DDDDDD" w:sz="1"/>
              <w:left w:val="single" w:color="DDDDDD" w:sz="1"/>
              <w:bottom w:val="single" w:color="DDDDDD" w:sz="1"/>
              <w:right w:val="single" w:color="DDDDDD" w:sz="1"/>
            </w:tcBorders>
            <w:shd w:fill="F3F4F6" w:val="clear"/>
            <w:tcMar>
              <w:top w:type="dxa" w:w="100"/>
              <w:left w:type="dxa" w:w="140"/>
              <w:bottom w:type="dxa" w:w="100"/>
              <w:right w:type="dxa" w:w="140"/>
            </w:tcMar>
            <w:vAlign w:val="center"/>
          </w:tcPr>
          <w:p>
            <w:pPr>
              <w:spacing w:before="60" w:after="30"/>
              <w:jc w:val="left"/>
            </w:pPr>
            <w:r>
              <w:rPr>
                <w:rFonts w:ascii="Arial" w:cs="Arial" w:eastAsia="Arial" w:hAnsi="Arial"/>
                <w:b/>
                <w:bCs/>
                <w:i w:val="false"/>
                <w:iCs w:val="false"/>
                <w:color w:val="1B3A6B"/>
                <w:sz w:val="18"/>
                <w:szCs w:val="18"/>
              </w:rPr>
              <w:t xml:space="preserve">Sum Insured</w:t>
            </w:r>
          </w:p>
          <w:p>
            <w:pPr>
              <w:spacing w:before="60" w:after="60"/>
              <w:jc w:val="left"/>
            </w:pPr>
            <w:r>
              <w:rPr>
                <w:rFonts w:ascii="Arial" w:cs="Arial" w:eastAsia="Arial" w:hAnsi="Arial"/>
                <w:b w:val="false"/>
                <w:bCs w:val="false"/>
                <w:i w:val="false"/>
                <w:iCs w:val="false"/>
                <w:color w:val="111827"/>
                <w:sz w:val="20"/>
                <w:szCs w:val="20"/>
              </w:rPr>
              <w:t xml:space="preserve">Full IDV
or agreed value</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60" w:after="30"/>
              <w:jc w:val="left"/>
            </w:pPr>
            <w:r>
              <w:rPr>
                <w:rFonts w:ascii="Arial" w:cs="Arial" w:eastAsia="Arial" w:hAnsi="Arial"/>
                <w:b/>
                <w:bCs/>
                <w:i w:val="false"/>
                <w:iCs w:val="false"/>
                <w:color w:val="1B3A6B"/>
                <w:sz w:val="18"/>
                <w:szCs w:val="18"/>
              </w:rPr>
              <w:t xml:space="preserve">Sum Insured</w:t>
            </w:r>
          </w:p>
          <w:p>
            <w:pPr>
              <w:spacing w:before="60" w:after="60"/>
              <w:jc w:val="left"/>
            </w:pPr>
            <w:r>
              <w:rPr>
                <w:rFonts w:ascii="Arial" w:cs="Arial" w:eastAsia="Arial" w:hAnsi="Arial"/>
                <w:b w:val="false"/>
                <w:bCs w:val="false"/>
                <w:i w:val="false"/>
                <w:iCs w:val="false"/>
                <w:color w:val="111827"/>
                <w:sz w:val="20"/>
                <w:szCs w:val="20"/>
              </w:rPr>
              <w:t xml:space="preserve">IDV based
+ Return to Invoice</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60" w:after="30"/>
              <w:jc w:val="left"/>
            </w:pPr>
            <w:r>
              <w:rPr>
                <w:rFonts w:ascii="Arial" w:cs="Arial" w:eastAsia="Arial" w:hAnsi="Arial"/>
                <w:b/>
                <w:bCs/>
                <w:i w:val="false"/>
                <w:iCs w:val="false"/>
                <w:color w:val="1B3A6B"/>
                <w:sz w:val="18"/>
                <w:szCs w:val="18"/>
              </w:rPr>
              <w:t xml:space="preserve">Waiting Period</w:t>
            </w:r>
          </w:p>
          <w:p>
            <w:pPr>
              <w:spacing w:before="60" w:after="60"/>
              <w:jc w:val="left"/>
            </w:pPr>
            <w:r>
              <w:rPr>
                <w:rFonts w:ascii="Arial" w:cs="Arial" w:eastAsia="Arial" w:hAnsi="Arial"/>
                <w:b w:val="false"/>
                <w:bCs w:val="false"/>
                <w:i w:val="false"/>
                <w:iCs w:val="false"/>
                <w:color w:val="111827"/>
                <w:sz w:val="20"/>
                <w:szCs w:val="20"/>
              </w:rPr>
              <w:t xml:space="preserve">No waiting period
(effective immediately)</w:t>
            </w:r>
          </w:p>
        </w:tc>
        <w:tc>
          <w:tcPr>
            <w:tcW w:type="dxa" w:w="3120"/>
            <w:tcBorders>
              <w:top w:val="single" w:color="DDDDDD" w:sz="1"/>
              <w:left w:val="single" w:color="DDDDDD" w:sz="1"/>
              <w:bottom w:val="single" w:color="DDDDDD" w:sz="1"/>
              <w:right w:val="single" w:color="DDDDDD" w:sz="1"/>
            </w:tcBorders>
            <w:shd w:fill="F3F4F6" w:val="clear"/>
            <w:tcMar>
              <w:top w:type="dxa" w:w="100"/>
              <w:left w:type="dxa" w:w="140"/>
              <w:bottom w:type="dxa" w:w="100"/>
              <w:right w:type="dxa" w:w="140"/>
            </w:tcMar>
            <w:vAlign w:val="center"/>
          </w:tcPr>
          <w:p>
            <w:pPr>
              <w:spacing w:before="60" w:after="30"/>
              <w:jc w:val="left"/>
            </w:pPr>
            <w:r>
              <w:rPr>
                <w:rFonts w:ascii="Arial" w:cs="Arial" w:eastAsia="Arial" w:hAnsi="Arial"/>
                <w:b/>
                <w:bCs/>
                <w:i w:val="false"/>
                <w:iCs w:val="false"/>
                <w:color w:val="1B3A6B"/>
                <w:sz w:val="18"/>
                <w:szCs w:val="18"/>
              </w:rPr>
              <w:t xml:space="preserve">Waiting Period</w:t>
            </w:r>
          </w:p>
          <w:p>
            <w:pPr>
              <w:spacing w:before="60" w:after="60"/>
              <w:jc w:val="left"/>
            </w:pPr>
            <w:r>
              <w:rPr>
                <w:rFonts w:ascii="Arial" w:cs="Arial" w:eastAsia="Arial" w:hAnsi="Arial"/>
                <w:b w:val="false"/>
                <w:bCs w:val="false"/>
                <w:i w:val="false"/>
                <w:iCs w:val="false"/>
                <w:color w:val="111827"/>
                <w:sz w:val="20"/>
                <w:szCs w:val="20"/>
              </w:rPr>
              <w:t xml:space="preserve">Immediate</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60" w:after="30"/>
              <w:jc w:val="left"/>
            </w:pPr>
            <w:r>
              <w:rPr>
                <w:rFonts w:ascii="Arial" w:cs="Arial" w:eastAsia="Arial" w:hAnsi="Arial"/>
                <w:b/>
                <w:bCs/>
                <w:i w:val="false"/>
                <w:iCs w:val="false"/>
                <w:color w:val="1B3A6B"/>
                <w:sz w:val="18"/>
                <w:szCs w:val="18"/>
              </w:rPr>
              <w:t xml:space="preserve">Waiting Period</w:t>
            </w:r>
          </w:p>
          <w:p>
            <w:pPr>
              <w:spacing w:before="60" w:after="60"/>
              <w:jc w:val="left"/>
            </w:pPr>
            <w:r>
              <w:rPr>
                <w:rFonts w:ascii="Arial" w:cs="Arial" w:eastAsia="Arial" w:hAnsi="Arial"/>
                <w:b w:val="false"/>
                <w:bCs w:val="false"/>
                <w:i w:val="false"/>
                <w:iCs w:val="false"/>
                <w:color w:val="111827"/>
                <w:sz w:val="20"/>
                <w:szCs w:val="20"/>
              </w:rPr>
              <w:t xml:space="preserve">Immediate</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60" w:after="30"/>
              <w:jc w:val="left"/>
            </w:pPr>
            <w:r>
              <w:rPr>
                <w:rFonts w:ascii="Arial" w:cs="Arial" w:eastAsia="Arial" w:hAnsi="Arial"/>
                <w:b/>
                <w:bCs/>
                <w:i w:val="false"/>
                <w:iCs w:val="false"/>
                <w:color w:val="1B3A6B"/>
                <w:sz w:val="18"/>
                <w:szCs w:val="18"/>
              </w:rPr>
              <w:t xml:space="preserve">Network Hospitals</w:t>
            </w:r>
          </w:p>
          <w:p>
            <w:pPr>
              <w:spacing w:before="60" w:after="60"/>
              <w:jc w:val="left"/>
            </w:pPr>
            <w:r>
              <w:rPr>
                <w:rFonts w:ascii="Arial" w:cs="Arial" w:eastAsia="Arial" w:hAnsi="Arial"/>
                <w:b w:val="false"/>
                <w:bCs w:val="false"/>
                <w:i w:val="false"/>
                <w:iCs w:val="false"/>
                <w:color w:val="111827"/>
                <w:sz w:val="20"/>
                <w:szCs w:val="20"/>
              </w:rPr>
              <w:t xml:space="preserve">4,000+ cashless
garages</w:t>
            </w:r>
          </w:p>
        </w:tc>
        <w:tc>
          <w:tcPr>
            <w:tcW w:type="dxa" w:w="3120"/>
            <w:tcBorders>
              <w:top w:val="single" w:color="DDDDDD" w:sz="1"/>
              <w:left w:val="single" w:color="DDDDDD" w:sz="1"/>
              <w:bottom w:val="single" w:color="DDDDDD" w:sz="1"/>
              <w:right w:val="single" w:color="DDDDDD" w:sz="1"/>
            </w:tcBorders>
            <w:shd w:fill="F3F4F6" w:val="clear"/>
            <w:tcMar>
              <w:top w:type="dxa" w:w="100"/>
              <w:left w:type="dxa" w:w="140"/>
              <w:bottom w:type="dxa" w:w="100"/>
              <w:right w:type="dxa" w:w="140"/>
            </w:tcMar>
            <w:vAlign w:val="center"/>
          </w:tcPr>
          <w:p>
            <w:pPr>
              <w:spacing w:before="60" w:after="30"/>
              <w:jc w:val="left"/>
            </w:pPr>
            <w:r>
              <w:rPr>
                <w:rFonts w:ascii="Arial" w:cs="Arial" w:eastAsia="Arial" w:hAnsi="Arial"/>
                <w:b/>
                <w:bCs/>
                <w:i w:val="false"/>
                <w:iCs w:val="false"/>
                <w:color w:val="1B3A6B"/>
                <w:sz w:val="18"/>
                <w:szCs w:val="18"/>
              </w:rPr>
              <w:t xml:space="preserve">Network Hospitals</w:t>
            </w:r>
          </w:p>
          <w:p>
            <w:pPr>
              <w:spacing w:before="60" w:after="60"/>
              <w:jc w:val="left"/>
            </w:pPr>
            <w:r>
              <w:rPr>
                <w:rFonts w:ascii="Arial" w:cs="Arial" w:eastAsia="Arial" w:hAnsi="Arial"/>
                <w:b w:val="false"/>
                <w:bCs w:val="false"/>
                <w:i w:val="false"/>
                <w:iCs w:val="false"/>
                <w:color w:val="111827"/>
                <w:sz w:val="20"/>
                <w:szCs w:val="20"/>
              </w:rPr>
              <w:t xml:space="preserve">6,800+ garages
nationwide</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60" w:after="30"/>
              <w:jc w:val="left"/>
            </w:pPr>
            <w:r>
              <w:rPr>
                <w:rFonts w:ascii="Arial" w:cs="Arial" w:eastAsia="Arial" w:hAnsi="Arial"/>
                <w:b/>
                <w:bCs/>
                <w:i w:val="false"/>
                <w:iCs w:val="false"/>
                <w:color w:val="1B3A6B"/>
                <w:sz w:val="18"/>
                <w:szCs w:val="18"/>
              </w:rPr>
              <w:t xml:space="preserve">Network Hospitals</w:t>
            </w:r>
          </w:p>
          <w:p>
            <w:pPr>
              <w:spacing w:before="60" w:after="60"/>
              <w:jc w:val="left"/>
            </w:pPr>
            <w:r>
              <w:rPr>
                <w:rFonts w:ascii="Arial" w:cs="Arial" w:eastAsia="Arial" w:hAnsi="Arial"/>
                <w:b w:val="false"/>
                <w:bCs w:val="false"/>
                <w:i w:val="false"/>
                <w:iCs w:val="false"/>
                <w:color w:val="111827"/>
                <w:sz w:val="20"/>
                <w:szCs w:val="20"/>
              </w:rPr>
              <w:t xml:space="preserve">7,000+ garages</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60" w:after="30"/>
              <w:jc w:val="left"/>
            </w:pPr>
            <w:r>
              <w:rPr>
                <w:rFonts w:ascii="Arial" w:cs="Arial" w:eastAsia="Arial" w:hAnsi="Arial"/>
                <w:b/>
                <w:bCs/>
                <w:i w:val="false"/>
                <w:iCs w:val="false"/>
                <w:color w:val="1B3A6B"/>
                <w:sz w:val="18"/>
                <w:szCs w:val="18"/>
              </w:rPr>
              <w:t xml:space="preserve">Age Limit</w:t>
            </w:r>
          </w:p>
          <w:p>
            <w:pPr>
              <w:spacing w:before="60" w:after="60"/>
              <w:jc w:val="left"/>
            </w:pPr>
            <w:r>
              <w:rPr>
                <w:rFonts w:ascii="Arial" w:cs="Arial" w:eastAsia="Arial" w:hAnsi="Arial"/>
                <w:b w:val="false"/>
                <w:bCs w:val="false"/>
                <w:i w:val="false"/>
                <w:iCs w:val="false"/>
                <w:color w:val="111827"/>
                <w:sz w:val="20"/>
                <w:szCs w:val="20"/>
              </w:rPr>
              <w:t xml:space="preserve">Vehicle age up to
15 years</w:t>
            </w:r>
          </w:p>
        </w:tc>
        <w:tc>
          <w:tcPr>
            <w:tcW w:type="dxa" w:w="3120"/>
            <w:tcBorders>
              <w:top w:val="single" w:color="DDDDDD" w:sz="1"/>
              <w:left w:val="single" w:color="DDDDDD" w:sz="1"/>
              <w:bottom w:val="single" w:color="DDDDDD" w:sz="1"/>
              <w:right w:val="single" w:color="DDDDDD" w:sz="1"/>
            </w:tcBorders>
            <w:shd w:fill="F3F4F6" w:val="clear"/>
            <w:tcMar>
              <w:top w:type="dxa" w:w="100"/>
              <w:left w:type="dxa" w:w="140"/>
              <w:bottom w:type="dxa" w:w="100"/>
              <w:right w:type="dxa" w:w="140"/>
            </w:tcMar>
            <w:vAlign w:val="center"/>
          </w:tcPr>
          <w:p>
            <w:pPr>
              <w:spacing w:before="60" w:after="30"/>
              <w:jc w:val="left"/>
            </w:pPr>
            <w:r>
              <w:rPr>
                <w:rFonts w:ascii="Arial" w:cs="Arial" w:eastAsia="Arial" w:hAnsi="Arial"/>
                <w:b/>
                <w:bCs/>
                <w:i w:val="false"/>
                <w:iCs w:val="false"/>
                <w:color w:val="1B3A6B"/>
                <w:sz w:val="18"/>
                <w:szCs w:val="18"/>
              </w:rPr>
              <w:t xml:space="preserve">Age Limit</w:t>
            </w:r>
          </w:p>
          <w:p>
            <w:pPr>
              <w:spacing w:before="60" w:after="60"/>
              <w:jc w:val="left"/>
            </w:pPr>
            <w:r>
              <w:rPr>
                <w:rFonts w:ascii="Arial" w:cs="Arial" w:eastAsia="Arial" w:hAnsi="Arial"/>
                <w:b w:val="false"/>
                <w:bCs w:val="false"/>
                <w:i w:val="false"/>
                <w:iCs w:val="false"/>
                <w:color w:val="111827"/>
                <w:sz w:val="20"/>
                <w:szCs w:val="20"/>
              </w:rPr>
              <w:t xml:space="preserve">Vehicles up to
20 years with survey</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60" w:after="30"/>
              <w:jc w:val="left"/>
            </w:pPr>
            <w:r>
              <w:rPr>
                <w:rFonts w:ascii="Arial" w:cs="Arial" w:eastAsia="Arial" w:hAnsi="Arial"/>
                <w:b/>
                <w:bCs/>
                <w:i w:val="false"/>
                <w:iCs w:val="false"/>
                <w:color w:val="1B3A6B"/>
                <w:sz w:val="18"/>
                <w:szCs w:val="18"/>
              </w:rPr>
              <w:t xml:space="preserve">Age Limit</w:t>
            </w:r>
          </w:p>
          <w:p>
            <w:pPr>
              <w:spacing w:before="60" w:after="60"/>
              <w:jc w:val="left"/>
            </w:pPr>
            <w:r>
              <w:rPr>
                <w:rFonts w:ascii="Arial" w:cs="Arial" w:eastAsia="Arial" w:hAnsi="Arial"/>
                <w:b w:val="false"/>
                <w:bCs w:val="false"/>
                <w:i w:val="false"/>
                <w:iCs w:val="false"/>
                <w:color w:val="111827"/>
                <w:sz w:val="20"/>
                <w:szCs w:val="20"/>
              </w:rPr>
              <w:t xml:space="preserve">Vehicles up to
15 years</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60" w:after="30"/>
              <w:jc w:val="left"/>
            </w:pPr>
            <w:r>
              <w:rPr>
                <w:rFonts w:ascii="Arial" w:cs="Arial" w:eastAsia="Arial" w:hAnsi="Arial"/>
                <w:b/>
                <w:bCs/>
                <w:i w:val="false"/>
                <w:iCs w:val="false"/>
                <w:color w:val="1B3A6B"/>
                <w:sz w:val="18"/>
                <w:szCs w:val="18"/>
              </w:rPr>
              <w:t xml:space="preserve">Key Features</w:t>
            </w:r>
          </w:p>
          <w:p>
            <w:pPr>
              <w:spacing w:before="60" w:after="60"/>
              <w:jc w:val="left"/>
            </w:pPr>
            <w:r>
              <w:rPr>
                <w:rFonts w:ascii="Arial" w:cs="Arial" w:eastAsia="Arial" w:hAnsi="Arial"/>
                <w:b w:val="false"/>
                <w:bCs w:val="false"/>
                <w:i w:val="false"/>
                <w:iCs w:val="false"/>
                <w:color w:val="111827"/>
                <w:sz w:val="20"/>
                <w:szCs w:val="20"/>
              </w:rPr>
              <w:t xml:space="preserve">On-the-spot claim
24x7 roadside
Zero dep available
Garages in all cities</w:t>
            </w:r>
          </w:p>
        </w:tc>
        <w:tc>
          <w:tcPr>
            <w:tcW w:type="dxa" w:w="3120"/>
            <w:tcBorders>
              <w:top w:val="single" w:color="DDDDDD" w:sz="1"/>
              <w:left w:val="single" w:color="DDDDDD" w:sz="1"/>
              <w:bottom w:val="single" w:color="DDDDDD" w:sz="1"/>
              <w:right w:val="single" w:color="DDDDDD" w:sz="1"/>
            </w:tcBorders>
            <w:shd w:fill="F3F4F6" w:val="clear"/>
            <w:tcMar>
              <w:top w:type="dxa" w:w="100"/>
              <w:left w:type="dxa" w:w="140"/>
              <w:bottom w:type="dxa" w:w="100"/>
              <w:right w:type="dxa" w:w="140"/>
            </w:tcMar>
            <w:vAlign w:val="center"/>
          </w:tcPr>
          <w:p>
            <w:pPr>
              <w:spacing w:before="60" w:after="30"/>
              <w:jc w:val="left"/>
            </w:pPr>
            <w:r>
              <w:rPr>
                <w:rFonts w:ascii="Arial" w:cs="Arial" w:eastAsia="Arial" w:hAnsi="Arial"/>
                <w:b/>
                <w:bCs/>
                <w:i w:val="false"/>
                <w:iCs w:val="false"/>
                <w:color w:val="1B3A6B"/>
                <w:sz w:val="18"/>
                <w:szCs w:val="18"/>
              </w:rPr>
              <w:t xml:space="preserve">Key Features</w:t>
            </w:r>
          </w:p>
          <w:p>
            <w:pPr>
              <w:spacing w:before="60" w:after="60"/>
              <w:jc w:val="left"/>
            </w:pPr>
            <w:r>
              <w:rPr>
                <w:rFonts w:ascii="Arial" w:cs="Arial" w:eastAsia="Arial" w:hAnsi="Arial"/>
                <w:b w:val="false"/>
                <w:bCs w:val="false"/>
                <w:i w:val="false"/>
                <w:iCs w:val="false"/>
                <w:color w:val="111827"/>
                <w:sz w:val="20"/>
                <w:szCs w:val="20"/>
              </w:rPr>
              <w:t xml:space="preserve">Paperless claims
Instant policy
Instant cashless
App-based claim filing</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60" w:after="30"/>
              <w:jc w:val="left"/>
            </w:pPr>
            <w:r>
              <w:rPr>
                <w:rFonts w:ascii="Arial" w:cs="Arial" w:eastAsia="Arial" w:hAnsi="Arial"/>
                <w:b/>
                <w:bCs/>
                <w:i w:val="false"/>
                <w:iCs w:val="false"/>
                <w:color w:val="1B3A6B"/>
                <w:sz w:val="18"/>
                <w:szCs w:val="18"/>
              </w:rPr>
              <w:t xml:space="preserve">Key Features</w:t>
            </w:r>
          </w:p>
          <w:p>
            <w:pPr>
              <w:spacing w:before="60" w:after="60"/>
              <w:jc w:val="left"/>
            </w:pPr>
            <w:r>
              <w:rPr>
                <w:rFonts w:ascii="Arial" w:cs="Arial" w:eastAsia="Arial" w:hAnsi="Arial"/>
                <w:b w:val="false"/>
                <w:bCs w:val="false"/>
                <w:i w:val="false"/>
                <w:iCs w:val="false"/>
                <w:color w:val="111827"/>
                <w:sz w:val="20"/>
                <w:szCs w:val="20"/>
              </w:rPr>
              <w:t xml:space="preserve">IL TakeCare App
Fastest claim: 3hrs
Garanti repair
Bumper to bumper cover</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60" w:after="30"/>
              <w:jc w:val="left"/>
            </w:pPr>
            <w:r>
              <w:rPr>
                <w:rFonts w:ascii="Arial" w:cs="Arial" w:eastAsia="Arial" w:hAnsi="Arial"/>
                <w:b/>
                <w:bCs/>
                <w:i w:val="false"/>
                <w:iCs w:val="false"/>
                <w:color w:val="1B3A6B"/>
                <w:sz w:val="18"/>
                <w:szCs w:val="18"/>
              </w:rPr>
              <w:t xml:space="preserve">Best For</w:t>
            </w:r>
          </w:p>
          <w:p>
            <w:pPr>
              <w:spacing w:before="60" w:after="60"/>
              <w:jc w:val="left"/>
            </w:pPr>
            <w:r>
              <w:rPr>
                <w:rFonts w:ascii="Arial" w:cs="Arial" w:eastAsia="Arial" w:hAnsi="Arial"/>
                <w:b w:val="false"/>
                <w:bCs w:val="false"/>
                <w:i w:val="false"/>
                <w:iCs w:val="false"/>
                <w:color w:val="111827"/>
                <w:sz w:val="20"/>
                <w:szCs w:val="20"/>
              </w:rPr>
              <w:t xml:space="preserve">New car owners
first-time buyers</w:t>
            </w:r>
          </w:p>
        </w:tc>
        <w:tc>
          <w:tcPr>
            <w:tcW w:type="dxa" w:w="3120"/>
            <w:tcBorders>
              <w:top w:val="single" w:color="DDDDDD" w:sz="1"/>
              <w:left w:val="single" w:color="DDDDDD" w:sz="1"/>
              <w:bottom w:val="single" w:color="DDDDDD" w:sz="1"/>
              <w:right w:val="single" w:color="DDDDDD" w:sz="1"/>
            </w:tcBorders>
            <w:shd w:fill="F3F4F6" w:val="clear"/>
            <w:tcMar>
              <w:top w:type="dxa" w:w="100"/>
              <w:left w:type="dxa" w:w="140"/>
              <w:bottom w:type="dxa" w:w="100"/>
              <w:right w:type="dxa" w:w="140"/>
            </w:tcMar>
            <w:vAlign w:val="center"/>
          </w:tcPr>
          <w:p>
            <w:pPr>
              <w:spacing w:before="60" w:after="30"/>
              <w:jc w:val="left"/>
            </w:pPr>
            <w:r>
              <w:rPr>
                <w:rFonts w:ascii="Arial" w:cs="Arial" w:eastAsia="Arial" w:hAnsi="Arial"/>
                <w:b/>
                <w:bCs/>
                <w:i w:val="false"/>
                <w:iCs w:val="false"/>
                <w:color w:val="1B3A6B"/>
                <w:sz w:val="18"/>
                <w:szCs w:val="18"/>
              </w:rPr>
              <w:t xml:space="preserve">Best For</w:t>
            </w:r>
          </w:p>
          <w:p>
            <w:pPr>
              <w:spacing w:before="60" w:after="60"/>
              <w:jc w:val="left"/>
            </w:pPr>
            <w:r>
              <w:rPr>
                <w:rFonts w:ascii="Arial" w:cs="Arial" w:eastAsia="Arial" w:hAnsi="Arial"/>
                <w:b w:val="false"/>
                <w:bCs w:val="false"/>
                <w:i w:val="false"/>
                <w:iCs w:val="false"/>
                <w:color w:val="111827"/>
                <w:sz w:val="20"/>
                <w:szCs w:val="20"/>
              </w:rPr>
              <w:t xml:space="preserve">Tech-savvy users
digital claims</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60" w:after="30"/>
              <w:jc w:val="left"/>
            </w:pPr>
            <w:r>
              <w:rPr>
                <w:rFonts w:ascii="Arial" w:cs="Arial" w:eastAsia="Arial" w:hAnsi="Arial"/>
                <w:b/>
                <w:bCs/>
                <w:i w:val="false"/>
                <w:iCs w:val="false"/>
                <w:color w:val="1B3A6B"/>
                <w:sz w:val="18"/>
                <w:szCs w:val="18"/>
              </w:rPr>
              <w:t xml:space="preserve">Best For</w:t>
            </w:r>
          </w:p>
          <w:p>
            <w:pPr>
              <w:spacing w:before="60" w:after="60"/>
              <w:jc w:val="left"/>
            </w:pPr>
            <w:r>
              <w:rPr>
                <w:rFonts w:ascii="Arial" w:cs="Arial" w:eastAsia="Arial" w:hAnsi="Arial"/>
                <w:b w:val="false"/>
                <w:bCs w:val="false"/>
                <w:i w:val="false"/>
                <w:iCs w:val="false"/>
                <w:color w:val="111827"/>
                <w:sz w:val="20"/>
                <w:szCs w:val="20"/>
              </w:rPr>
              <w:t xml:space="preserve">Premium cars
frequent drivers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2563EB" w:val="clear"/>
            <w:tcMar>
              <w:top w:type="dxa" w:w="100"/>
              <w:left w:type="dxa" w:w="140"/>
              <w:bottom w:type="dxa" w:w="100"/>
              <w:right w:type="dxa" w:w="140"/>
            </w:tcMar>
            <w:vAlign w:val="center"/>
          </w:tcPr>
          <w:p>
            <w:pPr>
              <w:spacing w:before="60" w:after="60"/>
              <w:jc w:val="center"/>
            </w:pPr>
            <w:r>
              <w:rPr>
                <w:rFonts w:ascii="Arial" w:cs="Arial" w:eastAsia="Arial" w:hAnsi="Arial"/>
                <w:b/>
                <w:bCs/>
                <w:i w:val="false"/>
                <w:iCs w:val="false"/>
                <w:color w:val="FFFFFF"/>
                <w:sz w:val="30"/>
                <w:szCs w:val="30"/>
              </w:rPr>
              <w:t xml:space="preserve">SECTION 4 — TRAVEL INSURANCE ✈️</w:t>
            </w:r>
          </w:p>
        </w:tc>
      </w:tr>
    </w:tbl>
    <w:p>
      <w:pPr>
        <w:spacing w:before="0" w:after="0"/>
      </w:pPr>
      <w:r>
        <w:rPr>
          <w:rFonts w:ascii="Arial" w:cs="Arial" w:eastAsia="Arial" w:hAnsi="Arial"/>
          <w:b w:val="false"/>
          <w:bCs w:val="false"/>
          <w:i w:val="false"/>
          <w:iCs w:val="false"/>
          <w:color w:val="111827"/>
          <w:sz w:val="22"/>
          <w:szCs w:val="22"/>
        </w:rPr>
        <w:t xml:space="preserve"/>
      </w:r>
    </w:p>
    <w:p>
      <w:pPr>
        <w:pStyle w:val="Heading1"/>
        <w:pBdr>
          <w:bottom w:val="single" w:color="2563EB" w:sz="8" w:space="2"/>
        </w:pBdr>
        <w:spacing w:before="320" w:after="160"/>
      </w:pPr>
      <w:r>
        <w:rPr>
          <w:rFonts w:ascii="Arial" w:cs="Arial" w:eastAsia="Arial" w:hAnsi="Arial"/>
          <w:b/>
          <w:bCs/>
          <w:color w:val="2563EB"/>
          <w:sz w:val="36"/>
          <w:szCs w:val="36"/>
        </w:rPr>
        <w:t xml:space="preserve">4. Travel Insurance in India</w:t>
      </w:r>
    </w:p>
    <w:p>
      <w:pPr>
        <w:spacing w:before="60" w:after="100"/>
        <w:jc w:val="left"/>
      </w:pPr>
      <w:r>
        <w:rPr>
          <w:rFonts w:ascii="Arial" w:cs="Arial" w:eastAsia="Arial" w:hAnsi="Arial"/>
          <w:b w:val="false"/>
          <w:bCs w:val="false"/>
          <w:i w:val="false"/>
          <w:iCs w:val="false"/>
          <w:color w:val="111827"/>
          <w:sz w:val="21"/>
          <w:szCs w:val="21"/>
        </w:rPr>
        <w:t xml:space="preserve">Travel insurance protects you against financial losses during domestic or international travel — including medical emergencies, trip cancellations, baggage loss, and flight delays.</w:t>
      </w:r>
    </w:p>
    <w:p>
      <w:pPr>
        <w:pStyle w:val="Heading2"/>
        <w:spacing w:before="240" w:after="120"/>
      </w:pPr>
      <w:r>
        <w:rPr>
          <w:rFonts w:ascii="Arial" w:cs="Arial" w:eastAsia="Arial" w:hAnsi="Arial"/>
          <w:b/>
          <w:bCs/>
          <w:color w:val="2563EB"/>
          <w:sz w:val="28"/>
          <w:szCs w:val="28"/>
        </w:rPr>
        <w:t xml:space="preserve">4.1  Types of Travel Insurance</w:t>
      </w:r>
    </w:p>
    <w:p>
      <w:pPr>
        <w:pStyle w:val="ListParagraph"/>
        <w:numPr>
          <w:ilvl w:val="0"/>
          <w:numId w:val="2"/>
        </w:numPr>
        <w:spacing w:before="40" w:after="40"/>
      </w:pPr>
      <w:r>
        <w:rPr>
          <w:rFonts w:ascii="Arial" w:cs="Arial" w:eastAsia="Arial" w:hAnsi="Arial"/>
          <w:b/>
          <w:bCs/>
          <w:i w:val="false"/>
          <w:iCs w:val="false"/>
          <w:color w:val="111827"/>
          <w:sz w:val="21"/>
          <w:szCs w:val="21"/>
        </w:rPr>
        <w:t xml:space="preserve">Single Trip Policy — covers one specific trip (duration: 1–180 days)</w:t>
      </w:r>
    </w:p>
    <w:p>
      <w:pPr>
        <w:pStyle w:val="ListParagraph"/>
        <w:numPr>
          <w:ilvl w:val="0"/>
          <w:numId w:val="2"/>
        </w:numPr>
        <w:spacing w:before="40" w:after="40"/>
      </w:pPr>
      <w:r>
        <w:rPr>
          <w:rFonts w:ascii="Arial" w:cs="Arial" w:eastAsia="Arial" w:hAnsi="Arial"/>
          <w:b/>
          <w:bCs/>
          <w:i w:val="false"/>
          <w:iCs w:val="false"/>
          <w:color w:val="111827"/>
          <w:sz w:val="21"/>
          <w:szCs w:val="21"/>
        </w:rPr>
        <w:t xml:space="preserve">Multi-Trip / Annual Policy — covers unlimited trips within a year</w:t>
      </w:r>
    </w:p>
    <w:p>
      <w:pPr>
        <w:pStyle w:val="ListParagraph"/>
        <w:numPr>
          <w:ilvl w:val="0"/>
          <w:numId w:val="2"/>
        </w:numPr>
        <w:spacing w:before="40" w:after="40"/>
      </w:pPr>
      <w:r>
        <w:rPr>
          <w:rFonts w:ascii="Arial" w:cs="Arial" w:eastAsia="Arial" w:hAnsi="Arial"/>
          <w:b/>
          <w:bCs/>
          <w:i w:val="false"/>
          <w:iCs w:val="false"/>
          <w:color w:val="111827"/>
          <w:sz w:val="21"/>
          <w:szCs w:val="21"/>
        </w:rPr>
        <w:t xml:space="preserve">Student Travel Insurance — for students studying abroad</w:t>
      </w:r>
    </w:p>
    <w:p>
      <w:pPr>
        <w:pStyle w:val="ListParagraph"/>
        <w:numPr>
          <w:ilvl w:val="0"/>
          <w:numId w:val="2"/>
        </w:numPr>
        <w:spacing w:before="40" w:after="40"/>
      </w:pPr>
      <w:r>
        <w:rPr>
          <w:rFonts w:ascii="Arial" w:cs="Arial" w:eastAsia="Arial" w:hAnsi="Arial"/>
          <w:b/>
          <w:bCs/>
          <w:i w:val="false"/>
          <w:iCs w:val="false"/>
          <w:color w:val="111827"/>
          <w:sz w:val="21"/>
          <w:szCs w:val="21"/>
        </w:rPr>
        <w:t xml:space="preserve">Senior Citizen Travel — special plans for 60+ with higher medical limits</w:t>
      </w:r>
    </w:p>
    <w:p>
      <w:pPr>
        <w:pStyle w:val="ListParagraph"/>
        <w:numPr>
          <w:ilvl w:val="0"/>
          <w:numId w:val="2"/>
        </w:numPr>
        <w:spacing w:before="40" w:after="40"/>
      </w:pPr>
      <w:r>
        <w:rPr>
          <w:rFonts w:ascii="Arial" w:cs="Arial" w:eastAsia="Arial" w:hAnsi="Arial"/>
          <w:b/>
          <w:bCs/>
          <w:i w:val="false"/>
          <w:iCs w:val="false"/>
          <w:color w:val="111827"/>
          <w:sz w:val="21"/>
          <w:szCs w:val="21"/>
        </w:rPr>
        <w:t xml:space="preserve">Corporate Travel — group travel for business travellers</w:t>
      </w:r>
    </w:p>
    <w:p>
      <w:pPr>
        <w:pStyle w:val="ListParagraph"/>
        <w:numPr>
          <w:ilvl w:val="0"/>
          <w:numId w:val="2"/>
        </w:numPr>
        <w:spacing w:before="40" w:after="40"/>
      </w:pPr>
      <w:r>
        <w:rPr>
          <w:rFonts w:ascii="Arial" w:cs="Arial" w:eastAsia="Arial" w:hAnsi="Arial"/>
          <w:b/>
          <w:bCs/>
          <w:i w:val="false"/>
          <w:iCs w:val="false"/>
          <w:color w:val="111827"/>
          <w:sz w:val="21"/>
          <w:szCs w:val="21"/>
        </w:rPr>
        <w:t xml:space="preserve">Schengen Travel Insurance — mandatory for Schengen visa applicants</w:t>
      </w:r>
    </w:p>
    <w:p>
      <w:pPr>
        <w:spacing w:before="0" w:after="0"/>
      </w:pPr>
      <w:r>
        <w:rPr>
          <w:rFonts w:ascii="Arial" w:cs="Arial" w:eastAsia="Arial" w:hAnsi="Arial"/>
          <w:b w:val="false"/>
          <w:bCs w:val="false"/>
          <w:i w:val="false"/>
          <w:iCs w:val="false"/>
          <w:color w:val="111827"/>
          <w:sz w:val="22"/>
          <w:szCs w:val="22"/>
        </w:rPr>
        <w:t xml:space="preserve"/>
      </w:r>
    </w:p>
    <w:p>
      <w:pPr>
        <w:pStyle w:val="Heading2"/>
        <w:spacing w:before="240" w:after="120"/>
      </w:pPr>
      <w:r>
        <w:rPr>
          <w:rFonts w:ascii="Arial" w:cs="Arial" w:eastAsia="Arial" w:hAnsi="Arial"/>
          <w:b/>
          <w:bCs/>
          <w:color w:val="2563EB"/>
          <w:sz w:val="28"/>
          <w:szCs w:val="28"/>
        </w:rPr>
        <w:t xml:space="preserve">4.2  What Travel Insurance Covers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CCEE" w:sz="1"/>
              <w:left w:val="single" w:color="AACCEE" w:sz="1"/>
              <w:bottom w:val="single" w:color="AACCEE" w:sz="1"/>
              <w:right w:val="single" w:color="AACCEE" w:sz="1"/>
            </w:tcBorders>
            <w:shd w:fill="1B3A6B" w:val="clear"/>
            <w:tcMar>
              <w:top w:type="dxa" w:w="100"/>
              <w:left w:type="dxa" w:w="140"/>
              <w:bottom w:type="dxa" w:w="100"/>
              <w:right w:type="dxa" w:w="140"/>
            </w:tcMar>
            <w:vAlign w:val="center"/>
          </w:tcPr>
          <w:p>
            <w:pPr>
              <w:spacing w:before="60" w:after="60"/>
              <w:jc w:val="left"/>
            </w:pPr>
            <w:r>
              <w:rPr>
                <w:rFonts w:ascii="Arial" w:cs="Arial" w:eastAsia="Arial" w:hAnsi="Arial"/>
                <w:b/>
                <w:bCs/>
                <w:i w:val="false"/>
                <w:iCs w:val="false"/>
                <w:color w:val="FFFFFF"/>
                <w:sz w:val="20"/>
                <w:szCs w:val="20"/>
              </w:rPr>
              <w:t xml:space="preserve">Coverage Type</w:t>
            </w:r>
          </w:p>
        </w:tc>
        <w:tc>
          <w:tcPr>
            <w:tcW w:type="dxa" w:w="65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spacing w:before="60" w:after="60"/>
              <w:jc w:val="left"/>
            </w:pPr>
            <w:r>
              <w:rPr>
                <w:rFonts w:ascii="Arial" w:cs="Arial" w:eastAsia="Arial" w:hAnsi="Arial"/>
                <w:b w:val="false"/>
                <w:bCs w:val="false"/>
                <w:i w:val="false"/>
                <w:iCs w:val="false"/>
                <w:color w:val="111827"/>
                <w:sz w:val="20"/>
                <w:szCs w:val="20"/>
              </w:rPr>
              <w:t xml:space="preserve">Typical Limit / Details</w:t>
            </w:r>
          </w:p>
        </w:tc>
      </w:tr>
      <w:tr>
        <w:tc>
          <w:tcPr>
            <w:tcW w:type="dxa" w:w="2800"/>
            <w:tcBorders>
              <w:top w:val="single" w:color="AACCEE" w:sz="1"/>
              <w:left w:val="single" w:color="AACCEE" w:sz="1"/>
              <w:bottom w:val="single" w:color="AACCEE" w:sz="1"/>
              <w:right w:val="single" w:color="AACCEE" w:sz="1"/>
            </w:tcBorders>
            <w:shd w:fill="DBEAFE" w:val="clear"/>
            <w:tcMar>
              <w:top w:type="dxa" w:w="100"/>
              <w:left w:type="dxa" w:w="140"/>
              <w:bottom w:type="dxa" w:w="100"/>
              <w:right w:type="dxa" w:w="140"/>
            </w:tcMar>
            <w:vAlign w:val="center"/>
          </w:tcPr>
          <w:p>
            <w:pPr>
              <w:spacing w:before="60" w:after="60"/>
              <w:jc w:val="left"/>
            </w:pPr>
            <w:r>
              <w:rPr>
                <w:rFonts w:ascii="Arial" w:cs="Arial" w:eastAsia="Arial" w:hAnsi="Arial"/>
                <w:b/>
                <w:bCs/>
                <w:i w:val="false"/>
                <w:iCs w:val="false"/>
                <w:color w:val="1B3A6B"/>
                <w:sz w:val="20"/>
                <w:szCs w:val="20"/>
              </w:rPr>
              <w:t xml:space="preserve">Emergency Medical</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60" w:after="60"/>
              <w:jc w:val="left"/>
            </w:pPr>
            <w:r>
              <w:rPr>
                <w:rFonts w:ascii="Arial" w:cs="Arial" w:eastAsia="Arial" w:hAnsi="Arial"/>
                <w:b w:val="false"/>
                <w:bCs w:val="false"/>
                <w:i w:val="false"/>
                <w:iCs w:val="false"/>
                <w:color w:val="111827"/>
                <w:sz w:val="20"/>
                <w:szCs w:val="20"/>
              </w:rPr>
              <w:t xml:space="preserve">₹50L–₹5 Crore (international); ₹2L–₹10L (domestic)</w:t>
            </w:r>
          </w:p>
        </w:tc>
      </w:tr>
      <w:tr>
        <w:tc>
          <w:tcPr>
            <w:tcW w:type="dxa" w:w="2800"/>
            <w:tcBorders>
              <w:top w:val="single" w:color="AACCEE" w:sz="1"/>
              <w:left w:val="single" w:color="AACCEE" w:sz="1"/>
              <w:bottom w:val="single" w:color="AACCEE" w:sz="1"/>
              <w:right w:val="single" w:color="AACCEE" w:sz="1"/>
            </w:tcBorders>
            <w:shd w:fill="DBEAFE" w:val="clear"/>
            <w:tcMar>
              <w:top w:type="dxa" w:w="100"/>
              <w:left w:type="dxa" w:w="140"/>
              <w:bottom w:type="dxa" w:w="100"/>
              <w:right w:type="dxa" w:w="140"/>
            </w:tcMar>
            <w:vAlign w:val="center"/>
          </w:tcPr>
          <w:p>
            <w:pPr>
              <w:spacing w:before="60" w:after="60"/>
              <w:jc w:val="left"/>
            </w:pPr>
            <w:r>
              <w:rPr>
                <w:rFonts w:ascii="Arial" w:cs="Arial" w:eastAsia="Arial" w:hAnsi="Arial"/>
                <w:b/>
                <w:bCs/>
                <w:i w:val="false"/>
                <w:iCs w:val="false"/>
                <w:color w:val="1B3A6B"/>
                <w:sz w:val="20"/>
                <w:szCs w:val="20"/>
              </w:rPr>
              <w:t xml:space="preserve">Medical Evacuation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60" w:after="60"/>
              <w:jc w:val="left"/>
            </w:pPr>
            <w:r>
              <w:rPr>
                <w:rFonts w:ascii="Arial" w:cs="Arial" w:eastAsia="Arial" w:hAnsi="Arial"/>
                <w:b w:val="false"/>
                <w:bCs w:val="false"/>
                <w:i w:val="false"/>
                <w:iCs w:val="false"/>
                <w:color w:val="111827"/>
                <w:sz w:val="20"/>
                <w:szCs w:val="20"/>
              </w:rPr>
              <w:t xml:space="preserve">Full evacuation costs to nearest adequate medical facility</w:t>
            </w:r>
          </w:p>
        </w:tc>
      </w:tr>
      <w:tr>
        <w:tc>
          <w:tcPr>
            <w:tcW w:type="dxa" w:w="2800"/>
            <w:tcBorders>
              <w:top w:val="single" w:color="AACCEE" w:sz="1"/>
              <w:left w:val="single" w:color="AACCEE" w:sz="1"/>
              <w:bottom w:val="single" w:color="AACCEE" w:sz="1"/>
              <w:right w:val="single" w:color="AACCEE" w:sz="1"/>
            </w:tcBorders>
            <w:shd w:fill="DBEAFE" w:val="clear"/>
            <w:tcMar>
              <w:top w:type="dxa" w:w="100"/>
              <w:left w:type="dxa" w:w="140"/>
              <w:bottom w:type="dxa" w:w="100"/>
              <w:right w:type="dxa" w:w="140"/>
            </w:tcMar>
            <w:vAlign w:val="center"/>
          </w:tcPr>
          <w:p>
            <w:pPr>
              <w:spacing w:before="60" w:after="60"/>
              <w:jc w:val="left"/>
            </w:pPr>
            <w:r>
              <w:rPr>
                <w:rFonts w:ascii="Arial" w:cs="Arial" w:eastAsia="Arial" w:hAnsi="Arial"/>
                <w:b/>
                <w:bCs/>
                <w:i w:val="false"/>
                <w:iCs w:val="false"/>
                <w:color w:val="1B3A6B"/>
                <w:sz w:val="20"/>
                <w:szCs w:val="20"/>
              </w:rPr>
              <w:t xml:space="preserve">Trip Cancellation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60" w:after="60"/>
              <w:jc w:val="left"/>
            </w:pPr>
            <w:r>
              <w:rPr>
                <w:rFonts w:ascii="Arial" w:cs="Arial" w:eastAsia="Arial" w:hAnsi="Arial"/>
                <w:b w:val="false"/>
                <w:bCs w:val="false"/>
                <w:i w:val="false"/>
                <w:iCs w:val="false"/>
                <w:color w:val="111827"/>
                <w:sz w:val="20"/>
                <w:szCs w:val="20"/>
              </w:rPr>
              <w:t xml:space="preserve">Up to ₹1L–₹3L for non-refundable bookings</w:t>
            </w:r>
          </w:p>
        </w:tc>
      </w:tr>
      <w:tr>
        <w:tc>
          <w:tcPr>
            <w:tcW w:type="dxa" w:w="2800"/>
            <w:tcBorders>
              <w:top w:val="single" w:color="AACCEE" w:sz="1"/>
              <w:left w:val="single" w:color="AACCEE" w:sz="1"/>
              <w:bottom w:val="single" w:color="AACCEE" w:sz="1"/>
              <w:right w:val="single" w:color="AACCEE" w:sz="1"/>
            </w:tcBorders>
            <w:shd w:fill="DBEAFE" w:val="clear"/>
            <w:tcMar>
              <w:top w:type="dxa" w:w="100"/>
              <w:left w:type="dxa" w:w="140"/>
              <w:bottom w:type="dxa" w:w="100"/>
              <w:right w:type="dxa" w:w="140"/>
            </w:tcMar>
            <w:vAlign w:val="center"/>
          </w:tcPr>
          <w:p>
            <w:pPr>
              <w:spacing w:before="60" w:after="60"/>
              <w:jc w:val="left"/>
            </w:pPr>
            <w:r>
              <w:rPr>
                <w:rFonts w:ascii="Arial" w:cs="Arial" w:eastAsia="Arial" w:hAnsi="Arial"/>
                <w:b/>
                <w:bCs/>
                <w:i w:val="false"/>
                <w:iCs w:val="false"/>
                <w:color w:val="1B3A6B"/>
                <w:sz w:val="20"/>
                <w:szCs w:val="20"/>
              </w:rPr>
              <w:t xml:space="preserve">Trip Interruption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60" w:after="60"/>
              <w:jc w:val="left"/>
            </w:pPr>
            <w:r>
              <w:rPr>
                <w:rFonts w:ascii="Arial" w:cs="Arial" w:eastAsia="Arial" w:hAnsi="Arial"/>
                <w:b w:val="false"/>
                <w:bCs w:val="false"/>
                <w:i w:val="false"/>
                <w:iCs w:val="false"/>
                <w:color w:val="111827"/>
                <w:sz w:val="20"/>
                <w:szCs w:val="20"/>
              </w:rPr>
              <w:t xml:space="preserve">Up to 150% of trip cost for early return</w:t>
            </w:r>
          </w:p>
        </w:tc>
      </w:tr>
      <w:tr>
        <w:tc>
          <w:tcPr>
            <w:tcW w:type="dxa" w:w="2800"/>
            <w:tcBorders>
              <w:top w:val="single" w:color="AACCEE" w:sz="1"/>
              <w:left w:val="single" w:color="AACCEE" w:sz="1"/>
              <w:bottom w:val="single" w:color="AACCEE" w:sz="1"/>
              <w:right w:val="single" w:color="AACCEE" w:sz="1"/>
            </w:tcBorders>
            <w:shd w:fill="DBEAFE" w:val="clear"/>
            <w:tcMar>
              <w:top w:type="dxa" w:w="100"/>
              <w:left w:type="dxa" w:w="140"/>
              <w:bottom w:type="dxa" w:w="100"/>
              <w:right w:type="dxa" w:w="140"/>
            </w:tcMar>
            <w:vAlign w:val="center"/>
          </w:tcPr>
          <w:p>
            <w:pPr>
              <w:spacing w:before="60" w:after="60"/>
              <w:jc w:val="left"/>
            </w:pPr>
            <w:r>
              <w:rPr>
                <w:rFonts w:ascii="Arial" w:cs="Arial" w:eastAsia="Arial" w:hAnsi="Arial"/>
                <w:b/>
                <w:bCs/>
                <w:i w:val="false"/>
                <w:iCs w:val="false"/>
                <w:color w:val="1B3A6B"/>
                <w:sz w:val="20"/>
                <w:szCs w:val="20"/>
              </w:rPr>
              <w:t xml:space="preserve">Baggage Loss/Delay</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60" w:after="60"/>
              <w:jc w:val="left"/>
            </w:pPr>
            <w:r>
              <w:rPr>
                <w:rFonts w:ascii="Arial" w:cs="Arial" w:eastAsia="Arial" w:hAnsi="Arial"/>
                <w:b w:val="false"/>
                <w:bCs w:val="false"/>
                <w:i w:val="false"/>
                <w:iCs w:val="false"/>
                <w:color w:val="111827"/>
                <w:sz w:val="20"/>
                <w:szCs w:val="20"/>
              </w:rPr>
              <w:t xml:space="preserve">₹50,000–₹2L (loss); ₹5,000–₹15,000 per day (delay)</w:t>
            </w:r>
          </w:p>
        </w:tc>
      </w:tr>
      <w:tr>
        <w:tc>
          <w:tcPr>
            <w:tcW w:type="dxa" w:w="2800"/>
            <w:tcBorders>
              <w:top w:val="single" w:color="AACCEE" w:sz="1"/>
              <w:left w:val="single" w:color="AACCEE" w:sz="1"/>
              <w:bottom w:val="single" w:color="AACCEE" w:sz="1"/>
              <w:right w:val="single" w:color="AACCEE" w:sz="1"/>
            </w:tcBorders>
            <w:shd w:fill="DBEAFE" w:val="clear"/>
            <w:tcMar>
              <w:top w:type="dxa" w:w="100"/>
              <w:left w:type="dxa" w:w="140"/>
              <w:bottom w:type="dxa" w:w="100"/>
              <w:right w:type="dxa" w:w="140"/>
            </w:tcMar>
            <w:vAlign w:val="center"/>
          </w:tcPr>
          <w:p>
            <w:pPr>
              <w:spacing w:before="60" w:after="60"/>
              <w:jc w:val="left"/>
            </w:pPr>
            <w:r>
              <w:rPr>
                <w:rFonts w:ascii="Arial" w:cs="Arial" w:eastAsia="Arial" w:hAnsi="Arial"/>
                <w:b/>
                <w:bCs/>
                <w:i w:val="false"/>
                <w:iCs w:val="false"/>
                <w:color w:val="1B3A6B"/>
                <w:sz w:val="20"/>
                <w:szCs w:val="20"/>
              </w:rPr>
              <w:t xml:space="preserve">Flight Delay</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60" w:after="60"/>
              <w:jc w:val="left"/>
            </w:pPr>
            <w:r>
              <w:rPr>
                <w:rFonts w:ascii="Arial" w:cs="Arial" w:eastAsia="Arial" w:hAnsi="Arial"/>
                <w:b w:val="false"/>
                <w:bCs w:val="false"/>
                <w:i w:val="false"/>
                <w:iCs w:val="false"/>
                <w:color w:val="111827"/>
                <w:sz w:val="20"/>
                <w:szCs w:val="20"/>
              </w:rPr>
              <w:t xml:space="preserve">₹3,000–₹7,500 per 6-hour delay</w:t>
            </w:r>
          </w:p>
        </w:tc>
      </w:tr>
      <w:tr>
        <w:tc>
          <w:tcPr>
            <w:tcW w:type="dxa" w:w="2800"/>
            <w:tcBorders>
              <w:top w:val="single" w:color="AACCEE" w:sz="1"/>
              <w:left w:val="single" w:color="AACCEE" w:sz="1"/>
              <w:bottom w:val="single" w:color="AACCEE" w:sz="1"/>
              <w:right w:val="single" w:color="AACCEE" w:sz="1"/>
            </w:tcBorders>
            <w:shd w:fill="DBEAFE" w:val="clear"/>
            <w:tcMar>
              <w:top w:type="dxa" w:w="100"/>
              <w:left w:type="dxa" w:w="140"/>
              <w:bottom w:type="dxa" w:w="100"/>
              <w:right w:type="dxa" w:w="140"/>
            </w:tcMar>
            <w:vAlign w:val="center"/>
          </w:tcPr>
          <w:p>
            <w:pPr>
              <w:spacing w:before="60" w:after="60"/>
              <w:jc w:val="left"/>
            </w:pPr>
            <w:r>
              <w:rPr>
                <w:rFonts w:ascii="Arial" w:cs="Arial" w:eastAsia="Arial" w:hAnsi="Arial"/>
                <w:b/>
                <w:bCs/>
                <w:i w:val="false"/>
                <w:iCs w:val="false"/>
                <w:color w:val="1B3A6B"/>
                <w:sz w:val="20"/>
                <w:szCs w:val="20"/>
              </w:rPr>
              <w:t xml:space="preserve">Passport Loss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60" w:after="60"/>
              <w:jc w:val="left"/>
            </w:pPr>
            <w:r>
              <w:rPr>
                <w:rFonts w:ascii="Arial" w:cs="Arial" w:eastAsia="Arial" w:hAnsi="Arial"/>
                <w:b w:val="false"/>
                <w:bCs w:val="false"/>
                <w:i w:val="false"/>
                <w:iCs w:val="false"/>
                <w:color w:val="111827"/>
                <w:sz w:val="20"/>
                <w:szCs w:val="20"/>
              </w:rPr>
              <w:t xml:space="preserve">₹10,000–₹25,000 replacement assistance</w:t>
            </w:r>
          </w:p>
        </w:tc>
      </w:tr>
      <w:tr>
        <w:tc>
          <w:tcPr>
            <w:tcW w:type="dxa" w:w="2800"/>
            <w:tcBorders>
              <w:top w:val="single" w:color="AACCEE" w:sz="1"/>
              <w:left w:val="single" w:color="AACCEE" w:sz="1"/>
              <w:bottom w:val="single" w:color="AACCEE" w:sz="1"/>
              <w:right w:val="single" w:color="AACCEE" w:sz="1"/>
            </w:tcBorders>
            <w:shd w:fill="DBEAFE" w:val="clear"/>
            <w:tcMar>
              <w:top w:type="dxa" w:w="100"/>
              <w:left w:type="dxa" w:w="140"/>
              <w:bottom w:type="dxa" w:w="100"/>
              <w:right w:type="dxa" w:w="140"/>
            </w:tcMar>
            <w:vAlign w:val="center"/>
          </w:tcPr>
          <w:p>
            <w:pPr>
              <w:spacing w:before="60" w:after="60"/>
              <w:jc w:val="left"/>
            </w:pPr>
            <w:r>
              <w:rPr>
                <w:rFonts w:ascii="Arial" w:cs="Arial" w:eastAsia="Arial" w:hAnsi="Arial"/>
                <w:b/>
                <w:bCs/>
                <w:i w:val="false"/>
                <w:iCs w:val="false"/>
                <w:color w:val="1B3A6B"/>
                <w:sz w:val="20"/>
                <w:szCs w:val="20"/>
              </w:rPr>
              <w:t xml:space="preserve">Personal Accident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60" w:after="60"/>
              <w:jc w:val="left"/>
            </w:pPr>
            <w:r>
              <w:rPr>
                <w:rFonts w:ascii="Arial" w:cs="Arial" w:eastAsia="Arial" w:hAnsi="Arial"/>
                <w:b w:val="false"/>
                <w:bCs w:val="false"/>
                <w:i w:val="false"/>
                <w:iCs w:val="false"/>
                <w:color w:val="111827"/>
                <w:sz w:val="20"/>
                <w:szCs w:val="20"/>
              </w:rPr>
              <w:t xml:space="preserve">₹25L–₹50L (death/disability during travel)</w:t>
            </w:r>
          </w:p>
        </w:tc>
      </w:tr>
      <w:tr>
        <w:tc>
          <w:tcPr>
            <w:tcW w:type="dxa" w:w="2800"/>
            <w:tcBorders>
              <w:top w:val="single" w:color="AACCEE" w:sz="1"/>
              <w:left w:val="single" w:color="AACCEE" w:sz="1"/>
              <w:bottom w:val="single" w:color="AACCEE" w:sz="1"/>
              <w:right w:val="single" w:color="AACCEE" w:sz="1"/>
            </w:tcBorders>
            <w:shd w:fill="DBEAFE" w:val="clear"/>
            <w:tcMar>
              <w:top w:type="dxa" w:w="100"/>
              <w:left w:type="dxa" w:w="140"/>
              <w:bottom w:type="dxa" w:w="100"/>
              <w:right w:type="dxa" w:w="140"/>
            </w:tcMar>
            <w:vAlign w:val="center"/>
          </w:tcPr>
          <w:p>
            <w:pPr>
              <w:spacing w:before="60" w:after="60"/>
              <w:jc w:val="left"/>
            </w:pPr>
            <w:r>
              <w:rPr>
                <w:rFonts w:ascii="Arial" w:cs="Arial" w:eastAsia="Arial" w:hAnsi="Arial"/>
                <w:b/>
                <w:bCs/>
                <w:i w:val="false"/>
                <w:iCs w:val="false"/>
                <w:color w:val="1B3A6B"/>
                <w:sz w:val="20"/>
                <w:szCs w:val="20"/>
              </w:rPr>
              <w:t xml:space="preserve">Hijack Distress Allowance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60" w:after="60"/>
              <w:jc w:val="left"/>
            </w:pPr>
            <w:r>
              <w:rPr>
                <w:rFonts w:ascii="Arial" w:cs="Arial" w:eastAsia="Arial" w:hAnsi="Arial"/>
                <w:b w:val="false"/>
                <w:bCs w:val="false"/>
                <w:i w:val="false"/>
                <w:iCs w:val="false"/>
                <w:color w:val="111827"/>
                <w:sz w:val="20"/>
                <w:szCs w:val="20"/>
              </w:rPr>
              <w:t xml:space="preserve">₹5,000–₹10,000 per day, max 7 days</w:t>
            </w:r>
          </w:p>
        </w:tc>
      </w:tr>
      <w:tr>
        <w:tc>
          <w:tcPr>
            <w:tcW w:type="dxa" w:w="2800"/>
            <w:tcBorders>
              <w:top w:val="single" w:color="AACCEE" w:sz="1"/>
              <w:left w:val="single" w:color="AACCEE" w:sz="1"/>
              <w:bottom w:val="single" w:color="AACCEE" w:sz="1"/>
              <w:right w:val="single" w:color="AACCEE" w:sz="1"/>
            </w:tcBorders>
            <w:shd w:fill="DBEAFE" w:val="clear"/>
            <w:tcMar>
              <w:top w:type="dxa" w:w="100"/>
              <w:left w:type="dxa" w:w="140"/>
              <w:bottom w:type="dxa" w:w="100"/>
              <w:right w:type="dxa" w:w="140"/>
            </w:tcMar>
            <w:vAlign w:val="center"/>
          </w:tcPr>
          <w:p>
            <w:pPr>
              <w:spacing w:before="60" w:after="60"/>
              <w:jc w:val="left"/>
            </w:pPr>
            <w:r>
              <w:rPr>
                <w:rFonts w:ascii="Arial" w:cs="Arial" w:eastAsia="Arial" w:hAnsi="Arial"/>
                <w:b/>
                <w:bCs/>
                <w:i w:val="false"/>
                <w:iCs w:val="false"/>
                <w:color w:val="1B3A6B"/>
                <w:sz w:val="20"/>
                <w:szCs w:val="20"/>
              </w:rPr>
              <w:t xml:space="preserve">Home Burglary During Travel</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60" w:after="60"/>
              <w:jc w:val="left"/>
            </w:pPr>
            <w:r>
              <w:rPr>
                <w:rFonts w:ascii="Arial" w:cs="Arial" w:eastAsia="Arial" w:hAnsi="Arial"/>
                <w:b w:val="false"/>
                <w:bCs w:val="false"/>
                <w:i w:val="false"/>
                <w:iCs w:val="false"/>
                <w:color w:val="111827"/>
                <w:sz w:val="20"/>
                <w:szCs w:val="20"/>
              </w:rPr>
              <w:t xml:space="preserve">₹50,000–₹2L for theft of home contents</w:t>
            </w:r>
          </w:p>
        </w:tc>
      </w:tr>
    </w:tbl>
    <w:p>
      <w:pPr>
        <w:spacing w:before="0" w:after="0"/>
      </w:pPr>
      <w:r>
        <w:rPr>
          <w:rFonts w:ascii="Arial" w:cs="Arial" w:eastAsia="Arial" w:hAnsi="Arial"/>
          <w:b w:val="false"/>
          <w:bCs w:val="false"/>
          <w:i w:val="false"/>
          <w:iCs w:val="false"/>
          <w:color w:val="111827"/>
          <w:sz w:val="22"/>
          <w:szCs w:val="22"/>
        </w:rPr>
        <w:t xml:space="preserve"/>
      </w:r>
    </w:p>
    <w:p>
      <w:pPr>
        <w:pStyle w:val="Heading2"/>
        <w:spacing w:before="240" w:after="120"/>
      </w:pPr>
      <w:r>
        <w:rPr>
          <w:rFonts w:ascii="Arial" w:cs="Arial" w:eastAsia="Arial" w:hAnsi="Arial"/>
          <w:b/>
          <w:bCs/>
          <w:color w:val="2563EB"/>
          <w:sz w:val="28"/>
          <w:szCs w:val="28"/>
        </w:rPr>
        <w:t xml:space="preserve">4.3  Top Travel Insurance Plans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spacing w:before="60" w:after="60"/>
              <w:jc w:val="center"/>
            </w:pPr>
            <w:r>
              <w:rPr>
                <w:rFonts w:ascii="Arial" w:cs="Arial" w:eastAsia="Arial" w:hAnsi="Arial"/>
                <w:b/>
                <w:bCs/>
                <w:i w:val="false"/>
                <w:iCs w:val="false"/>
                <w:color w:val="FFFFFF"/>
                <w:sz w:val="20"/>
                <w:szCs w:val="20"/>
              </w:rPr>
              <w:t xml:space="preserve">Bajaj Allianz
Travel Elite</w:t>
            </w:r>
          </w:p>
        </w:tc>
        <w:tc>
          <w:tcPr>
            <w:tcW w:type="dxa" w:w="468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spacing w:before="60" w:after="60"/>
              <w:jc w:val="center"/>
            </w:pPr>
            <w:r>
              <w:rPr>
                <w:rFonts w:ascii="Arial" w:cs="Arial" w:eastAsia="Arial" w:hAnsi="Arial"/>
                <w:b/>
                <w:bCs/>
                <w:i w:val="false"/>
                <w:iCs w:val="false"/>
                <w:color w:val="FFFFFF"/>
                <w:sz w:val="20"/>
                <w:szCs w:val="20"/>
              </w:rPr>
              <w:t xml:space="preserve">HDFC ERGO
Travel Shield</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60" w:after="30"/>
              <w:jc w:val="left"/>
            </w:pPr>
            <w:r>
              <w:rPr>
                <w:rFonts w:ascii="Arial" w:cs="Arial" w:eastAsia="Arial" w:hAnsi="Arial"/>
                <w:b/>
                <w:bCs/>
                <w:i w:val="false"/>
                <w:iCs w:val="false"/>
                <w:color w:val="1B3A6B"/>
                <w:sz w:val="18"/>
                <w:szCs w:val="18"/>
              </w:rPr>
              <w:t xml:space="preserve">Monthly Premium</w:t>
            </w:r>
          </w:p>
          <w:p>
            <w:pPr>
              <w:spacing w:before="60" w:after="60"/>
              <w:jc w:val="left"/>
            </w:pPr>
            <w:r>
              <w:rPr>
                <w:rFonts w:ascii="Arial" w:cs="Arial" w:eastAsia="Arial" w:hAnsi="Arial"/>
                <w:b w:val="false"/>
                <w:bCs w:val="false"/>
                <w:i w:val="false"/>
                <w:iCs w:val="false"/>
                <w:color w:val="111827"/>
                <w:sz w:val="20"/>
                <w:szCs w:val="20"/>
              </w:rPr>
              <w:t xml:space="preserve">Asia: ₹350–₹700
Global: ₹1,200–₹3,500
(per trip)</w:t>
            </w:r>
          </w:p>
        </w:tc>
        <w:tc>
          <w:tcPr>
            <w:tcW w:type="dxa" w:w="4680"/>
            <w:tcBorders>
              <w:top w:val="single" w:color="DDDDDD" w:sz="1"/>
              <w:left w:val="single" w:color="DDDDDD" w:sz="1"/>
              <w:bottom w:val="single" w:color="DDDDDD" w:sz="1"/>
              <w:right w:val="single" w:color="DDDDDD" w:sz="1"/>
            </w:tcBorders>
            <w:shd w:fill="F3F4F6" w:val="clear"/>
            <w:tcMar>
              <w:top w:type="dxa" w:w="100"/>
              <w:left w:type="dxa" w:w="140"/>
              <w:bottom w:type="dxa" w:w="100"/>
              <w:right w:type="dxa" w:w="140"/>
            </w:tcMar>
            <w:vAlign w:val="center"/>
          </w:tcPr>
          <w:p>
            <w:pPr>
              <w:spacing w:before="60" w:after="30"/>
              <w:jc w:val="left"/>
            </w:pPr>
            <w:r>
              <w:rPr>
                <w:rFonts w:ascii="Arial" w:cs="Arial" w:eastAsia="Arial" w:hAnsi="Arial"/>
                <w:b/>
                <w:bCs/>
                <w:i w:val="false"/>
                <w:iCs w:val="false"/>
                <w:color w:val="1B3A6B"/>
                <w:sz w:val="18"/>
                <w:szCs w:val="18"/>
              </w:rPr>
              <w:t xml:space="preserve">Monthly Premium</w:t>
            </w:r>
          </w:p>
          <w:p>
            <w:pPr>
              <w:spacing w:before="60" w:after="60"/>
              <w:jc w:val="left"/>
            </w:pPr>
            <w:r>
              <w:rPr>
                <w:rFonts w:ascii="Arial" w:cs="Arial" w:eastAsia="Arial" w:hAnsi="Arial"/>
                <w:b w:val="false"/>
                <w:bCs w:val="false"/>
                <w:i w:val="false"/>
                <w:iCs w:val="false"/>
                <w:color w:val="111827"/>
                <w:sz w:val="20"/>
                <w:szCs w:val="20"/>
              </w:rPr>
              <w:t xml:space="preserve">Asia: ₹400–₹800
Global: ₹1,500–₹4,000</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60" w:after="30"/>
              <w:jc w:val="left"/>
            </w:pPr>
            <w:r>
              <w:rPr>
                <w:rFonts w:ascii="Arial" w:cs="Arial" w:eastAsia="Arial" w:hAnsi="Arial"/>
                <w:b/>
                <w:bCs/>
                <w:i w:val="false"/>
                <w:iCs w:val="false"/>
                <w:color w:val="1B3A6B"/>
                <w:sz w:val="18"/>
                <w:szCs w:val="18"/>
              </w:rPr>
              <w:t xml:space="preserve">Sum Insured</w:t>
            </w:r>
          </w:p>
          <w:p>
            <w:pPr>
              <w:spacing w:before="60" w:after="60"/>
              <w:jc w:val="left"/>
            </w:pPr>
            <w:r>
              <w:rPr>
                <w:rFonts w:ascii="Arial" w:cs="Arial" w:eastAsia="Arial" w:hAnsi="Arial"/>
                <w:b w:val="false"/>
                <w:bCs w:val="false"/>
                <w:i w:val="false"/>
                <w:iCs w:val="false"/>
                <w:color w:val="111827"/>
                <w:sz w:val="20"/>
                <w:szCs w:val="20"/>
              </w:rPr>
              <w:t xml:space="preserve">Medical: $500K
Trip cancel: $3,000</w:t>
            </w:r>
          </w:p>
        </w:tc>
        <w:tc>
          <w:tcPr>
            <w:tcW w:type="dxa" w:w="4680"/>
            <w:tcBorders>
              <w:top w:val="single" w:color="DDDDDD" w:sz="1"/>
              <w:left w:val="single" w:color="DDDDDD" w:sz="1"/>
              <w:bottom w:val="single" w:color="DDDDDD" w:sz="1"/>
              <w:right w:val="single" w:color="DDDDDD" w:sz="1"/>
            </w:tcBorders>
            <w:shd w:fill="F3F4F6" w:val="clear"/>
            <w:tcMar>
              <w:top w:type="dxa" w:w="100"/>
              <w:left w:type="dxa" w:w="140"/>
              <w:bottom w:type="dxa" w:w="100"/>
              <w:right w:type="dxa" w:w="140"/>
            </w:tcMar>
            <w:vAlign w:val="center"/>
          </w:tcPr>
          <w:p>
            <w:pPr>
              <w:spacing w:before="60" w:after="30"/>
              <w:jc w:val="left"/>
            </w:pPr>
            <w:r>
              <w:rPr>
                <w:rFonts w:ascii="Arial" w:cs="Arial" w:eastAsia="Arial" w:hAnsi="Arial"/>
                <w:b/>
                <w:bCs/>
                <w:i w:val="false"/>
                <w:iCs w:val="false"/>
                <w:color w:val="1B3A6B"/>
                <w:sz w:val="18"/>
                <w:szCs w:val="18"/>
              </w:rPr>
              <w:t xml:space="preserve">Sum Insured</w:t>
            </w:r>
          </w:p>
          <w:p>
            <w:pPr>
              <w:spacing w:before="60" w:after="60"/>
              <w:jc w:val="left"/>
            </w:pPr>
            <w:r>
              <w:rPr>
                <w:rFonts w:ascii="Arial" w:cs="Arial" w:eastAsia="Arial" w:hAnsi="Arial"/>
                <w:b w:val="false"/>
                <w:bCs w:val="false"/>
                <w:i w:val="false"/>
                <w:iCs w:val="false"/>
                <w:color w:val="111827"/>
                <w:sz w:val="20"/>
                <w:szCs w:val="20"/>
              </w:rPr>
              <w:t xml:space="preserve">Medical: $1M
Evacuation: Unlimited</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60" w:after="30"/>
              <w:jc w:val="left"/>
            </w:pPr>
            <w:r>
              <w:rPr>
                <w:rFonts w:ascii="Arial" w:cs="Arial" w:eastAsia="Arial" w:hAnsi="Arial"/>
                <w:b/>
                <w:bCs/>
                <w:i w:val="false"/>
                <w:iCs w:val="false"/>
                <w:color w:val="1B3A6B"/>
                <w:sz w:val="18"/>
                <w:szCs w:val="18"/>
              </w:rPr>
              <w:t xml:space="preserve">Waiting Period</w:t>
            </w:r>
          </w:p>
          <w:p>
            <w:pPr>
              <w:spacing w:before="60" w:after="60"/>
              <w:jc w:val="left"/>
            </w:pPr>
            <w:r>
              <w:rPr>
                <w:rFonts w:ascii="Arial" w:cs="Arial" w:eastAsia="Arial" w:hAnsi="Arial"/>
                <w:b w:val="false"/>
                <w:bCs w:val="false"/>
                <w:i w:val="false"/>
                <w:iCs w:val="false"/>
                <w:color w:val="111827"/>
                <w:sz w:val="20"/>
                <w:szCs w:val="20"/>
              </w:rPr>
              <w:t xml:space="preserve">None
(pre-departure)</w:t>
            </w:r>
          </w:p>
        </w:tc>
        <w:tc>
          <w:tcPr>
            <w:tcW w:type="dxa" w:w="4680"/>
            <w:tcBorders>
              <w:top w:val="single" w:color="DDDDDD" w:sz="1"/>
              <w:left w:val="single" w:color="DDDDDD" w:sz="1"/>
              <w:bottom w:val="single" w:color="DDDDDD" w:sz="1"/>
              <w:right w:val="single" w:color="DDDDDD" w:sz="1"/>
            </w:tcBorders>
            <w:shd w:fill="F3F4F6" w:val="clear"/>
            <w:tcMar>
              <w:top w:type="dxa" w:w="100"/>
              <w:left w:type="dxa" w:w="140"/>
              <w:bottom w:type="dxa" w:w="100"/>
              <w:right w:type="dxa" w:w="140"/>
            </w:tcMar>
            <w:vAlign w:val="center"/>
          </w:tcPr>
          <w:p>
            <w:pPr>
              <w:spacing w:before="60" w:after="30"/>
              <w:jc w:val="left"/>
            </w:pPr>
            <w:r>
              <w:rPr>
                <w:rFonts w:ascii="Arial" w:cs="Arial" w:eastAsia="Arial" w:hAnsi="Arial"/>
                <w:b/>
                <w:bCs/>
                <w:i w:val="false"/>
                <w:iCs w:val="false"/>
                <w:color w:val="1B3A6B"/>
                <w:sz w:val="18"/>
                <w:szCs w:val="18"/>
              </w:rPr>
              <w:t xml:space="preserve">Waiting Period</w:t>
            </w:r>
          </w:p>
          <w:p>
            <w:pPr>
              <w:spacing w:before="60" w:after="60"/>
              <w:jc w:val="left"/>
            </w:pPr>
            <w:r>
              <w:rPr>
                <w:rFonts w:ascii="Arial" w:cs="Arial" w:eastAsia="Arial" w:hAnsi="Arial"/>
                <w:b w:val="false"/>
                <w:bCs w:val="false"/>
                <w:i w:val="false"/>
                <w:iCs w:val="false"/>
                <w:color w:val="111827"/>
                <w:sz w:val="20"/>
                <w:szCs w:val="20"/>
              </w:rPr>
              <w:t xml:space="preserve">None</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60" w:after="30"/>
              <w:jc w:val="left"/>
            </w:pPr>
            <w:r>
              <w:rPr>
                <w:rFonts w:ascii="Arial" w:cs="Arial" w:eastAsia="Arial" w:hAnsi="Arial"/>
                <w:b/>
                <w:bCs/>
                <w:i w:val="false"/>
                <w:iCs w:val="false"/>
                <w:color w:val="1B3A6B"/>
                <w:sz w:val="18"/>
                <w:szCs w:val="18"/>
              </w:rPr>
              <w:t xml:space="preserve">Network Hospitals</w:t>
            </w:r>
          </w:p>
          <w:p>
            <w:pPr>
              <w:spacing w:before="60" w:after="60"/>
              <w:jc w:val="left"/>
            </w:pPr>
            <w:r>
              <w:rPr>
                <w:rFonts w:ascii="Arial" w:cs="Arial" w:eastAsia="Arial" w:hAnsi="Arial"/>
                <w:b w:val="false"/>
                <w:bCs w:val="false"/>
                <w:i w:val="false"/>
                <w:iCs w:val="false"/>
                <w:color w:val="111827"/>
                <w:sz w:val="20"/>
                <w:szCs w:val="20"/>
              </w:rPr>
              <w:t xml:space="preserve">Claims across
190 countries</w:t>
            </w:r>
          </w:p>
        </w:tc>
        <w:tc>
          <w:tcPr>
            <w:tcW w:type="dxa" w:w="4680"/>
            <w:tcBorders>
              <w:top w:val="single" w:color="DDDDDD" w:sz="1"/>
              <w:left w:val="single" w:color="DDDDDD" w:sz="1"/>
              <w:bottom w:val="single" w:color="DDDDDD" w:sz="1"/>
              <w:right w:val="single" w:color="DDDDDD" w:sz="1"/>
            </w:tcBorders>
            <w:shd w:fill="F3F4F6" w:val="clear"/>
            <w:tcMar>
              <w:top w:type="dxa" w:w="100"/>
              <w:left w:type="dxa" w:w="140"/>
              <w:bottom w:type="dxa" w:w="100"/>
              <w:right w:type="dxa" w:w="140"/>
            </w:tcMar>
            <w:vAlign w:val="center"/>
          </w:tcPr>
          <w:p>
            <w:pPr>
              <w:spacing w:before="60" w:after="30"/>
              <w:jc w:val="left"/>
            </w:pPr>
            <w:r>
              <w:rPr>
                <w:rFonts w:ascii="Arial" w:cs="Arial" w:eastAsia="Arial" w:hAnsi="Arial"/>
                <w:b/>
                <w:bCs/>
                <w:i w:val="false"/>
                <w:iCs w:val="false"/>
                <w:color w:val="1B3A6B"/>
                <w:sz w:val="18"/>
                <w:szCs w:val="18"/>
              </w:rPr>
              <w:t xml:space="preserve">Network Hospitals</w:t>
            </w:r>
          </w:p>
          <w:p>
            <w:pPr>
              <w:spacing w:before="60" w:after="60"/>
              <w:jc w:val="left"/>
            </w:pPr>
            <w:r>
              <w:rPr>
                <w:rFonts w:ascii="Arial" w:cs="Arial" w:eastAsia="Arial" w:hAnsi="Arial"/>
                <w:b w:val="false"/>
                <w:bCs w:val="false"/>
                <w:i w:val="false"/>
                <w:iCs w:val="false"/>
                <w:color w:val="111827"/>
                <w:sz w:val="20"/>
                <w:szCs w:val="20"/>
              </w:rPr>
              <w:t xml:space="preserve">TPA support in
200+ countries</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60" w:after="30"/>
              <w:jc w:val="left"/>
            </w:pPr>
            <w:r>
              <w:rPr>
                <w:rFonts w:ascii="Arial" w:cs="Arial" w:eastAsia="Arial" w:hAnsi="Arial"/>
                <w:b/>
                <w:bCs/>
                <w:i w:val="false"/>
                <w:iCs w:val="false"/>
                <w:color w:val="1B3A6B"/>
                <w:sz w:val="18"/>
                <w:szCs w:val="18"/>
              </w:rPr>
              <w:t xml:space="preserve">Age Limit</w:t>
            </w:r>
          </w:p>
          <w:p>
            <w:pPr>
              <w:spacing w:before="60" w:after="60"/>
              <w:jc w:val="left"/>
            </w:pPr>
            <w:r>
              <w:rPr>
                <w:rFonts w:ascii="Arial" w:cs="Arial" w:eastAsia="Arial" w:hAnsi="Arial"/>
                <w:b w:val="false"/>
                <w:bCs w:val="false"/>
                <w:i w:val="false"/>
                <w:iCs w:val="false"/>
                <w:color w:val="111827"/>
                <w:sz w:val="20"/>
                <w:szCs w:val="20"/>
              </w:rPr>
              <w:t xml:space="preserve">1–70 years
(seniors up to 85)</w:t>
            </w:r>
          </w:p>
        </w:tc>
        <w:tc>
          <w:tcPr>
            <w:tcW w:type="dxa" w:w="4680"/>
            <w:tcBorders>
              <w:top w:val="single" w:color="DDDDDD" w:sz="1"/>
              <w:left w:val="single" w:color="DDDDDD" w:sz="1"/>
              <w:bottom w:val="single" w:color="DDDDDD" w:sz="1"/>
              <w:right w:val="single" w:color="DDDDDD" w:sz="1"/>
            </w:tcBorders>
            <w:shd w:fill="F3F4F6" w:val="clear"/>
            <w:tcMar>
              <w:top w:type="dxa" w:w="100"/>
              <w:left w:type="dxa" w:w="140"/>
              <w:bottom w:type="dxa" w:w="100"/>
              <w:right w:type="dxa" w:w="140"/>
            </w:tcMar>
            <w:vAlign w:val="center"/>
          </w:tcPr>
          <w:p>
            <w:pPr>
              <w:spacing w:before="60" w:after="30"/>
              <w:jc w:val="left"/>
            </w:pPr>
            <w:r>
              <w:rPr>
                <w:rFonts w:ascii="Arial" w:cs="Arial" w:eastAsia="Arial" w:hAnsi="Arial"/>
                <w:b/>
                <w:bCs/>
                <w:i w:val="false"/>
                <w:iCs w:val="false"/>
                <w:color w:val="1B3A6B"/>
                <w:sz w:val="18"/>
                <w:szCs w:val="18"/>
              </w:rPr>
              <w:t xml:space="preserve">Age Limit</w:t>
            </w:r>
          </w:p>
          <w:p>
            <w:pPr>
              <w:spacing w:before="60" w:after="60"/>
              <w:jc w:val="left"/>
            </w:pPr>
            <w:r>
              <w:rPr>
                <w:rFonts w:ascii="Arial" w:cs="Arial" w:eastAsia="Arial" w:hAnsi="Arial"/>
                <w:b w:val="false"/>
                <w:bCs w:val="false"/>
                <w:i w:val="false"/>
                <w:iCs w:val="false"/>
                <w:color w:val="111827"/>
                <w:sz w:val="20"/>
                <w:szCs w:val="20"/>
              </w:rPr>
              <w:t xml:space="preserve">6 months–70 yrs</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60" w:after="30"/>
              <w:jc w:val="left"/>
            </w:pPr>
            <w:r>
              <w:rPr>
                <w:rFonts w:ascii="Arial" w:cs="Arial" w:eastAsia="Arial" w:hAnsi="Arial"/>
                <w:b/>
                <w:bCs/>
                <w:i w:val="false"/>
                <w:iCs w:val="false"/>
                <w:color w:val="1B3A6B"/>
                <w:sz w:val="18"/>
                <w:szCs w:val="18"/>
              </w:rPr>
              <w:t xml:space="preserve">Key Features</w:t>
            </w:r>
          </w:p>
          <w:p>
            <w:pPr>
              <w:spacing w:before="60" w:after="60"/>
              <w:jc w:val="left"/>
            </w:pPr>
            <w:r>
              <w:rPr>
                <w:rFonts w:ascii="Arial" w:cs="Arial" w:eastAsia="Arial" w:hAnsi="Arial"/>
                <w:b w:val="false"/>
                <w:bCs w:val="false"/>
                <w:i w:val="false"/>
                <w:iCs w:val="false"/>
                <w:color w:val="111827"/>
                <w:sz w:val="20"/>
                <w:szCs w:val="20"/>
              </w:rPr>
              <w:t xml:space="preserve">Schengen approved
Covid-19 covered
Home burglary cover
Golf equipment cover</w:t>
            </w:r>
          </w:p>
        </w:tc>
        <w:tc>
          <w:tcPr>
            <w:tcW w:type="dxa" w:w="4680"/>
            <w:tcBorders>
              <w:top w:val="single" w:color="DDDDDD" w:sz="1"/>
              <w:left w:val="single" w:color="DDDDDD" w:sz="1"/>
              <w:bottom w:val="single" w:color="DDDDDD" w:sz="1"/>
              <w:right w:val="single" w:color="DDDDDD" w:sz="1"/>
            </w:tcBorders>
            <w:shd w:fill="F3F4F6" w:val="clear"/>
            <w:tcMar>
              <w:top w:type="dxa" w:w="100"/>
              <w:left w:type="dxa" w:w="140"/>
              <w:bottom w:type="dxa" w:w="100"/>
              <w:right w:type="dxa" w:w="140"/>
            </w:tcMar>
            <w:vAlign w:val="center"/>
          </w:tcPr>
          <w:p>
            <w:pPr>
              <w:spacing w:before="60" w:after="30"/>
              <w:jc w:val="left"/>
            </w:pPr>
            <w:r>
              <w:rPr>
                <w:rFonts w:ascii="Arial" w:cs="Arial" w:eastAsia="Arial" w:hAnsi="Arial"/>
                <w:b/>
                <w:bCs/>
                <w:i w:val="false"/>
                <w:iCs w:val="false"/>
                <w:color w:val="1B3A6B"/>
                <w:sz w:val="18"/>
                <w:szCs w:val="18"/>
              </w:rPr>
              <w:t xml:space="preserve">Key Features</w:t>
            </w:r>
          </w:p>
          <w:p>
            <w:pPr>
              <w:spacing w:before="60" w:after="60"/>
              <w:jc w:val="left"/>
            </w:pPr>
            <w:r>
              <w:rPr>
                <w:rFonts w:ascii="Arial" w:cs="Arial" w:eastAsia="Arial" w:hAnsi="Arial"/>
                <w:b w:val="false"/>
                <w:bCs w:val="false"/>
                <w:i w:val="false"/>
                <w:iCs w:val="false"/>
                <w:color w:val="111827"/>
                <w:sz w:val="20"/>
                <w:szCs w:val="20"/>
              </w:rPr>
              <w:t xml:space="preserve">Adventure sports
Study interruption
Return of mortal remains
Solo traveller option</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60" w:after="30"/>
              <w:jc w:val="left"/>
            </w:pPr>
            <w:r>
              <w:rPr>
                <w:rFonts w:ascii="Arial" w:cs="Arial" w:eastAsia="Arial" w:hAnsi="Arial"/>
                <w:b/>
                <w:bCs/>
                <w:i w:val="false"/>
                <w:iCs w:val="false"/>
                <w:color w:val="1B3A6B"/>
                <w:sz w:val="18"/>
                <w:szCs w:val="18"/>
              </w:rPr>
              <w:t xml:space="preserve">Best For</w:t>
            </w:r>
          </w:p>
          <w:p>
            <w:pPr>
              <w:spacing w:before="60" w:after="60"/>
              <w:jc w:val="left"/>
            </w:pPr>
            <w:r>
              <w:rPr>
                <w:rFonts w:ascii="Arial" w:cs="Arial" w:eastAsia="Arial" w:hAnsi="Arial"/>
                <w:b w:val="false"/>
                <w:bCs w:val="false"/>
                <w:i w:val="false"/>
                <w:iCs w:val="false"/>
                <w:color w:val="111827"/>
                <w:sz w:val="20"/>
                <w:szCs w:val="20"/>
              </w:rPr>
              <w:t xml:space="preserve">Frequent travellers
business travel</w:t>
            </w:r>
          </w:p>
        </w:tc>
        <w:tc>
          <w:tcPr>
            <w:tcW w:type="dxa" w:w="4680"/>
            <w:tcBorders>
              <w:top w:val="single" w:color="DDDDDD" w:sz="1"/>
              <w:left w:val="single" w:color="DDDDDD" w:sz="1"/>
              <w:bottom w:val="single" w:color="DDDDDD" w:sz="1"/>
              <w:right w:val="single" w:color="DDDDDD" w:sz="1"/>
            </w:tcBorders>
            <w:shd w:fill="F3F4F6" w:val="clear"/>
            <w:tcMar>
              <w:top w:type="dxa" w:w="100"/>
              <w:left w:type="dxa" w:w="140"/>
              <w:bottom w:type="dxa" w:w="100"/>
              <w:right w:type="dxa" w:w="140"/>
            </w:tcMar>
            <w:vAlign w:val="center"/>
          </w:tcPr>
          <w:p>
            <w:pPr>
              <w:spacing w:before="60" w:after="30"/>
              <w:jc w:val="left"/>
            </w:pPr>
            <w:r>
              <w:rPr>
                <w:rFonts w:ascii="Arial" w:cs="Arial" w:eastAsia="Arial" w:hAnsi="Arial"/>
                <w:b/>
                <w:bCs/>
                <w:i w:val="false"/>
                <w:iCs w:val="false"/>
                <w:color w:val="1B3A6B"/>
                <w:sz w:val="18"/>
                <w:szCs w:val="18"/>
              </w:rPr>
              <w:t xml:space="preserve">Best For</w:t>
            </w:r>
          </w:p>
          <w:p>
            <w:pPr>
              <w:spacing w:before="60" w:after="60"/>
              <w:jc w:val="left"/>
            </w:pPr>
            <w:r>
              <w:rPr>
                <w:rFonts w:ascii="Arial" w:cs="Arial" w:eastAsia="Arial" w:hAnsi="Arial"/>
                <w:b w:val="false"/>
                <w:bCs w:val="false"/>
                <w:i w:val="false"/>
                <w:iCs w:val="false"/>
                <w:color w:val="111827"/>
                <w:sz w:val="20"/>
                <w:szCs w:val="20"/>
              </w:rPr>
              <w:t xml:space="preserve">Adventure travel
students abroad</w:t>
            </w:r>
          </w:p>
        </w:tc>
      </w:tr>
    </w:tbl>
    <w:p>
      <w:pPr>
        <w:spacing w:before="0" w:after="0"/>
      </w:pPr>
      <w:r>
        <w:rPr>
          <w:rFonts w:ascii="Arial" w:cs="Arial" w:eastAsia="Arial" w:hAnsi="Arial"/>
          <w:b w:val="false"/>
          <w:bCs w:val="false"/>
          <w:i w:val="false"/>
          <w:iCs w:val="false"/>
          <w:color w:val="111827"/>
          <w:sz w:val="22"/>
          <w:szCs w:val="22"/>
        </w:rPr>
        <w:t xml:space="preserve"/>
      </w:r>
    </w:p>
    <w:p>
      <w:pPr>
        <w:pStyle w:val="Heading2"/>
        <w:spacing w:before="240" w:after="120"/>
      </w:pPr>
      <w:r>
        <w:rPr>
          <w:rFonts w:ascii="Arial" w:cs="Arial" w:eastAsia="Arial" w:hAnsi="Arial"/>
          <w:b/>
          <w:bCs/>
          <w:color w:val="2563EB"/>
          <w:sz w:val="28"/>
          <w:szCs w:val="28"/>
        </w:rPr>
        <w:t xml:space="preserve">4.4  Common Travel Insurance Exclusions</w:t>
      </w:r>
    </w:p>
    <w:p>
      <w:pPr>
        <w:pStyle w:val="ListParagraph"/>
        <w:numPr>
          <w:ilvl w:val="0"/>
          <w:numId w:val="2"/>
        </w:numPr>
        <w:spacing w:before="40" w:after="40"/>
      </w:pPr>
      <w:r>
        <w:rPr>
          <w:rFonts w:ascii="Arial" w:cs="Arial" w:eastAsia="Arial" w:hAnsi="Arial"/>
          <w:b w:val="false"/>
          <w:bCs w:val="false"/>
          <w:i w:val="false"/>
          <w:iCs w:val="false"/>
          <w:color w:val="111827"/>
          <w:sz w:val="21"/>
          <w:szCs w:val="21"/>
        </w:rPr>
        <w:t xml:space="preserve">Pre-existing medical conditions (unless specifically covered for emergencies)</w:t>
      </w:r>
    </w:p>
    <w:p>
      <w:pPr>
        <w:pStyle w:val="ListParagraph"/>
        <w:numPr>
          <w:ilvl w:val="0"/>
          <w:numId w:val="2"/>
        </w:numPr>
        <w:spacing w:before="40" w:after="40"/>
      </w:pPr>
      <w:r>
        <w:rPr>
          <w:rFonts w:ascii="Arial" w:cs="Arial" w:eastAsia="Arial" w:hAnsi="Arial"/>
          <w:b w:val="false"/>
          <w:bCs w:val="false"/>
          <w:i w:val="false"/>
          <w:iCs w:val="false"/>
          <w:color w:val="111827"/>
          <w:sz w:val="21"/>
          <w:szCs w:val="21"/>
        </w:rPr>
        <w:t xml:space="preserve">Travel against government/IRDAI travel advisory</w:t>
      </w:r>
    </w:p>
    <w:p>
      <w:pPr>
        <w:pStyle w:val="ListParagraph"/>
        <w:numPr>
          <w:ilvl w:val="0"/>
          <w:numId w:val="2"/>
        </w:numPr>
        <w:spacing w:before="40" w:after="40"/>
      </w:pPr>
      <w:r>
        <w:rPr>
          <w:rFonts w:ascii="Arial" w:cs="Arial" w:eastAsia="Arial" w:hAnsi="Arial"/>
          <w:b w:val="false"/>
          <w:bCs w:val="false"/>
          <w:i w:val="false"/>
          <w:iCs w:val="false"/>
          <w:color w:val="111827"/>
          <w:sz w:val="21"/>
          <w:szCs w:val="21"/>
        </w:rPr>
        <w:t xml:space="preserve">Alcohol/drug-related incidents</w:t>
      </w:r>
    </w:p>
    <w:p>
      <w:pPr>
        <w:pStyle w:val="ListParagraph"/>
        <w:numPr>
          <w:ilvl w:val="0"/>
          <w:numId w:val="2"/>
        </w:numPr>
        <w:spacing w:before="40" w:after="40"/>
      </w:pPr>
      <w:r>
        <w:rPr>
          <w:rFonts w:ascii="Arial" w:cs="Arial" w:eastAsia="Arial" w:hAnsi="Arial"/>
          <w:b w:val="false"/>
          <w:bCs w:val="false"/>
          <w:i w:val="false"/>
          <w:iCs w:val="false"/>
          <w:color w:val="111827"/>
          <w:sz w:val="21"/>
          <w:szCs w:val="21"/>
        </w:rPr>
        <w:t xml:space="preserve">Self-inflicted injuries</w:t>
      </w:r>
    </w:p>
    <w:p>
      <w:pPr>
        <w:pStyle w:val="ListParagraph"/>
        <w:numPr>
          <w:ilvl w:val="0"/>
          <w:numId w:val="2"/>
        </w:numPr>
        <w:spacing w:before="40" w:after="40"/>
      </w:pPr>
      <w:r>
        <w:rPr>
          <w:rFonts w:ascii="Arial" w:cs="Arial" w:eastAsia="Arial" w:hAnsi="Arial"/>
          <w:b w:val="false"/>
          <w:bCs w:val="false"/>
          <w:i w:val="false"/>
          <w:iCs w:val="false"/>
          <w:color w:val="111827"/>
          <w:sz w:val="21"/>
          <w:szCs w:val="21"/>
        </w:rPr>
        <w:t xml:space="preserve">Participation in professional sports/races</w:t>
      </w:r>
    </w:p>
    <w:p>
      <w:pPr>
        <w:pStyle w:val="ListParagraph"/>
        <w:numPr>
          <w:ilvl w:val="0"/>
          <w:numId w:val="2"/>
        </w:numPr>
        <w:spacing w:before="40" w:after="40"/>
      </w:pPr>
      <w:r>
        <w:rPr>
          <w:rFonts w:ascii="Arial" w:cs="Arial" w:eastAsia="Arial" w:hAnsi="Arial"/>
          <w:b w:val="false"/>
          <w:bCs w:val="false"/>
          <w:i w:val="false"/>
          <w:iCs w:val="false"/>
          <w:color w:val="111827"/>
          <w:sz w:val="21"/>
          <w:szCs w:val="21"/>
        </w:rPr>
        <w:t xml:space="preserve">Acts of war, civil commotion, terrorism (may vary by insurer)</w:t>
      </w:r>
    </w:p>
    <w:p>
      <w:pPr>
        <w:pStyle w:val="ListParagraph"/>
        <w:numPr>
          <w:ilvl w:val="0"/>
          <w:numId w:val="2"/>
        </w:numPr>
        <w:spacing w:before="40" w:after="40"/>
      </w:pPr>
      <w:r>
        <w:rPr>
          <w:rFonts w:ascii="Arial" w:cs="Arial" w:eastAsia="Arial" w:hAnsi="Arial"/>
          <w:b w:val="false"/>
          <w:bCs w:val="false"/>
          <w:i w:val="false"/>
          <w:iCs w:val="false"/>
          <w:color w:val="111827"/>
          <w:sz w:val="21"/>
          <w:szCs w:val="21"/>
        </w:rPr>
        <w:t xml:space="preserve">Pregnancy complications beyond 28 weeks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1"/>
              <w:bottom w:val="single" w:color="D97706" w:sz="1"/>
              <w:right w:val="single" w:color="D97706" w:sz="1"/>
            </w:tcBorders>
            <w:shd w:fill="D97706" w:val="clear"/>
            <w:tcMar>
              <w:top w:type="dxa" w:w="100"/>
              <w:left w:type="dxa" w:w="140"/>
              <w:bottom w:type="dxa" w:w="100"/>
              <w:right w:type="dxa" w:w="140"/>
            </w:tcMar>
            <w:vAlign w:val="center"/>
          </w:tcPr>
          <w:p>
            <w:pPr>
              <w:spacing w:before="60" w:after="60"/>
              <w:jc w:val="center"/>
            </w:pPr>
            <w:r>
              <w:rPr>
                <w:rFonts w:ascii="Arial" w:cs="Arial" w:eastAsia="Arial" w:hAnsi="Arial"/>
                <w:b/>
                <w:bCs/>
                <w:i w:val="false"/>
                <w:iCs w:val="false"/>
                <w:color w:val="FFFFFF"/>
                <w:sz w:val="30"/>
                <w:szCs w:val="30"/>
              </w:rPr>
              <w:t xml:space="preserve">SECTION 5 — PROPERTY INSURANCE 🏠</w:t>
            </w:r>
          </w:p>
        </w:tc>
      </w:tr>
    </w:tbl>
    <w:p>
      <w:pPr>
        <w:spacing w:before="0" w:after="0"/>
      </w:pPr>
      <w:r>
        <w:rPr>
          <w:rFonts w:ascii="Arial" w:cs="Arial" w:eastAsia="Arial" w:hAnsi="Arial"/>
          <w:b w:val="false"/>
          <w:bCs w:val="false"/>
          <w:i w:val="false"/>
          <w:iCs w:val="false"/>
          <w:color w:val="111827"/>
          <w:sz w:val="22"/>
          <w:szCs w:val="22"/>
        </w:rPr>
        <w:t xml:space="preserve"/>
      </w:r>
    </w:p>
    <w:p>
      <w:pPr>
        <w:pStyle w:val="Heading1"/>
        <w:pBdr>
          <w:bottom w:val="single" w:color="D97706" w:sz="8" w:space="2"/>
        </w:pBdr>
        <w:spacing w:before="320" w:after="160"/>
      </w:pPr>
      <w:r>
        <w:rPr>
          <w:rFonts w:ascii="Arial" w:cs="Arial" w:eastAsia="Arial" w:hAnsi="Arial"/>
          <w:b/>
          <w:bCs/>
          <w:color w:val="D97706"/>
          <w:sz w:val="36"/>
          <w:szCs w:val="36"/>
        </w:rPr>
        <w:t xml:space="preserve">5. Property Insurance in India</w:t>
      </w:r>
    </w:p>
    <w:p>
      <w:pPr>
        <w:spacing w:before="60" w:after="100"/>
        <w:jc w:val="left"/>
      </w:pPr>
      <w:r>
        <w:rPr>
          <w:rFonts w:ascii="Arial" w:cs="Arial" w:eastAsia="Arial" w:hAnsi="Arial"/>
          <w:b w:val="false"/>
          <w:bCs w:val="false"/>
          <w:i w:val="false"/>
          <w:iCs w:val="false"/>
          <w:color w:val="111827"/>
          <w:sz w:val="21"/>
          <w:szCs w:val="21"/>
        </w:rPr>
        <w:t xml:space="preserve">Property insurance covers your home, commercial property, and contents against risks like fire, natural disasters, theft, and civil disturbances. It is highly underutilised in India despite growing urbanisation.</w:t>
      </w:r>
    </w:p>
    <w:p>
      <w:pPr>
        <w:pStyle w:val="Heading2"/>
        <w:spacing w:before="240" w:after="120"/>
      </w:pPr>
      <w:r>
        <w:rPr>
          <w:rFonts w:ascii="Arial" w:cs="Arial" w:eastAsia="Arial" w:hAnsi="Arial"/>
          <w:b/>
          <w:bCs/>
          <w:color w:val="2563EB"/>
          <w:sz w:val="28"/>
          <w:szCs w:val="28"/>
        </w:rPr>
        <w:t xml:space="preserve">5.1  Types of Property Insurance</w:t>
      </w:r>
    </w:p>
    <w:p>
      <w:pPr>
        <w:pStyle w:val="ListParagraph"/>
        <w:numPr>
          <w:ilvl w:val="0"/>
          <w:numId w:val="2"/>
        </w:numPr>
        <w:spacing w:before="40" w:after="40"/>
      </w:pPr>
      <w:r>
        <w:rPr>
          <w:rFonts w:ascii="Arial" w:cs="Arial" w:eastAsia="Arial" w:hAnsi="Arial"/>
          <w:b/>
          <w:bCs/>
          <w:i w:val="false"/>
          <w:iCs w:val="false"/>
          <w:color w:val="111827"/>
          <w:sz w:val="21"/>
          <w:szCs w:val="21"/>
        </w:rPr>
        <w:t xml:space="preserve">Home Building Insurance — covers the physical structure</w:t>
      </w:r>
    </w:p>
    <w:p>
      <w:pPr>
        <w:pStyle w:val="ListParagraph"/>
        <w:numPr>
          <w:ilvl w:val="0"/>
          <w:numId w:val="3"/>
        </w:numPr>
        <w:spacing w:before="30" w:after="30"/>
      </w:pPr>
      <w:r>
        <w:rPr>
          <w:rFonts w:ascii="Arial" w:cs="Arial" w:eastAsia="Arial" w:hAnsi="Arial"/>
          <w:b w:val="false"/>
          <w:bCs w:val="false"/>
          <w:i w:val="false"/>
          <w:iCs w:val="false"/>
          <w:color w:val="6B7280"/>
          <w:sz w:val="20"/>
          <w:szCs w:val="20"/>
        </w:rPr>
        <w:t xml:space="preserve">Includes walls, roof, floors, fixed fixtures</w:t>
      </w:r>
    </w:p>
    <w:p>
      <w:pPr>
        <w:pStyle w:val="ListParagraph"/>
        <w:numPr>
          <w:ilvl w:val="0"/>
          <w:numId w:val="3"/>
        </w:numPr>
        <w:spacing w:before="30" w:after="30"/>
      </w:pPr>
      <w:r>
        <w:rPr>
          <w:rFonts w:ascii="Arial" w:cs="Arial" w:eastAsia="Arial" w:hAnsi="Arial"/>
          <w:b w:val="false"/>
          <w:bCs w:val="false"/>
          <w:i w:val="false"/>
          <w:iCs w:val="false"/>
          <w:color w:val="6B7280"/>
          <w:sz w:val="20"/>
          <w:szCs w:val="20"/>
        </w:rPr>
        <w:t xml:space="preserve">Does not cover land value</w:t>
      </w:r>
    </w:p>
    <w:p>
      <w:pPr>
        <w:pStyle w:val="ListParagraph"/>
        <w:numPr>
          <w:ilvl w:val="0"/>
          <w:numId w:val="2"/>
        </w:numPr>
        <w:spacing w:before="40" w:after="40"/>
      </w:pPr>
      <w:r>
        <w:rPr>
          <w:rFonts w:ascii="Arial" w:cs="Arial" w:eastAsia="Arial" w:hAnsi="Arial"/>
          <w:b/>
          <w:bCs/>
          <w:i w:val="false"/>
          <w:iCs w:val="false"/>
          <w:color w:val="111827"/>
          <w:sz w:val="21"/>
          <w:szCs w:val="21"/>
        </w:rPr>
        <w:t xml:space="preserve">Home Contents Insurance — covers belongings inside the home</w:t>
      </w:r>
    </w:p>
    <w:p>
      <w:pPr>
        <w:pStyle w:val="ListParagraph"/>
        <w:numPr>
          <w:ilvl w:val="0"/>
          <w:numId w:val="3"/>
        </w:numPr>
        <w:spacing w:before="30" w:after="30"/>
      </w:pPr>
      <w:r>
        <w:rPr>
          <w:rFonts w:ascii="Arial" w:cs="Arial" w:eastAsia="Arial" w:hAnsi="Arial"/>
          <w:b w:val="false"/>
          <w:bCs w:val="false"/>
          <w:i w:val="false"/>
          <w:iCs w:val="false"/>
          <w:color w:val="6B7280"/>
          <w:sz w:val="20"/>
          <w:szCs w:val="20"/>
        </w:rPr>
        <w:t xml:space="preserve">Furniture, electronics, jewellery, clothing</w:t>
      </w:r>
    </w:p>
    <w:p>
      <w:pPr>
        <w:pStyle w:val="ListParagraph"/>
        <w:numPr>
          <w:ilvl w:val="0"/>
          <w:numId w:val="3"/>
        </w:numPr>
        <w:spacing w:before="30" w:after="30"/>
      </w:pPr>
      <w:r>
        <w:rPr>
          <w:rFonts w:ascii="Arial" w:cs="Arial" w:eastAsia="Arial" w:hAnsi="Arial"/>
          <w:b w:val="false"/>
          <w:bCs w:val="false"/>
          <w:i w:val="false"/>
          <w:iCs w:val="false"/>
          <w:color w:val="6B7280"/>
          <w:sz w:val="20"/>
          <w:szCs w:val="20"/>
        </w:rPr>
        <w:t xml:space="preserve">All-risk or named-peril basis</w:t>
      </w:r>
    </w:p>
    <w:p>
      <w:pPr>
        <w:pStyle w:val="ListParagraph"/>
        <w:numPr>
          <w:ilvl w:val="0"/>
          <w:numId w:val="2"/>
        </w:numPr>
        <w:spacing w:before="40" w:after="40"/>
      </w:pPr>
      <w:r>
        <w:rPr>
          <w:rFonts w:ascii="Arial" w:cs="Arial" w:eastAsia="Arial" w:hAnsi="Arial"/>
          <w:b/>
          <w:bCs/>
          <w:i w:val="false"/>
          <w:iCs w:val="false"/>
          <w:color w:val="111827"/>
          <w:sz w:val="21"/>
          <w:szCs w:val="21"/>
        </w:rPr>
        <w:t xml:space="preserve">Bharat Griha Raksha — Standardised home insurance by IRDAI</w:t>
      </w:r>
    </w:p>
    <w:p>
      <w:pPr>
        <w:pStyle w:val="ListParagraph"/>
        <w:numPr>
          <w:ilvl w:val="0"/>
          <w:numId w:val="3"/>
        </w:numPr>
        <w:spacing w:before="30" w:after="30"/>
      </w:pPr>
      <w:r>
        <w:rPr>
          <w:rFonts w:ascii="Arial" w:cs="Arial" w:eastAsia="Arial" w:hAnsi="Arial"/>
          <w:b w:val="false"/>
          <w:bCs w:val="false"/>
          <w:i w:val="false"/>
          <w:iCs w:val="false"/>
          <w:color w:val="6B7280"/>
          <w:sz w:val="20"/>
          <w:szCs w:val="20"/>
        </w:rPr>
        <w:t xml:space="preserve">Mandatory basic cover; top-up optional</w:t>
      </w:r>
    </w:p>
    <w:p>
      <w:pPr>
        <w:pStyle w:val="ListParagraph"/>
        <w:numPr>
          <w:ilvl w:val="0"/>
          <w:numId w:val="3"/>
        </w:numPr>
        <w:spacing w:before="30" w:after="30"/>
      </w:pPr>
      <w:r>
        <w:rPr>
          <w:rFonts w:ascii="Arial" w:cs="Arial" w:eastAsia="Arial" w:hAnsi="Arial"/>
          <w:b w:val="false"/>
          <w:bCs w:val="false"/>
          <w:i w:val="false"/>
          <w:iCs w:val="false"/>
          <w:color w:val="6B7280"/>
          <w:sz w:val="20"/>
          <w:szCs w:val="20"/>
        </w:rPr>
        <w:t xml:space="preserve">Fire, flood, earthquake, storm covered mandatorily</w:t>
      </w:r>
    </w:p>
    <w:p>
      <w:pPr>
        <w:pStyle w:val="ListParagraph"/>
        <w:numPr>
          <w:ilvl w:val="0"/>
          <w:numId w:val="2"/>
        </w:numPr>
        <w:spacing w:before="40" w:after="40"/>
      </w:pPr>
      <w:r>
        <w:rPr>
          <w:rFonts w:ascii="Arial" w:cs="Arial" w:eastAsia="Arial" w:hAnsi="Arial"/>
          <w:b/>
          <w:bCs/>
          <w:i w:val="false"/>
          <w:iCs w:val="false"/>
          <w:color w:val="111827"/>
          <w:sz w:val="21"/>
          <w:szCs w:val="21"/>
        </w:rPr>
        <w:t xml:space="preserve">Commercial Property Insurance — for offices, shops, factories</w:t>
      </w:r>
    </w:p>
    <w:p>
      <w:pPr>
        <w:pStyle w:val="ListParagraph"/>
        <w:numPr>
          <w:ilvl w:val="0"/>
          <w:numId w:val="2"/>
        </w:numPr>
        <w:spacing w:before="40" w:after="40"/>
      </w:pPr>
      <w:r>
        <w:rPr>
          <w:rFonts w:ascii="Arial" w:cs="Arial" w:eastAsia="Arial" w:hAnsi="Arial"/>
          <w:b/>
          <w:bCs/>
          <w:i w:val="false"/>
          <w:iCs w:val="false"/>
          <w:color w:val="111827"/>
          <w:sz w:val="21"/>
          <w:szCs w:val="21"/>
        </w:rPr>
        <w:t xml:space="preserve">Shopkeeper's Policy — combined package for retailers</w:t>
      </w:r>
    </w:p>
    <w:p>
      <w:pPr>
        <w:spacing w:before="0" w:after="0"/>
      </w:pPr>
      <w:r>
        <w:rPr>
          <w:rFonts w:ascii="Arial" w:cs="Arial" w:eastAsia="Arial" w:hAnsi="Arial"/>
          <w:b w:val="false"/>
          <w:bCs w:val="false"/>
          <w:i w:val="false"/>
          <w:iCs w:val="false"/>
          <w:color w:val="111827"/>
          <w:sz w:val="22"/>
          <w:szCs w:val="22"/>
        </w:rPr>
        <w:t xml:space="preserve"/>
      </w:r>
    </w:p>
    <w:p>
      <w:pPr>
        <w:pStyle w:val="Heading2"/>
        <w:spacing w:before="240" w:after="120"/>
      </w:pPr>
      <w:r>
        <w:rPr>
          <w:rFonts w:ascii="Arial" w:cs="Arial" w:eastAsia="Arial" w:hAnsi="Arial"/>
          <w:b/>
          <w:bCs/>
          <w:color w:val="2563EB"/>
          <w:sz w:val="28"/>
          <w:szCs w:val="28"/>
        </w:rPr>
        <w:t xml:space="preserve">5.2  Perils Covered — Standard Fire and Allied Perils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2563EB" w:val="clear"/>
            <w:tcMar>
              <w:top w:type="dxa" w:w="100"/>
              <w:left w:type="dxa" w:w="140"/>
              <w:bottom w:type="dxa" w:w="100"/>
              <w:right w:type="dxa" w:w="140"/>
            </w:tcMar>
            <w:vAlign w:val="center"/>
          </w:tcPr>
          <w:p>
            <w:pPr>
              <w:spacing w:before="60" w:after="60"/>
              <w:jc w:val="center"/>
            </w:pPr>
            <w:r>
              <w:rPr>
                <w:rFonts w:ascii="Arial" w:cs="Arial" w:eastAsia="Arial" w:hAnsi="Arial"/>
                <w:b/>
                <w:bCs/>
                <w:i w:val="false"/>
                <w:iCs w:val="false"/>
                <w:color w:val="FFFFFF"/>
                <w:sz w:val="20"/>
                <w:szCs w:val="20"/>
              </w:rPr>
              <w:t xml:space="preserve">Natural Perils</w:t>
            </w:r>
          </w:p>
        </w:tc>
        <w:tc>
          <w:tcPr>
            <w:tcW w:type="dxa" w:w="3120"/>
            <w:tcBorders>
              <w:top w:val="single" w:color="DDDDDD" w:sz="1"/>
              <w:left w:val="single" w:color="DDDDDD" w:sz="1"/>
              <w:bottom w:val="single" w:color="DDDDDD" w:sz="1"/>
              <w:right w:val="single" w:color="DDDDDD" w:sz="1"/>
            </w:tcBorders>
            <w:shd w:fill="EA580C" w:val="clear"/>
            <w:tcMar>
              <w:top w:type="dxa" w:w="100"/>
              <w:left w:type="dxa" w:w="140"/>
              <w:bottom w:type="dxa" w:w="100"/>
              <w:right w:type="dxa" w:w="140"/>
            </w:tcMar>
            <w:vAlign w:val="center"/>
          </w:tcPr>
          <w:p>
            <w:pPr>
              <w:spacing w:before="60" w:after="60"/>
              <w:jc w:val="center"/>
            </w:pPr>
            <w:r>
              <w:rPr>
                <w:rFonts w:ascii="Arial" w:cs="Arial" w:eastAsia="Arial" w:hAnsi="Arial"/>
                <w:b/>
                <w:bCs/>
                <w:i w:val="false"/>
                <w:iCs w:val="false"/>
                <w:color w:val="FFFFFF"/>
                <w:sz w:val="20"/>
                <w:szCs w:val="20"/>
              </w:rPr>
              <w:t xml:space="preserve">Man-Made Perils</w:t>
            </w:r>
          </w:p>
        </w:tc>
        <w:tc>
          <w:tcPr>
            <w:tcW w:type="dxa" w:w="3120"/>
            <w:tcBorders>
              <w:top w:val="single" w:color="DDDDDD" w:sz="1"/>
              <w:left w:val="single" w:color="DDDDDD" w:sz="1"/>
              <w:bottom w:val="single" w:color="DDDDDD" w:sz="1"/>
              <w:right w:val="single" w:color="DDDDDD" w:sz="1"/>
            </w:tcBorders>
            <w:shd w:fill="0F766E" w:val="clear"/>
            <w:tcMar>
              <w:top w:type="dxa" w:w="100"/>
              <w:left w:type="dxa" w:w="140"/>
              <w:bottom w:type="dxa" w:w="100"/>
              <w:right w:type="dxa" w:w="140"/>
            </w:tcMar>
            <w:vAlign w:val="center"/>
          </w:tcPr>
          <w:p>
            <w:pPr>
              <w:spacing w:before="60" w:after="60"/>
              <w:jc w:val="center"/>
            </w:pPr>
            <w:r>
              <w:rPr>
                <w:rFonts w:ascii="Arial" w:cs="Arial" w:eastAsia="Arial" w:hAnsi="Arial"/>
                <w:b/>
                <w:bCs/>
                <w:i w:val="false"/>
                <w:iCs w:val="false"/>
                <w:color w:val="FFFFFF"/>
                <w:sz w:val="20"/>
                <w:szCs w:val="20"/>
              </w:rPr>
              <w:t xml:space="preserve">Optional Add-ons</w:t>
            </w:r>
          </w:p>
        </w:tc>
      </w:tr>
      <w:tr>
        <w:tc>
          <w:tcPr>
            <w:tcW w:type="dxa" w:w="3120"/>
            <w:tcBorders>
              <w:top w:val="single" w:color="DDDDDD" w:sz="1"/>
              <w:left w:val="single" w:color="DDDDDD" w:sz="1"/>
              <w:bottom w:val="single" w:color="DDDDDD" w:sz="1"/>
              <w:right w:val="single" w:color="DDDDDD" w:sz="1"/>
            </w:tcBorders>
            <w:shd w:fill="DBEAFE" w:val="clear"/>
            <w:tcMar>
              <w:top w:type="dxa" w:w="100"/>
              <w:left w:type="dxa" w:w="140"/>
              <w:bottom w:type="dxa" w:w="100"/>
              <w:right w:type="dxa" w:w="140"/>
            </w:tcMar>
            <w:vAlign w:val="center"/>
          </w:tcPr>
          <w:p>
            <w:pPr>
              <w:spacing w:before="60" w:after="60"/>
              <w:jc w:val="left"/>
            </w:pPr>
            <w:r>
              <w:rPr>
                <w:rFonts w:ascii="Arial" w:cs="Arial" w:eastAsia="Arial" w:hAnsi="Arial"/>
                <w:b w:val="false"/>
                <w:bCs w:val="false"/>
                <w:i w:val="false"/>
                <w:iCs w:val="false"/>
                <w:color w:val="111827"/>
                <w:sz w:val="20"/>
                <w:szCs w:val="20"/>
              </w:rPr>
              <w:t xml:space="preserve">Fire &amp; lightning</w:t>
            </w:r>
          </w:p>
          <w:p>
            <w:pPr>
              <w:spacing w:before="60" w:after="60"/>
              <w:jc w:val="left"/>
            </w:pPr>
            <w:r>
              <w:rPr>
                <w:rFonts w:ascii="Arial" w:cs="Arial" w:eastAsia="Arial" w:hAnsi="Arial"/>
                <w:b w:val="false"/>
                <w:bCs w:val="false"/>
                <w:i w:val="false"/>
                <w:iCs w:val="false"/>
                <w:color w:val="111827"/>
                <w:sz w:val="20"/>
                <w:szCs w:val="20"/>
              </w:rPr>
              <w:t xml:space="preserve">Earthquake</w:t>
            </w:r>
          </w:p>
          <w:p>
            <w:pPr>
              <w:spacing w:before="60" w:after="60"/>
              <w:jc w:val="left"/>
            </w:pPr>
            <w:r>
              <w:rPr>
                <w:rFonts w:ascii="Arial" w:cs="Arial" w:eastAsia="Arial" w:hAnsi="Arial"/>
                <w:b w:val="false"/>
                <w:bCs w:val="false"/>
                <w:i w:val="false"/>
                <w:iCs w:val="false"/>
                <w:color w:val="111827"/>
                <w:sz w:val="20"/>
                <w:szCs w:val="20"/>
              </w:rPr>
              <w:t xml:space="preserve">Flood &amp; inundation</w:t>
            </w:r>
          </w:p>
          <w:p>
            <w:pPr>
              <w:spacing w:before="60" w:after="60"/>
              <w:jc w:val="left"/>
            </w:pPr>
            <w:r>
              <w:rPr>
                <w:rFonts w:ascii="Arial" w:cs="Arial" w:eastAsia="Arial" w:hAnsi="Arial"/>
                <w:b w:val="false"/>
                <w:bCs w:val="false"/>
                <w:i w:val="false"/>
                <w:iCs w:val="false"/>
                <w:color w:val="111827"/>
                <w:sz w:val="20"/>
                <w:szCs w:val="20"/>
              </w:rPr>
              <w:t xml:space="preserve">Storm, cyclone, typhoon</w:t>
            </w:r>
          </w:p>
          <w:p>
            <w:pPr>
              <w:spacing w:before="60" w:after="60"/>
              <w:jc w:val="left"/>
            </w:pPr>
            <w:r>
              <w:rPr>
                <w:rFonts w:ascii="Arial" w:cs="Arial" w:eastAsia="Arial" w:hAnsi="Arial"/>
                <w:b w:val="false"/>
                <w:bCs w:val="false"/>
                <w:i w:val="false"/>
                <w:iCs w:val="false"/>
                <w:color w:val="111827"/>
                <w:sz w:val="20"/>
                <w:szCs w:val="20"/>
              </w:rPr>
              <w:t xml:space="preserve">Landslide / rockslide</w:t>
            </w:r>
          </w:p>
        </w:tc>
        <w:tc>
          <w:tcPr>
            <w:tcW w:type="dxa" w:w="3120"/>
            <w:tcBorders>
              <w:top w:val="single" w:color="DDDDDD" w:sz="1"/>
              <w:left w:val="single" w:color="DDDDDD" w:sz="1"/>
              <w:bottom w:val="single" w:color="DDDDDD" w:sz="1"/>
              <w:right w:val="single" w:color="DDDDDD" w:sz="1"/>
            </w:tcBorders>
            <w:shd w:fill="FFEDD5" w:val="clear"/>
            <w:tcMar>
              <w:top w:type="dxa" w:w="100"/>
              <w:left w:type="dxa" w:w="140"/>
              <w:bottom w:type="dxa" w:w="100"/>
              <w:right w:type="dxa" w:w="140"/>
            </w:tcMar>
            <w:vAlign w:val="center"/>
          </w:tcPr>
          <w:p>
            <w:pPr>
              <w:spacing w:before="60" w:after="60"/>
              <w:jc w:val="left"/>
            </w:pPr>
            <w:r>
              <w:rPr>
                <w:rFonts w:ascii="Arial" w:cs="Arial" w:eastAsia="Arial" w:hAnsi="Arial"/>
                <w:b w:val="false"/>
                <w:bCs w:val="false"/>
                <w:i w:val="false"/>
                <w:iCs w:val="false"/>
                <w:color w:val="111827"/>
                <w:sz w:val="20"/>
                <w:szCs w:val="20"/>
              </w:rPr>
              <w:t xml:space="preserve">Riot, strike, malice</w:t>
            </w:r>
          </w:p>
          <w:p>
            <w:pPr>
              <w:spacing w:before="60" w:after="60"/>
              <w:jc w:val="left"/>
            </w:pPr>
            <w:r>
              <w:rPr>
                <w:rFonts w:ascii="Arial" w:cs="Arial" w:eastAsia="Arial" w:hAnsi="Arial"/>
                <w:b w:val="false"/>
                <w:bCs w:val="false"/>
                <w:i w:val="false"/>
                <w:iCs w:val="false"/>
                <w:color w:val="111827"/>
                <w:sz w:val="20"/>
                <w:szCs w:val="20"/>
              </w:rPr>
              <w:t xml:space="preserve">Aircraft damage</w:t>
            </w:r>
          </w:p>
          <w:p>
            <w:pPr>
              <w:spacing w:before="60" w:after="60"/>
              <w:jc w:val="left"/>
            </w:pPr>
            <w:r>
              <w:rPr>
                <w:rFonts w:ascii="Arial" w:cs="Arial" w:eastAsia="Arial" w:hAnsi="Arial"/>
                <w:b w:val="false"/>
                <w:bCs w:val="false"/>
                <w:i w:val="false"/>
                <w:iCs w:val="false"/>
                <w:color w:val="111827"/>
                <w:sz w:val="20"/>
                <w:szCs w:val="20"/>
              </w:rPr>
              <w:t xml:space="preserve">Vehicle impact</w:t>
            </w:r>
          </w:p>
          <w:p>
            <w:pPr>
              <w:spacing w:before="60" w:after="60"/>
              <w:jc w:val="left"/>
            </w:pPr>
            <w:r>
              <w:rPr>
                <w:rFonts w:ascii="Arial" w:cs="Arial" w:eastAsia="Arial" w:hAnsi="Arial"/>
                <w:b w:val="false"/>
                <w:bCs w:val="false"/>
                <w:i w:val="false"/>
                <w:iCs w:val="false"/>
                <w:color w:val="111827"/>
                <w:sz w:val="20"/>
                <w:szCs w:val="20"/>
              </w:rPr>
              <w:t xml:space="preserve">Missile testing ops</w:t>
            </w:r>
          </w:p>
          <w:p>
            <w:pPr>
              <w:spacing w:before="60" w:after="60"/>
              <w:jc w:val="left"/>
            </w:pPr>
            <w:r>
              <w:rPr>
                <w:rFonts w:ascii="Arial" w:cs="Arial" w:eastAsia="Arial" w:hAnsi="Arial"/>
                <w:b w:val="false"/>
                <w:bCs w:val="false"/>
                <w:i w:val="false"/>
                <w:iCs w:val="false"/>
                <w:color w:val="111827"/>
                <w:sz w:val="20"/>
                <w:szCs w:val="20"/>
              </w:rPr>
              <w:t xml:space="preserve">Explosion/implosion</w:t>
            </w:r>
          </w:p>
        </w:tc>
        <w:tc>
          <w:tcPr>
            <w:tcW w:type="dxa" w:w="3120"/>
            <w:tcBorders>
              <w:top w:val="single" w:color="DDDDDD" w:sz="1"/>
              <w:left w:val="single" w:color="DDDDDD" w:sz="1"/>
              <w:bottom w:val="single" w:color="DDDDDD" w:sz="1"/>
              <w:right w:val="single" w:color="DDDDDD" w:sz="1"/>
            </w:tcBorders>
            <w:shd w:fill="CCFBF1" w:val="clear"/>
            <w:tcMar>
              <w:top w:type="dxa" w:w="100"/>
              <w:left w:type="dxa" w:w="140"/>
              <w:bottom w:type="dxa" w:w="100"/>
              <w:right w:type="dxa" w:w="140"/>
            </w:tcMar>
            <w:vAlign w:val="center"/>
          </w:tcPr>
          <w:p>
            <w:pPr>
              <w:spacing w:before="60" w:after="60"/>
              <w:jc w:val="left"/>
            </w:pPr>
            <w:r>
              <w:rPr>
                <w:rFonts w:ascii="Arial" w:cs="Arial" w:eastAsia="Arial" w:hAnsi="Arial"/>
                <w:b w:val="false"/>
                <w:bCs w:val="false"/>
                <w:i w:val="false"/>
                <w:iCs w:val="false"/>
                <w:color w:val="111827"/>
                <w:sz w:val="20"/>
                <w:szCs w:val="20"/>
              </w:rPr>
              <w:t xml:space="preserve">Terrorism cover</w:t>
            </w:r>
          </w:p>
          <w:p>
            <w:pPr>
              <w:spacing w:before="60" w:after="60"/>
              <w:jc w:val="left"/>
            </w:pPr>
            <w:r>
              <w:rPr>
                <w:rFonts w:ascii="Arial" w:cs="Arial" w:eastAsia="Arial" w:hAnsi="Arial"/>
                <w:b w:val="false"/>
                <w:bCs w:val="false"/>
                <w:i w:val="false"/>
                <w:iCs w:val="false"/>
                <w:color w:val="111827"/>
                <w:sz w:val="20"/>
                <w:szCs w:val="20"/>
              </w:rPr>
              <w:t xml:space="preserve">Burglary / theft</w:t>
            </w:r>
          </w:p>
          <w:p>
            <w:pPr>
              <w:spacing w:before="60" w:after="60"/>
              <w:jc w:val="left"/>
            </w:pPr>
            <w:r>
              <w:rPr>
                <w:rFonts w:ascii="Arial" w:cs="Arial" w:eastAsia="Arial" w:hAnsi="Arial"/>
                <w:b w:val="false"/>
                <w:bCs w:val="false"/>
                <w:i w:val="false"/>
                <w:iCs w:val="false"/>
                <w:color w:val="111827"/>
                <w:sz w:val="20"/>
                <w:szCs w:val="20"/>
              </w:rPr>
              <w:t xml:space="preserve">Machinery breakdown</w:t>
            </w:r>
          </w:p>
          <w:p>
            <w:pPr>
              <w:spacing w:before="60" w:after="60"/>
              <w:jc w:val="left"/>
            </w:pPr>
            <w:r>
              <w:rPr>
                <w:rFonts w:ascii="Arial" w:cs="Arial" w:eastAsia="Arial" w:hAnsi="Arial"/>
                <w:b w:val="false"/>
                <w:bCs w:val="false"/>
                <w:i w:val="false"/>
                <w:iCs w:val="false"/>
                <w:color w:val="111827"/>
                <w:sz w:val="20"/>
                <w:szCs w:val="20"/>
              </w:rPr>
              <w:t xml:space="preserve">Loss of rent</w:t>
            </w:r>
          </w:p>
          <w:p>
            <w:pPr>
              <w:spacing w:before="60" w:after="60"/>
              <w:jc w:val="left"/>
            </w:pPr>
            <w:r>
              <w:rPr>
                <w:rFonts w:ascii="Arial" w:cs="Arial" w:eastAsia="Arial" w:hAnsi="Arial"/>
                <w:b w:val="false"/>
                <w:bCs w:val="false"/>
                <w:i w:val="false"/>
                <w:iCs w:val="false"/>
                <w:color w:val="111827"/>
                <w:sz w:val="20"/>
                <w:szCs w:val="20"/>
              </w:rPr>
              <w:t xml:space="preserve">Architect fees</w:t>
            </w:r>
          </w:p>
        </w:tc>
      </w:tr>
    </w:tbl>
    <w:p>
      <w:pPr>
        <w:spacing w:before="0" w:after="0"/>
      </w:pPr>
      <w:r>
        <w:rPr>
          <w:rFonts w:ascii="Arial" w:cs="Arial" w:eastAsia="Arial" w:hAnsi="Arial"/>
          <w:b w:val="false"/>
          <w:bCs w:val="false"/>
          <w:i w:val="false"/>
          <w:iCs w:val="false"/>
          <w:color w:val="111827"/>
          <w:sz w:val="22"/>
          <w:szCs w:val="22"/>
        </w:rPr>
        <w:t xml:space="preserve"/>
      </w:r>
    </w:p>
    <w:p>
      <w:pPr>
        <w:pStyle w:val="Heading2"/>
        <w:spacing w:before="240" w:after="120"/>
      </w:pPr>
      <w:r>
        <w:rPr>
          <w:rFonts w:ascii="Arial" w:cs="Arial" w:eastAsia="Arial" w:hAnsi="Arial"/>
          <w:b/>
          <w:bCs/>
          <w:color w:val="2563EB"/>
          <w:sz w:val="28"/>
          <w:szCs w:val="28"/>
        </w:rPr>
        <w:t xml:space="preserve">5.3  Top Property Insurance Providers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CCEE" w:sz="1"/>
              <w:left w:val="single" w:color="AACCEE" w:sz="1"/>
              <w:bottom w:val="single" w:color="AACCEE" w:sz="1"/>
              <w:right w:val="single" w:color="AACCEE" w:sz="1"/>
            </w:tcBorders>
            <w:shd w:fill="1B3A6B" w:val="clear"/>
            <w:tcMar>
              <w:top w:type="dxa" w:w="100"/>
              <w:left w:type="dxa" w:w="140"/>
              <w:bottom w:type="dxa" w:w="100"/>
              <w:right w:type="dxa" w:w="140"/>
            </w:tcMar>
            <w:vAlign w:val="center"/>
          </w:tcPr>
          <w:p>
            <w:pPr>
              <w:spacing w:before="60" w:after="60"/>
              <w:jc w:val="left"/>
            </w:pPr>
            <w:r>
              <w:rPr>
                <w:rFonts w:ascii="Arial" w:cs="Arial" w:eastAsia="Arial" w:hAnsi="Arial"/>
                <w:b/>
                <w:bCs/>
                <w:i w:val="false"/>
                <w:iCs w:val="false"/>
                <w:color w:val="FFFFFF"/>
                <w:sz w:val="20"/>
                <w:szCs w:val="20"/>
              </w:rPr>
              <w:t xml:space="preserve">Insurer</w:t>
            </w:r>
          </w:p>
        </w:tc>
        <w:tc>
          <w:tcPr>
            <w:tcW w:type="dxa" w:w="65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spacing w:before="60" w:after="60"/>
              <w:jc w:val="left"/>
            </w:pPr>
            <w:r>
              <w:rPr>
                <w:rFonts w:ascii="Arial" w:cs="Arial" w:eastAsia="Arial" w:hAnsi="Arial"/>
                <w:b w:val="false"/>
                <w:bCs w:val="false"/>
                <w:i w:val="false"/>
                <w:iCs w:val="false"/>
                <w:color w:val="111827"/>
                <w:sz w:val="20"/>
                <w:szCs w:val="20"/>
              </w:rPr>
              <w:t xml:space="preserve">Key Products &amp; Highlights</w:t>
            </w:r>
          </w:p>
        </w:tc>
      </w:tr>
      <w:tr>
        <w:tc>
          <w:tcPr>
            <w:tcW w:type="dxa" w:w="2800"/>
            <w:tcBorders>
              <w:top w:val="single" w:color="AACCEE" w:sz="1"/>
              <w:left w:val="single" w:color="AACCEE" w:sz="1"/>
              <w:bottom w:val="single" w:color="AACCEE" w:sz="1"/>
              <w:right w:val="single" w:color="AACCEE" w:sz="1"/>
            </w:tcBorders>
            <w:shd w:fill="DBEAFE" w:val="clear"/>
            <w:tcMar>
              <w:top w:type="dxa" w:w="100"/>
              <w:left w:type="dxa" w:w="140"/>
              <w:bottom w:type="dxa" w:w="100"/>
              <w:right w:type="dxa" w:w="140"/>
            </w:tcMar>
            <w:vAlign w:val="center"/>
          </w:tcPr>
          <w:p>
            <w:pPr>
              <w:spacing w:before="60" w:after="60"/>
              <w:jc w:val="left"/>
            </w:pPr>
            <w:r>
              <w:rPr>
                <w:rFonts w:ascii="Arial" w:cs="Arial" w:eastAsia="Arial" w:hAnsi="Arial"/>
                <w:b/>
                <w:bCs/>
                <w:i w:val="false"/>
                <w:iCs w:val="false"/>
                <w:color w:val="1B3A6B"/>
                <w:sz w:val="20"/>
                <w:szCs w:val="20"/>
              </w:rPr>
              <w:t xml:space="preserve">New India Assurance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60" w:after="60"/>
              <w:jc w:val="left"/>
            </w:pPr>
            <w:r>
              <w:rPr>
                <w:rFonts w:ascii="Arial" w:cs="Arial" w:eastAsia="Arial" w:hAnsi="Arial"/>
                <w:b w:val="false"/>
                <w:bCs w:val="false"/>
                <w:i w:val="false"/>
                <w:iCs w:val="false"/>
                <w:color w:val="111827"/>
                <w:sz w:val="20"/>
                <w:szCs w:val="20"/>
              </w:rPr>
              <w:t xml:space="preserve">Bharat Griha Raksha (standard); Group housing cover; PSU backed; widest reach</w:t>
            </w:r>
          </w:p>
        </w:tc>
      </w:tr>
      <w:tr>
        <w:tc>
          <w:tcPr>
            <w:tcW w:type="dxa" w:w="2800"/>
            <w:tcBorders>
              <w:top w:val="single" w:color="AACCEE" w:sz="1"/>
              <w:left w:val="single" w:color="AACCEE" w:sz="1"/>
              <w:bottom w:val="single" w:color="AACCEE" w:sz="1"/>
              <w:right w:val="single" w:color="AACCEE" w:sz="1"/>
            </w:tcBorders>
            <w:shd w:fill="DBEAFE" w:val="clear"/>
            <w:tcMar>
              <w:top w:type="dxa" w:w="100"/>
              <w:left w:type="dxa" w:w="140"/>
              <w:bottom w:type="dxa" w:w="100"/>
              <w:right w:type="dxa" w:w="140"/>
            </w:tcMar>
            <w:vAlign w:val="center"/>
          </w:tcPr>
          <w:p>
            <w:pPr>
              <w:spacing w:before="60" w:after="60"/>
              <w:jc w:val="left"/>
            </w:pPr>
            <w:r>
              <w:rPr>
                <w:rFonts w:ascii="Arial" w:cs="Arial" w:eastAsia="Arial" w:hAnsi="Arial"/>
                <w:b/>
                <w:bCs/>
                <w:i w:val="false"/>
                <w:iCs w:val="false"/>
                <w:color w:val="1B3A6B"/>
                <w:sz w:val="20"/>
                <w:szCs w:val="20"/>
              </w:rPr>
              <w:t xml:space="preserve">HDFC ERGO</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60" w:after="60"/>
              <w:jc w:val="left"/>
            </w:pPr>
            <w:r>
              <w:rPr>
                <w:rFonts w:ascii="Arial" w:cs="Arial" w:eastAsia="Arial" w:hAnsi="Arial"/>
                <w:b w:val="false"/>
                <w:bCs w:val="false"/>
                <w:i w:val="false"/>
                <w:iCs w:val="false"/>
                <w:color w:val="111827"/>
                <w:sz w:val="20"/>
                <w:szCs w:val="20"/>
              </w:rPr>
              <w:t xml:space="preserve">Home Shield; digital issuance; add-ons for high-value contents; valuables cover</w:t>
            </w:r>
          </w:p>
        </w:tc>
      </w:tr>
      <w:tr>
        <w:tc>
          <w:tcPr>
            <w:tcW w:type="dxa" w:w="2800"/>
            <w:tcBorders>
              <w:top w:val="single" w:color="AACCEE" w:sz="1"/>
              <w:left w:val="single" w:color="AACCEE" w:sz="1"/>
              <w:bottom w:val="single" w:color="AACCEE" w:sz="1"/>
              <w:right w:val="single" w:color="AACCEE" w:sz="1"/>
            </w:tcBorders>
            <w:shd w:fill="DBEAFE" w:val="clear"/>
            <w:tcMar>
              <w:top w:type="dxa" w:w="100"/>
              <w:left w:type="dxa" w:w="140"/>
              <w:bottom w:type="dxa" w:w="100"/>
              <w:right w:type="dxa" w:w="140"/>
            </w:tcMar>
            <w:vAlign w:val="center"/>
          </w:tcPr>
          <w:p>
            <w:pPr>
              <w:spacing w:before="60" w:after="60"/>
              <w:jc w:val="left"/>
            </w:pPr>
            <w:r>
              <w:rPr>
                <w:rFonts w:ascii="Arial" w:cs="Arial" w:eastAsia="Arial" w:hAnsi="Arial"/>
                <w:b/>
                <w:bCs/>
                <w:i w:val="false"/>
                <w:iCs w:val="false"/>
                <w:color w:val="1B3A6B"/>
                <w:sz w:val="20"/>
                <w:szCs w:val="20"/>
              </w:rPr>
              <w:t xml:space="preserve">Bajaj Allianz</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60" w:after="60"/>
              <w:jc w:val="left"/>
            </w:pPr>
            <w:r>
              <w:rPr>
                <w:rFonts w:ascii="Arial" w:cs="Arial" w:eastAsia="Arial" w:hAnsi="Arial"/>
                <w:b w:val="false"/>
                <w:bCs w:val="false"/>
                <w:i w:val="false"/>
                <w:iCs w:val="false"/>
                <w:color w:val="111827"/>
                <w:sz w:val="20"/>
                <w:szCs w:val="20"/>
              </w:rPr>
              <w:t xml:space="preserve">My Home Insurance; flexible sum insured; earthquake and flood cover included</w:t>
            </w:r>
          </w:p>
        </w:tc>
      </w:tr>
      <w:tr>
        <w:tc>
          <w:tcPr>
            <w:tcW w:type="dxa" w:w="2800"/>
            <w:tcBorders>
              <w:top w:val="single" w:color="AACCEE" w:sz="1"/>
              <w:left w:val="single" w:color="AACCEE" w:sz="1"/>
              <w:bottom w:val="single" w:color="AACCEE" w:sz="1"/>
              <w:right w:val="single" w:color="AACCEE" w:sz="1"/>
            </w:tcBorders>
            <w:shd w:fill="DBEAFE" w:val="clear"/>
            <w:tcMar>
              <w:top w:type="dxa" w:w="100"/>
              <w:left w:type="dxa" w:w="140"/>
              <w:bottom w:type="dxa" w:w="100"/>
              <w:right w:type="dxa" w:w="140"/>
            </w:tcMar>
            <w:vAlign w:val="center"/>
          </w:tcPr>
          <w:p>
            <w:pPr>
              <w:spacing w:before="60" w:after="60"/>
              <w:jc w:val="left"/>
            </w:pPr>
            <w:r>
              <w:rPr>
                <w:rFonts w:ascii="Arial" w:cs="Arial" w:eastAsia="Arial" w:hAnsi="Arial"/>
                <w:b/>
                <w:bCs/>
                <w:i w:val="false"/>
                <w:iCs w:val="false"/>
                <w:color w:val="1B3A6B"/>
                <w:sz w:val="20"/>
                <w:szCs w:val="20"/>
              </w:rPr>
              <w:t xml:space="preserve">ICICI Lombard</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60" w:after="60"/>
              <w:jc w:val="left"/>
            </w:pPr>
            <w:r>
              <w:rPr>
                <w:rFonts w:ascii="Arial" w:cs="Arial" w:eastAsia="Arial" w:hAnsi="Arial"/>
                <w:b w:val="false"/>
                <w:bCs w:val="false"/>
                <w:i w:val="false"/>
                <w:iCs w:val="false"/>
                <w:color w:val="111827"/>
                <w:sz w:val="20"/>
                <w:szCs w:val="20"/>
              </w:rPr>
              <w:t xml:space="preserve">Householders Package; all-in-one cover; commercial property specialist</w:t>
            </w:r>
          </w:p>
        </w:tc>
      </w:tr>
      <w:tr>
        <w:tc>
          <w:tcPr>
            <w:tcW w:type="dxa" w:w="2800"/>
            <w:tcBorders>
              <w:top w:val="single" w:color="AACCEE" w:sz="1"/>
              <w:left w:val="single" w:color="AACCEE" w:sz="1"/>
              <w:bottom w:val="single" w:color="AACCEE" w:sz="1"/>
              <w:right w:val="single" w:color="AACCEE" w:sz="1"/>
            </w:tcBorders>
            <w:shd w:fill="DBEAFE" w:val="clear"/>
            <w:tcMar>
              <w:top w:type="dxa" w:w="100"/>
              <w:left w:type="dxa" w:w="140"/>
              <w:bottom w:type="dxa" w:w="100"/>
              <w:right w:type="dxa" w:w="140"/>
            </w:tcMar>
            <w:vAlign w:val="center"/>
          </w:tcPr>
          <w:p>
            <w:pPr>
              <w:spacing w:before="60" w:after="60"/>
              <w:jc w:val="left"/>
            </w:pPr>
            <w:r>
              <w:rPr>
                <w:rFonts w:ascii="Arial" w:cs="Arial" w:eastAsia="Arial" w:hAnsi="Arial"/>
                <w:b/>
                <w:bCs/>
                <w:i w:val="false"/>
                <w:iCs w:val="false"/>
                <w:color w:val="1B3A6B"/>
                <w:sz w:val="20"/>
                <w:szCs w:val="20"/>
              </w:rPr>
              <w:t xml:space="preserve">Oriental Insurance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60" w:after="60"/>
              <w:jc w:val="left"/>
            </w:pPr>
            <w:r>
              <w:rPr>
                <w:rFonts w:ascii="Arial" w:cs="Arial" w:eastAsia="Arial" w:hAnsi="Arial"/>
                <w:b w:val="false"/>
                <w:bCs w:val="false"/>
                <w:i w:val="false"/>
                <w:iCs w:val="false"/>
                <w:color w:val="111827"/>
                <w:sz w:val="20"/>
                <w:szCs w:val="20"/>
              </w:rPr>
              <w:t xml:space="preserve">Householders Policy; cost-effective; rural and semi-urban coverage</w:t>
            </w:r>
          </w:p>
        </w:tc>
      </w:tr>
      <w:tr>
        <w:tc>
          <w:tcPr>
            <w:tcW w:type="dxa" w:w="2800"/>
            <w:tcBorders>
              <w:top w:val="single" w:color="AACCEE" w:sz="1"/>
              <w:left w:val="single" w:color="AACCEE" w:sz="1"/>
              <w:bottom w:val="single" w:color="AACCEE" w:sz="1"/>
              <w:right w:val="single" w:color="AACCEE" w:sz="1"/>
            </w:tcBorders>
            <w:shd w:fill="DBEAFE" w:val="clear"/>
            <w:tcMar>
              <w:top w:type="dxa" w:w="100"/>
              <w:left w:type="dxa" w:w="140"/>
              <w:bottom w:type="dxa" w:w="100"/>
              <w:right w:type="dxa" w:w="140"/>
            </w:tcMar>
            <w:vAlign w:val="center"/>
          </w:tcPr>
          <w:p>
            <w:pPr>
              <w:spacing w:before="60" w:after="60"/>
              <w:jc w:val="left"/>
            </w:pPr>
            <w:r>
              <w:rPr>
                <w:rFonts w:ascii="Arial" w:cs="Arial" w:eastAsia="Arial" w:hAnsi="Arial"/>
                <w:b/>
                <w:bCs/>
                <w:i w:val="false"/>
                <w:iCs w:val="false"/>
                <w:color w:val="1B3A6B"/>
                <w:sz w:val="20"/>
                <w:szCs w:val="20"/>
              </w:rPr>
              <w:t xml:space="preserve">Tata AIG</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60" w:after="60"/>
              <w:jc w:val="left"/>
            </w:pPr>
            <w:r>
              <w:rPr>
                <w:rFonts w:ascii="Arial" w:cs="Arial" w:eastAsia="Arial" w:hAnsi="Arial"/>
                <w:b w:val="false"/>
                <w:bCs w:val="false"/>
                <w:i w:val="false"/>
                <w:iCs w:val="false"/>
                <w:color w:val="111827"/>
                <w:sz w:val="20"/>
                <w:szCs w:val="20"/>
              </w:rPr>
              <w:t xml:space="preserve">Home Guard; contents on agreed value basis; fast claim settlement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00"/>
              <w:left w:type="dxa" w:w="140"/>
              <w:bottom w:type="dxa" w:w="100"/>
              <w:right w:type="dxa" w:w="140"/>
            </w:tcMar>
            <w:vAlign w:val="center"/>
          </w:tcPr>
          <w:p>
            <w:pPr>
              <w:spacing w:before="60" w:after="60"/>
              <w:jc w:val="center"/>
            </w:pPr>
            <w:r>
              <w:rPr>
                <w:rFonts w:ascii="Arial" w:cs="Arial" w:eastAsia="Arial" w:hAnsi="Arial"/>
                <w:b/>
                <w:bCs/>
                <w:i w:val="false"/>
                <w:iCs w:val="false"/>
                <w:color w:val="FFFFFF"/>
                <w:sz w:val="30"/>
                <w:szCs w:val="30"/>
              </w:rPr>
              <w:t xml:space="preserve">SECTION 6 — PERSONAL ACCIDENT INSURANCE ⚡</w:t>
            </w:r>
          </w:p>
        </w:tc>
      </w:tr>
    </w:tbl>
    <w:p>
      <w:pPr>
        <w:spacing w:before="0" w:after="0"/>
      </w:pPr>
      <w:r>
        <w:rPr>
          <w:rFonts w:ascii="Arial" w:cs="Arial" w:eastAsia="Arial" w:hAnsi="Arial"/>
          <w:b w:val="false"/>
          <w:bCs w:val="false"/>
          <w:i w:val="false"/>
          <w:iCs w:val="false"/>
          <w:color w:val="111827"/>
          <w:sz w:val="22"/>
          <w:szCs w:val="22"/>
        </w:rPr>
        <w:t xml:space="preserve"/>
      </w:r>
    </w:p>
    <w:p>
      <w:pPr>
        <w:pStyle w:val="Heading1"/>
        <w:pBdr>
          <w:bottom w:val="single" w:color="DC2626" w:sz="8" w:space="2"/>
        </w:pBdr>
        <w:spacing w:before="320" w:after="160"/>
      </w:pPr>
      <w:r>
        <w:rPr>
          <w:rFonts w:ascii="Arial" w:cs="Arial" w:eastAsia="Arial" w:hAnsi="Arial"/>
          <w:b/>
          <w:bCs/>
          <w:color w:val="DC2626"/>
          <w:sz w:val="36"/>
          <w:szCs w:val="36"/>
        </w:rPr>
        <w:t xml:space="preserve">6. Personal Accident Insurance in India</w:t>
      </w:r>
    </w:p>
    <w:p>
      <w:pPr>
        <w:spacing w:before="60" w:after="100"/>
        <w:jc w:val="left"/>
      </w:pPr>
      <w:r>
        <w:rPr>
          <w:rFonts w:ascii="Arial" w:cs="Arial" w:eastAsia="Arial" w:hAnsi="Arial"/>
          <w:b w:val="false"/>
          <w:bCs w:val="false"/>
          <w:i w:val="false"/>
          <w:iCs w:val="false"/>
          <w:color w:val="111827"/>
          <w:sz w:val="21"/>
          <w:szCs w:val="21"/>
        </w:rPr>
        <w:t xml:space="preserve">Personal Accident (PA) insurance provides financial compensation in case of accidental death, permanent disability, or temporary disability due to an accident. It is different from health insurance — it covers accidents only, not illness.</w:t>
      </w:r>
    </w:p>
    <w:p>
      <w:pPr>
        <w:pStyle w:val="Heading2"/>
        <w:spacing w:before="240" w:after="120"/>
      </w:pPr>
      <w:r>
        <w:rPr>
          <w:rFonts w:ascii="Arial" w:cs="Arial" w:eastAsia="Arial" w:hAnsi="Arial"/>
          <w:b/>
          <w:bCs/>
          <w:color w:val="2563EB"/>
          <w:sz w:val="28"/>
          <w:szCs w:val="28"/>
        </w:rPr>
        <w:t xml:space="preserve">6.1  Coverage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CCEE" w:sz="1"/>
              <w:left w:val="single" w:color="AACCEE" w:sz="1"/>
              <w:bottom w:val="single" w:color="AACCEE" w:sz="1"/>
              <w:right w:val="single" w:color="AACCEE" w:sz="1"/>
            </w:tcBorders>
            <w:shd w:fill="1B3A6B" w:val="clear"/>
            <w:tcMar>
              <w:top w:type="dxa" w:w="100"/>
              <w:left w:type="dxa" w:w="140"/>
              <w:bottom w:type="dxa" w:w="100"/>
              <w:right w:type="dxa" w:w="140"/>
            </w:tcMar>
            <w:vAlign w:val="center"/>
          </w:tcPr>
          <w:p>
            <w:pPr>
              <w:spacing w:before="60" w:after="60"/>
              <w:jc w:val="left"/>
            </w:pPr>
            <w:r>
              <w:rPr>
                <w:rFonts w:ascii="Arial" w:cs="Arial" w:eastAsia="Arial" w:hAnsi="Arial"/>
                <w:b/>
                <w:bCs/>
                <w:i w:val="false"/>
                <w:iCs w:val="false"/>
                <w:color w:val="FFFFFF"/>
                <w:sz w:val="20"/>
                <w:szCs w:val="20"/>
              </w:rPr>
              <w:t xml:space="preserve">Event</w:t>
            </w:r>
          </w:p>
        </w:tc>
        <w:tc>
          <w:tcPr>
            <w:tcW w:type="dxa" w:w="65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spacing w:before="60" w:after="60"/>
              <w:jc w:val="left"/>
            </w:pPr>
            <w:r>
              <w:rPr>
                <w:rFonts w:ascii="Arial" w:cs="Arial" w:eastAsia="Arial" w:hAnsi="Arial"/>
                <w:b w:val="false"/>
                <w:bCs w:val="false"/>
                <w:i w:val="false"/>
                <w:iCs w:val="false"/>
                <w:color w:val="111827"/>
                <w:sz w:val="20"/>
                <w:szCs w:val="20"/>
              </w:rPr>
              <w:t xml:space="preserve">Payout</w:t>
            </w:r>
          </w:p>
        </w:tc>
      </w:tr>
      <w:tr>
        <w:tc>
          <w:tcPr>
            <w:tcW w:type="dxa" w:w="2800"/>
            <w:tcBorders>
              <w:top w:val="single" w:color="AACCEE" w:sz="1"/>
              <w:left w:val="single" w:color="AACCEE" w:sz="1"/>
              <w:bottom w:val="single" w:color="AACCEE" w:sz="1"/>
              <w:right w:val="single" w:color="AACCEE" w:sz="1"/>
            </w:tcBorders>
            <w:shd w:fill="DBEAFE" w:val="clear"/>
            <w:tcMar>
              <w:top w:type="dxa" w:w="100"/>
              <w:left w:type="dxa" w:w="140"/>
              <w:bottom w:type="dxa" w:w="100"/>
              <w:right w:type="dxa" w:w="140"/>
            </w:tcMar>
            <w:vAlign w:val="center"/>
          </w:tcPr>
          <w:p>
            <w:pPr>
              <w:spacing w:before="60" w:after="60"/>
              <w:jc w:val="left"/>
            </w:pPr>
            <w:r>
              <w:rPr>
                <w:rFonts w:ascii="Arial" w:cs="Arial" w:eastAsia="Arial" w:hAnsi="Arial"/>
                <w:b/>
                <w:bCs/>
                <w:i w:val="false"/>
                <w:iCs w:val="false"/>
                <w:color w:val="1B3A6B"/>
                <w:sz w:val="20"/>
                <w:szCs w:val="20"/>
              </w:rPr>
              <w:t xml:space="preserve">Accidental Death</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60" w:after="60"/>
              <w:jc w:val="left"/>
            </w:pPr>
            <w:r>
              <w:rPr>
                <w:rFonts w:ascii="Arial" w:cs="Arial" w:eastAsia="Arial" w:hAnsi="Arial"/>
                <w:b w:val="false"/>
                <w:bCs w:val="false"/>
                <w:i w:val="false"/>
                <w:iCs w:val="false"/>
                <w:color w:val="111827"/>
                <w:sz w:val="20"/>
                <w:szCs w:val="20"/>
              </w:rPr>
              <w:t xml:space="preserve">100% of Sum Insured (Capital Sum Insured)</w:t>
            </w:r>
          </w:p>
        </w:tc>
      </w:tr>
      <w:tr>
        <w:tc>
          <w:tcPr>
            <w:tcW w:type="dxa" w:w="2800"/>
            <w:tcBorders>
              <w:top w:val="single" w:color="AACCEE" w:sz="1"/>
              <w:left w:val="single" w:color="AACCEE" w:sz="1"/>
              <w:bottom w:val="single" w:color="AACCEE" w:sz="1"/>
              <w:right w:val="single" w:color="AACCEE" w:sz="1"/>
            </w:tcBorders>
            <w:shd w:fill="DBEAFE" w:val="clear"/>
            <w:tcMar>
              <w:top w:type="dxa" w:w="100"/>
              <w:left w:type="dxa" w:w="140"/>
              <w:bottom w:type="dxa" w:w="100"/>
              <w:right w:type="dxa" w:w="140"/>
            </w:tcMar>
            <w:vAlign w:val="center"/>
          </w:tcPr>
          <w:p>
            <w:pPr>
              <w:spacing w:before="60" w:after="60"/>
              <w:jc w:val="left"/>
            </w:pPr>
            <w:r>
              <w:rPr>
                <w:rFonts w:ascii="Arial" w:cs="Arial" w:eastAsia="Arial" w:hAnsi="Arial"/>
                <w:b/>
                <w:bCs/>
                <w:i w:val="false"/>
                <w:iCs w:val="false"/>
                <w:color w:val="1B3A6B"/>
                <w:sz w:val="20"/>
                <w:szCs w:val="20"/>
              </w:rPr>
              <w:t xml:space="preserve">Permanent Total Disability</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60" w:after="60"/>
              <w:jc w:val="left"/>
            </w:pPr>
            <w:r>
              <w:rPr>
                <w:rFonts w:ascii="Arial" w:cs="Arial" w:eastAsia="Arial" w:hAnsi="Arial"/>
                <w:b w:val="false"/>
                <w:bCs w:val="false"/>
                <w:i w:val="false"/>
                <w:iCs w:val="false"/>
                <w:color w:val="111827"/>
                <w:sz w:val="20"/>
                <w:szCs w:val="20"/>
              </w:rPr>
              <w:t xml:space="preserve">100% CSI (e.g., both hands/eyes lost)</w:t>
            </w:r>
          </w:p>
        </w:tc>
      </w:tr>
      <w:tr>
        <w:tc>
          <w:tcPr>
            <w:tcW w:type="dxa" w:w="2800"/>
            <w:tcBorders>
              <w:top w:val="single" w:color="AACCEE" w:sz="1"/>
              <w:left w:val="single" w:color="AACCEE" w:sz="1"/>
              <w:bottom w:val="single" w:color="AACCEE" w:sz="1"/>
              <w:right w:val="single" w:color="AACCEE" w:sz="1"/>
            </w:tcBorders>
            <w:shd w:fill="DBEAFE" w:val="clear"/>
            <w:tcMar>
              <w:top w:type="dxa" w:w="100"/>
              <w:left w:type="dxa" w:w="140"/>
              <w:bottom w:type="dxa" w:w="100"/>
              <w:right w:type="dxa" w:w="140"/>
            </w:tcMar>
            <w:vAlign w:val="center"/>
          </w:tcPr>
          <w:p>
            <w:pPr>
              <w:spacing w:before="60" w:after="60"/>
              <w:jc w:val="left"/>
            </w:pPr>
            <w:r>
              <w:rPr>
                <w:rFonts w:ascii="Arial" w:cs="Arial" w:eastAsia="Arial" w:hAnsi="Arial"/>
                <w:b/>
                <w:bCs/>
                <w:i w:val="false"/>
                <w:iCs w:val="false"/>
                <w:color w:val="1B3A6B"/>
                <w:sz w:val="20"/>
                <w:szCs w:val="20"/>
              </w:rPr>
              <w:t xml:space="preserve">Permanent Partial Disability</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60" w:after="60"/>
              <w:jc w:val="left"/>
            </w:pPr>
            <w:r>
              <w:rPr>
                <w:rFonts w:ascii="Arial" w:cs="Arial" w:eastAsia="Arial" w:hAnsi="Arial"/>
                <w:b w:val="false"/>
                <w:bCs w:val="false"/>
                <w:i w:val="false"/>
                <w:iCs w:val="false"/>
                <w:color w:val="111827"/>
                <w:sz w:val="20"/>
                <w:szCs w:val="20"/>
              </w:rPr>
              <w:t xml:space="preserve">25–75% CSI based on IRDAI schedule</w:t>
            </w:r>
          </w:p>
        </w:tc>
      </w:tr>
      <w:tr>
        <w:tc>
          <w:tcPr>
            <w:tcW w:type="dxa" w:w="2800"/>
            <w:tcBorders>
              <w:top w:val="single" w:color="AACCEE" w:sz="1"/>
              <w:left w:val="single" w:color="AACCEE" w:sz="1"/>
              <w:bottom w:val="single" w:color="AACCEE" w:sz="1"/>
              <w:right w:val="single" w:color="AACCEE" w:sz="1"/>
            </w:tcBorders>
            <w:shd w:fill="DBEAFE" w:val="clear"/>
            <w:tcMar>
              <w:top w:type="dxa" w:w="100"/>
              <w:left w:type="dxa" w:w="140"/>
              <w:bottom w:type="dxa" w:w="100"/>
              <w:right w:type="dxa" w:w="140"/>
            </w:tcMar>
            <w:vAlign w:val="center"/>
          </w:tcPr>
          <w:p>
            <w:pPr>
              <w:spacing w:before="60" w:after="60"/>
              <w:jc w:val="left"/>
            </w:pPr>
            <w:r>
              <w:rPr>
                <w:rFonts w:ascii="Arial" w:cs="Arial" w:eastAsia="Arial" w:hAnsi="Arial"/>
                <w:b/>
                <w:bCs/>
                <w:i w:val="false"/>
                <w:iCs w:val="false"/>
                <w:color w:val="1B3A6B"/>
                <w:sz w:val="20"/>
                <w:szCs w:val="20"/>
              </w:rPr>
              <w:t xml:space="preserve">Temporary Total Disability</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60" w:after="60"/>
              <w:jc w:val="left"/>
            </w:pPr>
            <w:r>
              <w:rPr>
                <w:rFonts w:ascii="Arial" w:cs="Arial" w:eastAsia="Arial" w:hAnsi="Arial"/>
                <w:b w:val="false"/>
                <w:bCs w:val="false"/>
                <w:i w:val="false"/>
                <w:iCs w:val="false"/>
                <w:color w:val="111827"/>
                <w:sz w:val="20"/>
                <w:szCs w:val="20"/>
              </w:rPr>
              <w:t xml:space="preserve">Weekly benefit: 1% of CSI, max 104 weeks</w:t>
            </w:r>
          </w:p>
        </w:tc>
      </w:tr>
      <w:tr>
        <w:tc>
          <w:tcPr>
            <w:tcW w:type="dxa" w:w="2800"/>
            <w:tcBorders>
              <w:top w:val="single" w:color="AACCEE" w:sz="1"/>
              <w:left w:val="single" w:color="AACCEE" w:sz="1"/>
              <w:bottom w:val="single" w:color="AACCEE" w:sz="1"/>
              <w:right w:val="single" w:color="AACCEE" w:sz="1"/>
            </w:tcBorders>
            <w:shd w:fill="DBEAFE" w:val="clear"/>
            <w:tcMar>
              <w:top w:type="dxa" w:w="100"/>
              <w:left w:type="dxa" w:w="140"/>
              <w:bottom w:type="dxa" w:w="100"/>
              <w:right w:type="dxa" w:w="140"/>
            </w:tcMar>
            <w:vAlign w:val="center"/>
          </w:tcPr>
          <w:p>
            <w:pPr>
              <w:spacing w:before="60" w:after="60"/>
              <w:jc w:val="left"/>
            </w:pPr>
            <w:r>
              <w:rPr>
                <w:rFonts w:ascii="Arial" w:cs="Arial" w:eastAsia="Arial" w:hAnsi="Arial"/>
                <w:b/>
                <w:bCs/>
                <w:i w:val="false"/>
                <w:iCs w:val="false"/>
                <w:color w:val="1B3A6B"/>
                <w:sz w:val="20"/>
                <w:szCs w:val="20"/>
              </w:rPr>
              <w:t xml:space="preserve">Broken Bones (fractures)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60" w:after="60"/>
              <w:jc w:val="left"/>
            </w:pPr>
            <w:r>
              <w:rPr>
                <w:rFonts w:ascii="Arial" w:cs="Arial" w:eastAsia="Arial" w:hAnsi="Arial"/>
                <w:b w:val="false"/>
                <w:bCs w:val="false"/>
                <w:i w:val="false"/>
                <w:iCs w:val="false"/>
                <w:color w:val="111827"/>
                <w:sz w:val="20"/>
                <w:szCs w:val="20"/>
              </w:rPr>
              <w:t xml:space="preserve">Fixed benefit as per fracture table</w:t>
            </w:r>
          </w:p>
        </w:tc>
      </w:tr>
      <w:tr>
        <w:tc>
          <w:tcPr>
            <w:tcW w:type="dxa" w:w="2800"/>
            <w:tcBorders>
              <w:top w:val="single" w:color="AACCEE" w:sz="1"/>
              <w:left w:val="single" w:color="AACCEE" w:sz="1"/>
              <w:bottom w:val="single" w:color="AACCEE" w:sz="1"/>
              <w:right w:val="single" w:color="AACCEE" w:sz="1"/>
            </w:tcBorders>
            <w:shd w:fill="DBEAFE" w:val="clear"/>
            <w:tcMar>
              <w:top w:type="dxa" w:w="100"/>
              <w:left w:type="dxa" w:w="140"/>
              <w:bottom w:type="dxa" w:w="100"/>
              <w:right w:type="dxa" w:w="140"/>
            </w:tcMar>
            <w:vAlign w:val="center"/>
          </w:tcPr>
          <w:p>
            <w:pPr>
              <w:spacing w:before="60" w:after="60"/>
              <w:jc w:val="left"/>
            </w:pPr>
            <w:r>
              <w:rPr>
                <w:rFonts w:ascii="Arial" w:cs="Arial" w:eastAsia="Arial" w:hAnsi="Arial"/>
                <w:b/>
                <w:bCs/>
                <w:i w:val="false"/>
                <w:iCs w:val="false"/>
                <w:color w:val="1B3A6B"/>
                <w:sz w:val="20"/>
                <w:szCs w:val="20"/>
              </w:rPr>
              <w:t xml:space="preserve">Hospitalisation due to accident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60" w:after="60"/>
              <w:jc w:val="left"/>
            </w:pPr>
            <w:r>
              <w:rPr>
                <w:rFonts w:ascii="Arial" w:cs="Arial" w:eastAsia="Arial" w:hAnsi="Arial"/>
                <w:b w:val="false"/>
                <w:bCs w:val="false"/>
                <w:i w:val="false"/>
                <w:iCs w:val="false"/>
                <w:color w:val="111827"/>
                <w:sz w:val="20"/>
                <w:szCs w:val="20"/>
              </w:rPr>
              <w:t xml:space="preserve">Daily cash benefit ₹1,000–₹5,000/day</w:t>
            </w:r>
          </w:p>
        </w:tc>
      </w:tr>
      <w:tr>
        <w:tc>
          <w:tcPr>
            <w:tcW w:type="dxa" w:w="2800"/>
            <w:tcBorders>
              <w:top w:val="single" w:color="AACCEE" w:sz="1"/>
              <w:left w:val="single" w:color="AACCEE" w:sz="1"/>
              <w:bottom w:val="single" w:color="AACCEE" w:sz="1"/>
              <w:right w:val="single" w:color="AACCEE" w:sz="1"/>
            </w:tcBorders>
            <w:shd w:fill="DBEAFE" w:val="clear"/>
            <w:tcMar>
              <w:top w:type="dxa" w:w="100"/>
              <w:left w:type="dxa" w:w="140"/>
              <w:bottom w:type="dxa" w:w="100"/>
              <w:right w:type="dxa" w:w="140"/>
            </w:tcMar>
            <w:vAlign w:val="center"/>
          </w:tcPr>
          <w:p>
            <w:pPr>
              <w:spacing w:before="60" w:after="60"/>
              <w:jc w:val="left"/>
            </w:pPr>
            <w:r>
              <w:rPr>
                <w:rFonts w:ascii="Arial" w:cs="Arial" w:eastAsia="Arial" w:hAnsi="Arial"/>
                <w:b/>
                <w:bCs/>
                <w:i w:val="false"/>
                <w:iCs w:val="false"/>
                <w:color w:val="1B3A6B"/>
                <w:sz w:val="20"/>
                <w:szCs w:val="20"/>
              </w:rPr>
              <w:t xml:space="preserve">Children's Education Benefit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60" w:after="60"/>
              <w:jc w:val="left"/>
            </w:pPr>
            <w:r>
              <w:rPr>
                <w:rFonts w:ascii="Arial" w:cs="Arial" w:eastAsia="Arial" w:hAnsi="Arial"/>
                <w:b w:val="false"/>
                <w:bCs w:val="false"/>
                <w:i w:val="false"/>
                <w:iCs w:val="false"/>
                <w:color w:val="111827"/>
                <w:sz w:val="20"/>
                <w:szCs w:val="20"/>
              </w:rPr>
              <w:t xml:space="preserve">Up to ₹1L per child (on AD of insured)</w:t>
            </w:r>
          </w:p>
        </w:tc>
      </w:tr>
      <w:tr>
        <w:tc>
          <w:tcPr>
            <w:tcW w:type="dxa" w:w="2800"/>
            <w:tcBorders>
              <w:top w:val="single" w:color="AACCEE" w:sz="1"/>
              <w:left w:val="single" w:color="AACCEE" w:sz="1"/>
              <w:bottom w:val="single" w:color="AACCEE" w:sz="1"/>
              <w:right w:val="single" w:color="AACCEE" w:sz="1"/>
            </w:tcBorders>
            <w:shd w:fill="DBEAFE" w:val="clear"/>
            <w:tcMar>
              <w:top w:type="dxa" w:w="100"/>
              <w:left w:type="dxa" w:w="140"/>
              <w:bottom w:type="dxa" w:w="100"/>
              <w:right w:type="dxa" w:w="140"/>
            </w:tcMar>
            <w:vAlign w:val="center"/>
          </w:tcPr>
          <w:p>
            <w:pPr>
              <w:spacing w:before="60" w:after="60"/>
              <w:jc w:val="left"/>
            </w:pPr>
            <w:r>
              <w:rPr>
                <w:rFonts w:ascii="Arial" w:cs="Arial" w:eastAsia="Arial" w:hAnsi="Arial"/>
                <w:b/>
                <w:bCs/>
                <w:i w:val="false"/>
                <w:iCs w:val="false"/>
                <w:color w:val="1B3A6B"/>
                <w:sz w:val="20"/>
                <w:szCs w:val="20"/>
              </w:rPr>
              <w:t xml:space="preserve">Funeral Expenses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60" w:after="60"/>
              <w:jc w:val="left"/>
            </w:pPr>
            <w:r>
              <w:rPr>
                <w:rFonts w:ascii="Arial" w:cs="Arial" w:eastAsia="Arial" w:hAnsi="Arial"/>
                <w:b w:val="false"/>
                <w:bCs w:val="false"/>
                <w:i w:val="false"/>
                <w:iCs w:val="false"/>
                <w:color w:val="111827"/>
                <w:sz w:val="20"/>
                <w:szCs w:val="20"/>
              </w:rPr>
              <w:t xml:space="preserve">₹5,000–₹25,000</w:t>
            </w:r>
          </w:p>
        </w:tc>
      </w:tr>
    </w:tbl>
    <w:p>
      <w:pPr>
        <w:spacing w:before="0" w:after="0"/>
      </w:pPr>
      <w:r>
        <w:rPr>
          <w:rFonts w:ascii="Arial" w:cs="Arial" w:eastAsia="Arial" w:hAnsi="Arial"/>
          <w:b w:val="false"/>
          <w:bCs w:val="false"/>
          <w:i w:val="false"/>
          <w:iCs w:val="false"/>
          <w:color w:val="111827"/>
          <w:sz w:val="22"/>
          <w:szCs w:val="22"/>
        </w:rPr>
        <w:t xml:space="preserve"/>
      </w:r>
    </w:p>
    <w:p>
      <w:pPr>
        <w:pStyle w:val="Heading2"/>
        <w:spacing w:before="240" w:after="120"/>
      </w:pPr>
      <w:r>
        <w:rPr>
          <w:rFonts w:ascii="Arial" w:cs="Arial" w:eastAsia="Arial" w:hAnsi="Arial"/>
          <w:b/>
          <w:bCs/>
          <w:color w:val="2563EB"/>
          <w:sz w:val="28"/>
          <w:szCs w:val="28"/>
        </w:rPr>
        <w:t xml:space="preserve">6.2  Who Should Buy PA Insurance?</w:t>
      </w:r>
    </w:p>
    <w:p>
      <w:pPr>
        <w:pStyle w:val="ListParagraph"/>
        <w:numPr>
          <w:ilvl w:val="0"/>
          <w:numId w:val="2"/>
        </w:numPr>
        <w:spacing w:before="40" w:after="40"/>
      </w:pPr>
      <w:r>
        <w:rPr>
          <w:rFonts w:ascii="Arial" w:cs="Arial" w:eastAsia="Arial" w:hAnsi="Arial"/>
          <w:b w:val="false"/>
          <w:bCs w:val="false"/>
          <w:i w:val="false"/>
          <w:iCs w:val="false"/>
          <w:color w:val="111827"/>
          <w:sz w:val="21"/>
          <w:szCs w:val="21"/>
        </w:rPr>
        <w:t xml:space="preserve">Blue-collar workers, field staff, delivery personnel — high accident risk</w:t>
      </w:r>
    </w:p>
    <w:p>
      <w:pPr>
        <w:pStyle w:val="ListParagraph"/>
        <w:numPr>
          <w:ilvl w:val="0"/>
          <w:numId w:val="2"/>
        </w:numPr>
        <w:spacing w:before="40" w:after="40"/>
      </w:pPr>
      <w:r>
        <w:rPr>
          <w:rFonts w:ascii="Arial" w:cs="Arial" w:eastAsia="Arial" w:hAnsi="Arial"/>
          <w:b w:val="false"/>
          <w:bCs w:val="false"/>
          <w:i w:val="false"/>
          <w:iCs w:val="false"/>
          <w:color w:val="111827"/>
          <w:sz w:val="21"/>
          <w:szCs w:val="21"/>
        </w:rPr>
        <w:t xml:space="preserve">Construction workers, factory workers — workplace accident risk</w:t>
      </w:r>
    </w:p>
    <w:p>
      <w:pPr>
        <w:pStyle w:val="ListParagraph"/>
        <w:numPr>
          <w:ilvl w:val="0"/>
          <w:numId w:val="2"/>
        </w:numPr>
        <w:spacing w:before="40" w:after="40"/>
      </w:pPr>
      <w:r>
        <w:rPr>
          <w:rFonts w:ascii="Arial" w:cs="Arial" w:eastAsia="Arial" w:hAnsi="Arial"/>
          <w:b w:val="false"/>
          <w:bCs w:val="false"/>
          <w:i w:val="false"/>
          <w:iCs w:val="false"/>
          <w:color w:val="111827"/>
          <w:sz w:val="21"/>
          <w:szCs w:val="21"/>
        </w:rPr>
        <w:t xml:space="preserve">Drivers, pilots, sailors — transportation risk</w:t>
      </w:r>
    </w:p>
    <w:p>
      <w:pPr>
        <w:pStyle w:val="ListParagraph"/>
        <w:numPr>
          <w:ilvl w:val="0"/>
          <w:numId w:val="2"/>
        </w:numPr>
        <w:spacing w:before="40" w:after="40"/>
      </w:pPr>
      <w:r>
        <w:rPr>
          <w:rFonts w:ascii="Arial" w:cs="Arial" w:eastAsia="Arial" w:hAnsi="Arial"/>
          <w:b w:val="false"/>
          <w:bCs w:val="false"/>
          <w:i w:val="false"/>
          <w:iCs w:val="false"/>
          <w:color w:val="111827"/>
          <w:sz w:val="21"/>
          <w:szCs w:val="21"/>
        </w:rPr>
        <w:t xml:space="preserve">Adventure sports enthusiasts — extreme sport risk</w:t>
      </w:r>
    </w:p>
    <w:p>
      <w:pPr>
        <w:pStyle w:val="ListParagraph"/>
        <w:numPr>
          <w:ilvl w:val="0"/>
          <w:numId w:val="2"/>
        </w:numPr>
        <w:spacing w:before="40" w:after="40"/>
      </w:pPr>
      <w:r>
        <w:rPr>
          <w:rFonts w:ascii="Arial" w:cs="Arial" w:eastAsia="Arial" w:hAnsi="Arial"/>
          <w:b w:val="false"/>
          <w:bCs w:val="false"/>
          <w:i w:val="false"/>
          <w:iCs w:val="false"/>
          <w:color w:val="111827"/>
          <w:sz w:val="21"/>
          <w:szCs w:val="21"/>
        </w:rPr>
        <w:t xml:space="preserve">Anyone whose employer does not provide workmen's compensation</w:t>
      </w:r>
    </w:p>
    <w:p>
      <w:pPr>
        <w:pStyle w:val="ListParagraph"/>
        <w:numPr>
          <w:ilvl w:val="0"/>
          <w:numId w:val="2"/>
        </w:numPr>
        <w:spacing w:before="40" w:after="40"/>
      </w:pPr>
      <w:r>
        <w:rPr>
          <w:rFonts w:ascii="Arial" w:cs="Arial" w:eastAsia="Arial" w:hAnsi="Arial"/>
          <w:b w:val="false"/>
          <w:bCs w:val="false"/>
          <w:i w:val="false"/>
          <w:iCs w:val="false"/>
          <w:color w:val="111827"/>
          <w:sz w:val="21"/>
          <w:szCs w:val="21"/>
        </w:rPr>
        <w:t xml:space="preserve">Self-employed individuals with no employer-funded protection</w:t>
      </w:r>
    </w:p>
    <w:p>
      <w:pPr>
        <w:spacing w:before="0" w:after="0"/>
      </w:pPr>
      <w:r>
        <w:rPr>
          <w:rFonts w:ascii="Arial" w:cs="Arial" w:eastAsia="Arial" w:hAnsi="Arial"/>
          <w:b w:val="false"/>
          <w:bCs w:val="false"/>
          <w:i w:val="false"/>
          <w:iCs w:val="false"/>
          <w:color w:val="111827"/>
          <w:sz w:val="22"/>
          <w:szCs w:val="22"/>
        </w:rPr>
        <w:t xml:space="preserve"/>
      </w:r>
    </w:p>
    <w:p>
      <w:pPr>
        <w:pStyle w:val="Heading2"/>
        <w:spacing w:before="240" w:after="120"/>
      </w:pPr>
      <w:r>
        <w:rPr>
          <w:rFonts w:ascii="Arial" w:cs="Arial" w:eastAsia="Arial" w:hAnsi="Arial"/>
          <w:b/>
          <w:bCs/>
          <w:color w:val="2563EB"/>
          <w:sz w:val="28"/>
          <w:szCs w:val="28"/>
        </w:rPr>
        <w:t xml:space="preserve">6.3  Top Personal Accident Plans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spacing w:before="60" w:after="60"/>
              <w:jc w:val="center"/>
            </w:pPr>
            <w:r>
              <w:rPr>
                <w:rFonts w:ascii="Arial" w:cs="Arial" w:eastAsia="Arial" w:hAnsi="Arial"/>
                <w:b/>
                <w:bCs/>
                <w:i w:val="false"/>
                <w:iCs w:val="false"/>
                <w:color w:val="FFFFFF"/>
                <w:sz w:val="20"/>
                <w:szCs w:val="20"/>
              </w:rPr>
              <w:t xml:space="preserve">Bajaj Allianz
PA Secure</w:t>
            </w:r>
          </w:p>
        </w:tc>
        <w:tc>
          <w:tcPr>
            <w:tcW w:type="dxa" w:w="468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spacing w:before="60" w:after="60"/>
              <w:jc w:val="center"/>
            </w:pPr>
            <w:r>
              <w:rPr>
                <w:rFonts w:ascii="Arial" w:cs="Arial" w:eastAsia="Arial" w:hAnsi="Arial"/>
                <w:b/>
                <w:bCs/>
                <w:i w:val="false"/>
                <w:iCs w:val="false"/>
                <w:color w:val="FFFFFF"/>
                <w:sz w:val="20"/>
                <w:szCs w:val="20"/>
              </w:rPr>
              <w:t xml:space="preserve">New India
Jan Suraksha</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60" w:after="30"/>
              <w:jc w:val="left"/>
            </w:pPr>
            <w:r>
              <w:rPr>
                <w:rFonts w:ascii="Arial" w:cs="Arial" w:eastAsia="Arial" w:hAnsi="Arial"/>
                <w:b/>
                <w:bCs/>
                <w:i w:val="false"/>
                <w:iCs w:val="false"/>
                <w:color w:val="1B3A6B"/>
                <w:sz w:val="18"/>
                <w:szCs w:val="18"/>
              </w:rPr>
              <w:t xml:space="preserve">Monthly Premium</w:t>
            </w:r>
          </w:p>
          <w:p>
            <w:pPr>
              <w:spacing w:before="60" w:after="60"/>
              <w:jc w:val="left"/>
            </w:pPr>
            <w:r>
              <w:rPr>
                <w:rFonts w:ascii="Arial" w:cs="Arial" w:eastAsia="Arial" w:hAnsi="Arial"/>
                <w:b w:val="false"/>
                <w:bCs w:val="false"/>
                <w:i w:val="false"/>
                <w:iCs w:val="false"/>
                <w:color w:val="111827"/>
                <w:sz w:val="20"/>
                <w:szCs w:val="20"/>
              </w:rPr>
              <w:t xml:space="preserve">₹200–₹800/year
(per ₹10L cover)</w:t>
            </w:r>
          </w:p>
        </w:tc>
        <w:tc>
          <w:tcPr>
            <w:tcW w:type="dxa" w:w="4680"/>
            <w:tcBorders>
              <w:top w:val="single" w:color="DDDDDD" w:sz="1"/>
              <w:left w:val="single" w:color="DDDDDD" w:sz="1"/>
              <w:bottom w:val="single" w:color="DDDDDD" w:sz="1"/>
              <w:right w:val="single" w:color="DDDDDD" w:sz="1"/>
            </w:tcBorders>
            <w:shd w:fill="F3F4F6" w:val="clear"/>
            <w:tcMar>
              <w:top w:type="dxa" w:w="100"/>
              <w:left w:type="dxa" w:w="140"/>
              <w:bottom w:type="dxa" w:w="100"/>
              <w:right w:type="dxa" w:w="140"/>
            </w:tcMar>
            <w:vAlign w:val="center"/>
          </w:tcPr>
          <w:p>
            <w:pPr>
              <w:spacing w:before="60" w:after="30"/>
              <w:jc w:val="left"/>
            </w:pPr>
            <w:r>
              <w:rPr>
                <w:rFonts w:ascii="Arial" w:cs="Arial" w:eastAsia="Arial" w:hAnsi="Arial"/>
                <w:b/>
                <w:bCs/>
                <w:i w:val="false"/>
                <w:iCs w:val="false"/>
                <w:color w:val="1B3A6B"/>
                <w:sz w:val="18"/>
                <w:szCs w:val="18"/>
              </w:rPr>
              <w:t xml:space="preserve">Monthly Premium</w:t>
            </w:r>
          </w:p>
          <w:p>
            <w:pPr>
              <w:spacing w:before="60" w:after="60"/>
              <w:jc w:val="left"/>
            </w:pPr>
            <w:r>
              <w:rPr>
                <w:rFonts w:ascii="Arial" w:cs="Arial" w:eastAsia="Arial" w:hAnsi="Arial"/>
                <w:b w:val="false"/>
                <w:bCs w:val="false"/>
                <w:i w:val="false"/>
                <w:iCs w:val="false"/>
                <w:color w:val="111827"/>
                <w:sz w:val="20"/>
                <w:szCs w:val="20"/>
              </w:rPr>
              <w:t xml:space="preserve">₹150–₹600/year
(per ₹10L cover)</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60" w:after="30"/>
              <w:jc w:val="left"/>
            </w:pPr>
            <w:r>
              <w:rPr>
                <w:rFonts w:ascii="Arial" w:cs="Arial" w:eastAsia="Arial" w:hAnsi="Arial"/>
                <w:b/>
                <w:bCs/>
                <w:i w:val="false"/>
                <w:iCs w:val="false"/>
                <w:color w:val="1B3A6B"/>
                <w:sz w:val="18"/>
                <w:szCs w:val="18"/>
              </w:rPr>
              <w:t xml:space="preserve">Sum Insured</w:t>
            </w:r>
          </w:p>
          <w:p>
            <w:pPr>
              <w:spacing w:before="60" w:after="60"/>
              <w:jc w:val="left"/>
            </w:pPr>
            <w:r>
              <w:rPr>
                <w:rFonts w:ascii="Arial" w:cs="Arial" w:eastAsia="Arial" w:hAnsi="Arial"/>
                <w:b w:val="false"/>
                <w:bCs w:val="false"/>
                <w:i w:val="false"/>
                <w:iCs w:val="false"/>
                <w:color w:val="111827"/>
                <w:sz w:val="20"/>
                <w:szCs w:val="20"/>
              </w:rPr>
              <w:t xml:space="preserve">₹1L to ₹1 Crore
(Capital Sum Insured)</w:t>
            </w:r>
          </w:p>
        </w:tc>
        <w:tc>
          <w:tcPr>
            <w:tcW w:type="dxa" w:w="4680"/>
            <w:tcBorders>
              <w:top w:val="single" w:color="DDDDDD" w:sz="1"/>
              <w:left w:val="single" w:color="DDDDDD" w:sz="1"/>
              <w:bottom w:val="single" w:color="DDDDDD" w:sz="1"/>
              <w:right w:val="single" w:color="DDDDDD" w:sz="1"/>
            </w:tcBorders>
            <w:shd w:fill="F3F4F6" w:val="clear"/>
            <w:tcMar>
              <w:top w:type="dxa" w:w="100"/>
              <w:left w:type="dxa" w:w="140"/>
              <w:bottom w:type="dxa" w:w="100"/>
              <w:right w:type="dxa" w:w="140"/>
            </w:tcMar>
            <w:vAlign w:val="center"/>
          </w:tcPr>
          <w:p>
            <w:pPr>
              <w:spacing w:before="60" w:after="30"/>
              <w:jc w:val="left"/>
            </w:pPr>
            <w:r>
              <w:rPr>
                <w:rFonts w:ascii="Arial" w:cs="Arial" w:eastAsia="Arial" w:hAnsi="Arial"/>
                <w:b/>
                <w:bCs/>
                <w:i w:val="false"/>
                <w:iCs w:val="false"/>
                <w:color w:val="1B3A6B"/>
                <w:sz w:val="18"/>
                <w:szCs w:val="18"/>
              </w:rPr>
              <w:t xml:space="preserve">Sum Insured</w:t>
            </w:r>
          </w:p>
          <w:p>
            <w:pPr>
              <w:spacing w:before="60" w:after="60"/>
              <w:jc w:val="left"/>
            </w:pPr>
            <w:r>
              <w:rPr>
                <w:rFonts w:ascii="Arial" w:cs="Arial" w:eastAsia="Arial" w:hAnsi="Arial"/>
                <w:b w:val="false"/>
                <w:bCs w:val="false"/>
                <w:i w:val="false"/>
                <w:iCs w:val="false"/>
                <w:color w:val="111827"/>
                <w:sz w:val="20"/>
                <w:szCs w:val="20"/>
              </w:rPr>
              <w:t xml:space="preserve">₹1L to ₹50L</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60" w:after="30"/>
              <w:jc w:val="left"/>
            </w:pPr>
            <w:r>
              <w:rPr>
                <w:rFonts w:ascii="Arial" w:cs="Arial" w:eastAsia="Arial" w:hAnsi="Arial"/>
                <w:b/>
                <w:bCs/>
                <w:i w:val="false"/>
                <w:iCs w:val="false"/>
                <w:color w:val="1B3A6B"/>
                <w:sz w:val="18"/>
                <w:szCs w:val="18"/>
              </w:rPr>
              <w:t xml:space="preserve">Waiting Period</w:t>
            </w:r>
          </w:p>
          <w:p>
            <w:pPr>
              <w:spacing w:before="60" w:after="60"/>
              <w:jc w:val="left"/>
            </w:pPr>
            <w:r>
              <w:rPr>
                <w:rFonts w:ascii="Arial" w:cs="Arial" w:eastAsia="Arial" w:hAnsi="Arial"/>
                <w:b w:val="false"/>
                <w:bCs w:val="false"/>
                <w:i w:val="false"/>
                <w:iCs w:val="false"/>
                <w:color w:val="111827"/>
                <w:sz w:val="20"/>
                <w:szCs w:val="20"/>
              </w:rPr>
              <w:t xml:space="preserve">None
(accidents only)</w:t>
            </w:r>
          </w:p>
        </w:tc>
        <w:tc>
          <w:tcPr>
            <w:tcW w:type="dxa" w:w="4680"/>
            <w:tcBorders>
              <w:top w:val="single" w:color="DDDDDD" w:sz="1"/>
              <w:left w:val="single" w:color="DDDDDD" w:sz="1"/>
              <w:bottom w:val="single" w:color="DDDDDD" w:sz="1"/>
              <w:right w:val="single" w:color="DDDDDD" w:sz="1"/>
            </w:tcBorders>
            <w:shd w:fill="F3F4F6" w:val="clear"/>
            <w:tcMar>
              <w:top w:type="dxa" w:w="100"/>
              <w:left w:type="dxa" w:w="140"/>
              <w:bottom w:type="dxa" w:w="100"/>
              <w:right w:type="dxa" w:w="140"/>
            </w:tcMar>
            <w:vAlign w:val="center"/>
          </w:tcPr>
          <w:p>
            <w:pPr>
              <w:spacing w:before="60" w:after="30"/>
              <w:jc w:val="left"/>
            </w:pPr>
            <w:r>
              <w:rPr>
                <w:rFonts w:ascii="Arial" w:cs="Arial" w:eastAsia="Arial" w:hAnsi="Arial"/>
                <w:b/>
                <w:bCs/>
                <w:i w:val="false"/>
                <w:iCs w:val="false"/>
                <w:color w:val="1B3A6B"/>
                <w:sz w:val="18"/>
                <w:szCs w:val="18"/>
              </w:rPr>
              <w:t xml:space="preserve">Waiting Period</w:t>
            </w:r>
          </w:p>
          <w:p>
            <w:pPr>
              <w:spacing w:before="60" w:after="60"/>
              <w:jc w:val="left"/>
            </w:pPr>
            <w:r>
              <w:rPr>
                <w:rFonts w:ascii="Arial" w:cs="Arial" w:eastAsia="Arial" w:hAnsi="Arial"/>
                <w:b w:val="false"/>
                <w:bCs w:val="false"/>
                <w:i w:val="false"/>
                <w:iCs w:val="false"/>
                <w:color w:val="111827"/>
                <w:sz w:val="20"/>
                <w:szCs w:val="20"/>
              </w:rPr>
              <w:t xml:space="preserve">None</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60" w:after="30"/>
              <w:jc w:val="left"/>
            </w:pPr>
            <w:r>
              <w:rPr>
                <w:rFonts w:ascii="Arial" w:cs="Arial" w:eastAsia="Arial" w:hAnsi="Arial"/>
                <w:b/>
                <w:bCs/>
                <w:i w:val="false"/>
                <w:iCs w:val="false"/>
                <w:color w:val="1B3A6B"/>
                <w:sz w:val="18"/>
                <w:szCs w:val="18"/>
              </w:rPr>
              <w:t xml:space="preserve">Network Hospitals</w:t>
            </w:r>
          </w:p>
          <w:p>
            <w:pPr>
              <w:spacing w:before="60" w:after="60"/>
              <w:jc w:val="left"/>
            </w:pPr>
            <w:r>
              <w:rPr>
                <w:rFonts w:ascii="Arial" w:cs="Arial" w:eastAsia="Arial" w:hAnsi="Arial"/>
                <w:b w:val="false"/>
                <w:bCs w:val="false"/>
                <w:i w:val="false"/>
                <w:iCs w:val="false"/>
                <w:color w:val="111827"/>
                <w:sz w:val="20"/>
                <w:szCs w:val="20"/>
              </w:rPr>
              <w:t xml:space="preserve">Claims processed
PAN India</w:t>
            </w:r>
          </w:p>
        </w:tc>
        <w:tc>
          <w:tcPr>
            <w:tcW w:type="dxa" w:w="4680"/>
            <w:tcBorders>
              <w:top w:val="single" w:color="DDDDDD" w:sz="1"/>
              <w:left w:val="single" w:color="DDDDDD" w:sz="1"/>
              <w:bottom w:val="single" w:color="DDDDDD" w:sz="1"/>
              <w:right w:val="single" w:color="DDDDDD" w:sz="1"/>
            </w:tcBorders>
            <w:shd w:fill="F3F4F6" w:val="clear"/>
            <w:tcMar>
              <w:top w:type="dxa" w:w="100"/>
              <w:left w:type="dxa" w:w="140"/>
              <w:bottom w:type="dxa" w:w="100"/>
              <w:right w:type="dxa" w:w="140"/>
            </w:tcMar>
            <w:vAlign w:val="center"/>
          </w:tcPr>
          <w:p>
            <w:pPr>
              <w:spacing w:before="60" w:after="30"/>
              <w:jc w:val="left"/>
            </w:pPr>
            <w:r>
              <w:rPr>
                <w:rFonts w:ascii="Arial" w:cs="Arial" w:eastAsia="Arial" w:hAnsi="Arial"/>
                <w:b/>
                <w:bCs/>
                <w:i w:val="false"/>
                <w:iCs w:val="false"/>
                <w:color w:val="1B3A6B"/>
                <w:sz w:val="18"/>
                <w:szCs w:val="18"/>
              </w:rPr>
              <w:t xml:space="preserve">Network Hospitals</w:t>
            </w:r>
          </w:p>
          <w:p>
            <w:pPr>
              <w:spacing w:before="60" w:after="60"/>
              <w:jc w:val="left"/>
            </w:pPr>
            <w:r>
              <w:rPr>
                <w:rFonts w:ascii="Arial" w:cs="Arial" w:eastAsia="Arial" w:hAnsi="Arial"/>
                <w:b w:val="false"/>
                <w:bCs w:val="false"/>
                <w:i w:val="false"/>
                <w:iCs w:val="false"/>
                <w:color w:val="111827"/>
                <w:sz w:val="20"/>
                <w:szCs w:val="20"/>
              </w:rPr>
              <w:t xml:space="preserve">Government backed
All India</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60" w:after="30"/>
              <w:jc w:val="left"/>
            </w:pPr>
            <w:r>
              <w:rPr>
                <w:rFonts w:ascii="Arial" w:cs="Arial" w:eastAsia="Arial" w:hAnsi="Arial"/>
                <w:b/>
                <w:bCs/>
                <w:i w:val="false"/>
                <w:iCs w:val="false"/>
                <w:color w:val="1B3A6B"/>
                <w:sz w:val="18"/>
                <w:szCs w:val="18"/>
              </w:rPr>
              <w:t xml:space="preserve">Age Limit</w:t>
            </w:r>
          </w:p>
          <w:p>
            <w:pPr>
              <w:spacing w:before="60" w:after="60"/>
              <w:jc w:val="left"/>
            </w:pPr>
            <w:r>
              <w:rPr>
                <w:rFonts w:ascii="Arial" w:cs="Arial" w:eastAsia="Arial" w:hAnsi="Arial"/>
                <w:b w:val="false"/>
                <w:bCs w:val="false"/>
                <w:i w:val="false"/>
                <w:iCs w:val="false"/>
                <w:color w:val="111827"/>
                <w:sz w:val="20"/>
                <w:szCs w:val="20"/>
              </w:rPr>
              <w:t xml:space="preserve">5–70 years</w:t>
            </w:r>
          </w:p>
        </w:tc>
        <w:tc>
          <w:tcPr>
            <w:tcW w:type="dxa" w:w="4680"/>
            <w:tcBorders>
              <w:top w:val="single" w:color="DDDDDD" w:sz="1"/>
              <w:left w:val="single" w:color="DDDDDD" w:sz="1"/>
              <w:bottom w:val="single" w:color="DDDDDD" w:sz="1"/>
              <w:right w:val="single" w:color="DDDDDD" w:sz="1"/>
            </w:tcBorders>
            <w:shd w:fill="F3F4F6" w:val="clear"/>
            <w:tcMar>
              <w:top w:type="dxa" w:w="100"/>
              <w:left w:type="dxa" w:w="140"/>
              <w:bottom w:type="dxa" w:w="100"/>
              <w:right w:type="dxa" w:w="140"/>
            </w:tcMar>
            <w:vAlign w:val="center"/>
          </w:tcPr>
          <w:p>
            <w:pPr>
              <w:spacing w:before="60" w:after="30"/>
              <w:jc w:val="left"/>
            </w:pPr>
            <w:r>
              <w:rPr>
                <w:rFonts w:ascii="Arial" w:cs="Arial" w:eastAsia="Arial" w:hAnsi="Arial"/>
                <w:b/>
                <w:bCs/>
                <w:i w:val="false"/>
                <w:iCs w:val="false"/>
                <w:color w:val="1B3A6B"/>
                <w:sz w:val="18"/>
                <w:szCs w:val="18"/>
              </w:rPr>
              <w:t xml:space="preserve">Age Limit</w:t>
            </w:r>
          </w:p>
          <w:p>
            <w:pPr>
              <w:spacing w:before="60" w:after="60"/>
              <w:jc w:val="left"/>
            </w:pPr>
            <w:r>
              <w:rPr>
                <w:rFonts w:ascii="Arial" w:cs="Arial" w:eastAsia="Arial" w:hAnsi="Arial"/>
                <w:b w:val="false"/>
                <w:bCs w:val="false"/>
                <w:i w:val="false"/>
                <w:iCs w:val="false"/>
                <w:color w:val="111827"/>
                <w:sz w:val="20"/>
                <w:szCs w:val="20"/>
              </w:rPr>
              <w:t xml:space="preserve">18–65 years</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60" w:after="30"/>
              <w:jc w:val="left"/>
            </w:pPr>
            <w:r>
              <w:rPr>
                <w:rFonts w:ascii="Arial" w:cs="Arial" w:eastAsia="Arial" w:hAnsi="Arial"/>
                <w:b/>
                <w:bCs/>
                <w:i w:val="false"/>
                <w:iCs w:val="false"/>
                <w:color w:val="1B3A6B"/>
                <w:sz w:val="18"/>
                <w:szCs w:val="18"/>
              </w:rPr>
              <w:t xml:space="preserve">Key Features</w:t>
            </w:r>
          </w:p>
          <w:p>
            <w:pPr>
              <w:spacing w:before="60" w:after="60"/>
              <w:jc w:val="left"/>
            </w:pPr>
            <w:r>
              <w:rPr>
                <w:rFonts w:ascii="Arial" w:cs="Arial" w:eastAsia="Arial" w:hAnsi="Arial"/>
                <w:b w:val="false"/>
                <w:bCs w:val="false"/>
                <w:i w:val="false"/>
                <w:iCs w:val="false"/>
                <w:color w:val="111827"/>
                <w:sz w:val="20"/>
                <w:szCs w:val="20"/>
              </w:rPr>
              <w:t xml:space="preserve">Burns coverage
Fracture benefit
Hospital cash
Weekly disability benefit</w:t>
            </w:r>
          </w:p>
        </w:tc>
        <w:tc>
          <w:tcPr>
            <w:tcW w:type="dxa" w:w="4680"/>
            <w:tcBorders>
              <w:top w:val="single" w:color="DDDDDD" w:sz="1"/>
              <w:left w:val="single" w:color="DDDDDD" w:sz="1"/>
              <w:bottom w:val="single" w:color="DDDDDD" w:sz="1"/>
              <w:right w:val="single" w:color="DDDDDD" w:sz="1"/>
            </w:tcBorders>
            <w:shd w:fill="F3F4F6" w:val="clear"/>
            <w:tcMar>
              <w:top w:type="dxa" w:w="100"/>
              <w:left w:type="dxa" w:w="140"/>
              <w:bottom w:type="dxa" w:w="100"/>
              <w:right w:type="dxa" w:w="140"/>
            </w:tcMar>
            <w:vAlign w:val="center"/>
          </w:tcPr>
          <w:p>
            <w:pPr>
              <w:spacing w:before="60" w:after="30"/>
              <w:jc w:val="left"/>
            </w:pPr>
            <w:r>
              <w:rPr>
                <w:rFonts w:ascii="Arial" w:cs="Arial" w:eastAsia="Arial" w:hAnsi="Arial"/>
                <w:b/>
                <w:bCs/>
                <w:i w:val="false"/>
                <w:iCs w:val="false"/>
                <w:color w:val="1B3A6B"/>
                <w:sz w:val="18"/>
                <w:szCs w:val="18"/>
              </w:rPr>
              <w:t xml:space="preserve">Key Features</w:t>
            </w:r>
          </w:p>
          <w:p>
            <w:pPr>
              <w:spacing w:before="60" w:after="60"/>
              <w:jc w:val="left"/>
            </w:pPr>
            <w:r>
              <w:rPr>
                <w:rFonts w:ascii="Arial" w:cs="Arial" w:eastAsia="Arial" w:hAnsi="Arial"/>
                <w:b w:val="false"/>
                <w:bCs w:val="false"/>
                <w:i w:val="false"/>
                <w:iCs w:val="false"/>
                <w:color w:val="111827"/>
                <w:sz w:val="20"/>
                <w:szCs w:val="20"/>
              </w:rPr>
              <w:t xml:space="preserve">Accidental death
Permanent disability
Temporary disability
Family floater option</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60" w:after="30"/>
              <w:jc w:val="left"/>
            </w:pPr>
            <w:r>
              <w:rPr>
                <w:rFonts w:ascii="Arial" w:cs="Arial" w:eastAsia="Arial" w:hAnsi="Arial"/>
                <w:b/>
                <w:bCs/>
                <w:i w:val="false"/>
                <w:iCs w:val="false"/>
                <w:color w:val="1B3A6B"/>
                <w:sz w:val="18"/>
                <w:szCs w:val="18"/>
              </w:rPr>
              <w:t xml:space="preserve">Best For</w:t>
            </w:r>
          </w:p>
          <w:p>
            <w:pPr>
              <w:spacing w:before="60" w:after="60"/>
              <w:jc w:val="left"/>
            </w:pPr>
            <w:r>
              <w:rPr>
                <w:rFonts w:ascii="Arial" w:cs="Arial" w:eastAsia="Arial" w:hAnsi="Arial"/>
                <w:b w:val="false"/>
                <w:bCs w:val="false"/>
                <w:i w:val="false"/>
                <w:iCs w:val="false"/>
                <w:color w:val="111827"/>
                <w:sz w:val="20"/>
                <w:szCs w:val="20"/>
              </w:rPr>
              <w:t xml:space="preserve">Working adults
field workers</w:t>
            </w:r>
          </w:p>
        </w:tc>
        <w:tc>
          <w:tcPr>
            <w:tcW w:type="dxa" w:w="4680"/>
            <w:tcBorders>
              <w:top w:val="single" w:color="DDDDDD" w:sz="1"/>
              <w:left w:val="single" w:color="DDDDDD" w:sz="1"/>
              <w:bottom w:val="single" w:color="DDDDDD" w:sz="1"/>
              <w:right w:val="single" w:color="DDDDDD" w:sz="1"/>
            </w:tcBorders>
            <w:shd w:fill="F3F4F6" w:val="clear"/>
            <w:tcMar>
              <w:top w:type="dxa" w:w="100"/>
              <w:left w:type="dxa" w:w="140"/>
              <w:bottom w:type="dxa" w:w="100"/>
              <w:right w:type="dxa" w:w="140"/>
            </w:tcMar>
            <w:vAlign w:val="center"/>
          </w:tcPr>
          <w:p>
            <w:pPr>
              <w:spacing w:before="60" w:after="30"/>
              <w:jc w:val="left"/>
            </w:pPr>
            <w:r>
              <w:rPr>
                <w:rFonts w:ascii="Arial" w:cs="Arial" w:eastAsia="Arial" w:hAnsi="Arial"/>
                <w:b/>
                <w:bCs/>
                <w:i w:val="false"/>
                <w:iCs w:val="false"/>
                <w:color w:val="1B3A6B"/>
                <w:sz w:val="18"/>
                <w:szCs w:val="18"/>
              </w:rPr>
              <w:t xml:space="preserve">Best For</w:t>
            </w:r>
          </w:p>
          <w:p>
            <w:pPr>
              <w:spacing w:before="60" w:after="60"/>
              <w:jc w:val="left"/>
            </w:pPr>
            <w:r>
              <w:rPr>
                <w:rFonts w:ascii="Arial" w:cs="Arial" w:eastAsia="Arial" w:hAnsi="Arial"/>
                <w:b w:val="false"/>
                <w:bCs w:val="false"/>
                <w:i w:val="false"/>
                <w:iCs w:val="false"/>
                <w:color w:val="111827"/>
                <w:sz w:val="20"/>
                <w:szCs w:val="20"/>
              </w:rPr>
              <w:t xml:space="preserve">Low-income workers
rural population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spacing w:before="60" w:after="60"/>
              <w:jc w:val="center"/>
            </w:pPr>
            <w:r>
              <w:rPr>
                <w:rFonts w:ascii="Arial" w:cs="Arial" w:eastAsia="Arial" w:hAnsi="Arial"/>
                <w:b/>
                <w:bCs/>
                <w:i w:val="false"/>
                <w:iCs w:val="false"/>
                <w:color w:val="FFFFFF"/>
                <w:sz w:val="30"/>
                <w:szCs w:val="30"/>
              </w:rPr>
              <w:t xml:space="preserve">SECTION 7 — MASTER COMPARISON MATRIX 📊</w:t>
            </w:r>
          </w:p>
        </w:tc>
      </w:tr>
    </w:tbl>
    <w:p>
      <w:pPr>
        <w:spacing w:before="0" w:after="0"/>
      </w:pPr>
      <w:r>
        <w:rPr>
          <w:rFonts w:ascii="Arial" w:cs="Arial" w:eastAsia="Arial" w:hAnsi="Arial"/>
          <w:b w:val="false"/>
          <w:bCs w:val="false"/>
          <w:i w:val="false"/>
          <w:iCs w:val="false"/>
          <w:color w:val="111827"/>
          <w:sz w:val="22"/>
          <w:szCs w:val="22"/>
        </w:rPr>
        <w:t xml:space="preserve"/>
      </w:r>
    </w:p>
    <w:p>
      <w:pPr>
        <w:pStyle w:val="Heading1"/>
        <w:pBdr>
          <w:bottom w:val="single" w:color="1B3A6B" w:sz="8" w:space="2"/>
        </w:pBdr>
        <w:spacing w:before="320" w:after="160"/>
      </w:pPr>
      <w:r>
        <w:rPr>
          <w:rFonts w:ascii="Arial" w:cs="Arial" w:eastAsia="Arial" w:hAnsi="Arial"/>
          <w:b/>
          <w:bCs/>
          <w:color w:val="1B3A6B"/>
          <w:sz w:val="36"/>
          <w:szCs w:val="36"/>
        </w:rPr>
        <w:t xml:space="preserve">7. Insurance Category Quick Comparison</w:t>
      </w:r>
    </w:p>
    <w:p>
      <w:pPr>
        <w:spacing w:before="0" w:after="0"/>
      </w:pPr>
      <w:r>
        <w:rPr>
          <w:rFonts w:ascii="Arial" w:cs="Arial" w:eastAsia="Arial" w:hAnsi="Arial"/>
          <w:b w:val="false"/>
          <w:bCs w:val="false"/>
          <w:i w:val="false"/>
          <w:iCs w:val="false"/>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200"/>
        <w:gridCol w:w="1200"/>
        <w:gridCol w:w="1300"/>
        <w:gridCol w:w="1460"/>
        <w:gridCol w:w="1200"/>
        <w:gridCol w:w="1300"/>
      </w:tblGrid>
      <w:tr>
        <w:trPr>
          <w:tblHeader/>
        </w:trPr>
        <w:tc>
          <w:tcPr>
            <w:tcW w:type="dxa" w:w="1700"/>
            <w:tcBorders>
              <w:top w:val="single" w:color="DDDDDD" w:sz="1"/>
              <w:left w:val="single" w:color="DDDDDD" w:sz="1"/>
              <w:bottom w:val="single" w:color="DDDDDD" w:sz="1"/>
              <w:right w:val="single" w:color="DDDDDD" w:sz="1"/>
            </w:tcBorders>
            <w:shd w:fill="1B3A6B" w:val="clear"/>
            <w:tcMar>
              <w:top w:type="dxa" w:w="100"/>
              <w:left w:type="dxa" w:w="140"/>
              <w:bottom w:type="dxa" w:w="100"/>
              <w:right w:type="dxa" w:w="140"/>
            </w:tcMar>
            <w:vAlign w:val="center"/>
          </w:tcPr>
          <w:p>
            <w:pPr>
              <w:spacing w:before="60" w:after="60"/>
              <w:jc w:val="left"/>
            </w:pPr>
            <w:r>
              <w:rPr>
                <w:rFonts w:ascii="Arial" w:cs="Arial" w:eastAsia="Arial" w:hAnsi="Arial"/>
                <w:b/>
                <w:bCs/>
                <w:i w:val="false"/>
                <w:iCs w:val="false"/>
                <w:color w:val="FFFFFF"/>
                <w:sz w:val="18"/>
                <w:szCs w:val="18"/>
              </w:rPr>
              <w:t xml:space="preserve">Category</w:t>
            </w:r>
          </w:p>
        </w:tc>
        <w:tc>
          <w:tcPr>
            <w:tcW w:type="dxa" w:w="1200"/>
            <w:tcBorders>
              <w:top w:val="single" w:color="DDDDDD" w:sz="1"/>
              <w:left w:val="single" w:color="DDDDDD" w:sz="1"/>
              <w:bottom w:val="single" w:color="DDDDDD" w:sz="1"/>
              <w:right w:val="single" w:color="DDDDDD" w:sz="1"/>
            </w:tcBorders>
            <w:shd w:fill="1B3A6B" w:val="clear"/>
            <w:tcMar>
              <w:top w:type="dxa" w:w="100"/>
              <w:left w:type="dxa" w:w="140"/>
              <w:bottom w:type="dxa" w:w="100"/>
              <w:right w:type="dxa" w:w="140"/>
            </w:tcMar>
            <w:vAlign w:val="center"/>
          </w:tcPr>
          <w:p>
            <w:pPr>
              <w:spacing w:before="60" w:after="60"/>
              <w:jc w:val="left"/>
            </w:pPr>
            <w:r>
              <w:rPr>
                <w:rFonts w:ascii="Arial" w:cs="Arial" w:eastAsia="Arial" w:hAnsi="Arial"/>
                <w:b/>
                <w:bCs/>
                <w:i w:val="false"/>
                <w:iCs w:val="false"/>
                <w:color w:val="FFFFFF"/>
                <w:sz w:val="18"/>
                <w:szCs w:val="18"/>
              </w:rPr>
              <w:t xml:space="preserve">Min Premium
/month</w:t>
            </w:r>
          </w:p>
        </w:tc>
        <w:tc>
          <w:tcPr>
            <w:tcW w:type="dxa" w:w="1200"/>
            <w:tcBorders>
              <w:top w:val="single" w:color="DDDDDD" w:sz="1"/>
              <w:left w:val="single" w:color="DDDDDD" w:sz="1"/>
              <w:bottom w:val="single" w:color="DDDDDD" w:sz="1"/>
              <w:right w:val="single" w:color="DDDDDD" w:sz="1"/>
            </w:tcBorders>
            <w:shd w:fill="1B3A6B" w:val="clear"/>
            <w:tcMar>
              <w:top w:type="dxa" w:w="100"/>
              <w:left w:type="dxa" w:w="140"/>
              <w:bottom w:type="dxa" w:w="100"/>
              <w:right w:type="dxa" w:w="140"/>
            </w:tcMar>
            <w:vAlign w:val="center"/>
          </w:tcPr>
          <w:p>
            <w:pPr>
              <w:spacing w:before="60" w:after="60"/>
              <w:jc w:val="left"/>
            </w:pPr>
            <w:r>
              <w:rPr>
                <w:rFonts w:ascii="Arial" w:cs="Arial" w:eastAsia="Arial" w:hAnsi="Arial"/>
                <w:b/>
                <w:bCs/>
                <w:i w:val="false"/>
                <w:iCs w:val="false"/>
                <w:color w:val="FFFFFF"/>
                <w:sz w:val="18"/>
                <w:szCs w:val="18"/>
              </w:rPr>
              <w:t xml:space="preserve">Max Coverage</w:t>
            </w:r>
          </w:p>
        </w:tc>
        <w:tc>
          <w:tcPr>
            <w:tcW w:type="dxa" w:w="1300"/>
            <w:tcBorders>
              <w:top w:val="single" w:color="DDDDDD" w:sz="1"/>
              <w:left w:val="single" w:color="DDDDDD" w:sz="1"/>
              <w:bottom w:val="single" w:color="DDDDDD" w:sz="1"/>
              <w:right w:val="single" w:color="DDDDDD" w:sz="1"/>
            </w:tcBorders>
            <w:shd w:fill="1B3A6B" w:val="clear"/>
            <w:tcMar>
              <w:top w:type="dxa" w:w="100"/>
              <w:left w:type="dxa" w:w="140"/>
              <w:bottom w:type="dxa" w:w="100"/>
              <w:right w:type="dxa" w:w="140"/>
            </w:tcMar>
            <w:vAlign w:val="center"/>
          </w:tcPr>
          <w:p>
            <w:pPr>
              <w:spacing w:before="60" w:after="60"/>
              <w:jc w:val="left"/>
            </w:pPr>
            <w:r>
              <w:rPr>
                <w:rFonts w:ascii="Arial" w:cs="Arial" w:eastAsia="Arial" w:hAnsi="Arial"/>
                <w:b/>
                <w:bCs/>
                <w:i w:val="false"/>
                <w:iCs w:val="false"/>
                <w:color w:val="FFFFFF"/>
                <w:sz w:val="18"/>
                <w:szCs w:val="18"/>
              </w:rPr>
              <w:t xml:space="preserve">Mandatory?</w:t>
            </w:r>
          </w:p>
        </w:tc>
        <w:tc>
          <w:tcPr>
            <w:tcW w:type="dxa" w:w="1460"/>
            <w:tcBorders>
              <w:top w:val="single" w:color="DDDDDD" w:sz="1"/>
              <w:left w:val="single" w:color="DDDDDD" w:sz="1"/>
              <w:bottom w:val="single" w:color="DDDDDD" w:sz="1"/>
              <w:right w:val="single" w:color="DDDDDD" w:sz="1"/>
            </w:tcBorders>
            <w:shd w:fill="1B3A6B" w:val="clear"/>
            <w:tcMar>
              <w:top w:type="dxa" w:w="100"/>
              <w:left w:type="dxa" w:w="140"/>
              <w:bottom w:type="dxa" w:w="100"/>
              <w:right w:type="dxa" w:w="140"/>
            </w:tcMar>
            <w:vAlign w:val="center"/>
          </w:tcPr>
          <w:p>
            <w:pPr>
              <w:spacing w:before="60" w:after="60"/>
              <w:jc w:val="left"/>
            </w:pPr>
            <w:r>
              <w:rPr>
                <w:rFonts w:ascii="Arial" w:cs="Arial" w:eastAsia="Arial" w:hAnsi="Arial"/>
                <w:b/>
                <w:bCs/>
                <w:i w:val="false"/>
                <w:iCs w:val="false"/>
                <w:color w:val="FFFFFF"/>
                <w:sz w:val="18"/>
                <w:szCs w:val="18"/>
              </w:rPr>
              <w:t xml:space="preserve">Tax Benefit</w:t>
            </w:r>
          </w:p>
        </w:tc>
        <w:tc>
          <w:tcPr>
            <w:tcW w:type="dxa" w:w="1200"/>
            <w:tcBorders>
              <w:top w:val="single" w:color="DDDDDD" w:sz="1"/>
              <w:left w:val="single" w:color="DDDDDD" w:sz="1"/>
              <w:bottom w:val="single" w:color="DDDDDD" w:sz="1"/>
              <w:right w:val="single" w:color="DDDDDD" w:sz="1"/>
            </w:tcBorders>
            <w:shd w:fill="1B3A6B" w:val="clear"/>
            <w:tcMar>
              <w:top w:type="dxa" w:w="100"/>
              <w:left w:type="dxa" w:w="140"/>
              <w:bottom w:type="dxa" w:w="100"/>
              <w:right w:type="dxa" w:w="140"/>
            </w:tcMar>
            <w:vAlign w:val="center"/>
          </w:tcPr>
          <w:p>
            <w:pPr>
              <w:spacing w:before="60" w:after="60"/>
              <w:jc w:val="left"/>
            </w:pPr>
            <w:r>
              <w:rPr>
                <w:rFonts w:ascii="Arial" w:cs="Arial" w:eastAsia="Arial" w:hAnsi="Arial"/>
                <w:b/>
                <w:bCs/>
                <w:i w:val="false"/>
                <w:iCs w:val="false"/>
                <w:color w:val="FFFFFF"/>
                <w:sz w:val="18"/>
                <w:szCs w:val="18"/>
              </w:rPr>
              <w:t xml:space="preserve">Waiting Period</w:t>
            </w:r>
          </w:p>
        </w:tc>
        <w:tc>
          <w:tcPr>
            <w:tcW w:type="dxa" w:w="1300"/>
            <w:tcBorders>
              <w:top w:val="single" w:color="DDDDDD" w:sz="1"/>
              <w:left w:val="single" w:color="DDDDDD" w:sz="1"/>
              <w:bottom w:val="single" w:color="DDDDDD" w:sz="1"/>
              <w:right w:val="single" w:color="DDDDDD" w:sz="1"/>
            </w:tcBorders>
            <w:shd w:fill="1B3A6B" w:val="clear"/>
            <w:tcMar>
              <w:top w:type="dxa" w:w="100"/>
              <w:left w:type="dxa" w:w="140"/>
              <w:bottom w:type="dxa" w:w="100"/>
              <w:right w:type="dxa" w:w="140"/>
            </w:tcMar>
            <w:vAlign w:val="center"/>
          </w:tcPr>
          <w:p>
            <w:pPr>
              <w:spacing w:before="60" w:after="60"/>
              <w:jc w:val="left"/>
            </w:pPr>
            <w:r>
              <w:rPr>
                <w:rFonts w:ascii="Arial" w:cs="Arial" w:eastAsia="Arial" w:hAnsi="Arial"/>
                <w:b/>
                <w:bCs/>
                <w:i w:val="false"/>
                <w:iCs w:val="false"/>
                <w:color w:val="FFFFFF"/>
                <w:sz w:val="18"/>
                <w:szCs w:val="18"/>
              </w:rPr>
              <w:t xml:space="preserve">Best Age to Buy</w:t>
            </w:r>
          </w:p>
        </w:tc>
      </w:tr>
      <w:tr>
        <w:tc>
          <w:tcPr>
            <w:tcW w:type="dxa" w:w="1700"/>
            <w:tcBorders>
              <w:top w:val="single" w:color="DDDDDD" w:sz="1"/>
              <w:left w:val="single" w:color="DDDDDD" w:sz="1"/>
              <w:bottom w:val="single" w:color="DDDDDD" w:sz="1"/>
              <w:right w:val="single" w:color="DDDDDD" w:sz="1"/>
            </w:tcBorders>
            <w:shd w:fill="CCFBF1" w:val="clear"/>
            <w:tcMar>
              <w:top w:type="dxa" w:w="100"/>
              <w:left w:type="dxa" w:w="140"/>
              <w:bottom w:type="dxa" w:w="100"/>
              <w:right w:type="dxa" w:w="140"/>
            </w:tcMar>
            <w:vAlign w:val="center"/>
          </w:tcPr>
          <w:p>
            <w:pPr>
              <w:spacing w:before="60" w:after="60"/>
              <w:jc w:val="left"/>
            </w:pPr>
            <w:r>
              <w:rPr>
                <w:rFonts w:ascii="Arial" w:cs="Arial" w:eastAsia="Arial" w:hAnsi="Arial"/>
                <w:b/>
                <w:bCs/>
                <w:i w:val="false"/>
                <w:iCs w:val="false"/>
                <w:color w:val="111827"/>
                <w:sz w:val="19"/>
                <w:szCs w:val="19"/>
              </w:rPr>
              <w:t xml:space="preserve">Health Insurance</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60" w:after="60"/>
              <w:jc w:val="left"/>
            </w:pPr>
            <w:r>
              <w:rPr>
                <w:rFonts w:ascii="Arial" w:cs="Arial" w:eastAsia="Arial" w:hAnsi="Arial"/>
                <w:b w:val="false"/>
                <w:bCs w:val="false"/>
                <w:i w:val="false"/>
                <w:iCs w:val="false"/>
                <w:color w:val="111827"/>
                <w:sz w:val="19"/>
                <w:szCs w:val="19"/>
              </w:rPr>
              <w:t xml:space="preserve">₹500</w:t>
            </w:r>
          </w:p>
        </w:tc>
        <w:tc>
          <w:tcPr>
            <w:tcW w:type="dxa" w:w="1200"/>
            <w:tcBorders>
              <w:top w:val="single" w:color="DDDDDD" w:sz="1"/>
              <w:left w:val="single" w:color="DDDDDD" w:sz="1"/>
              <w:bottom w:val="single" w:color="DDDDDD" w:sz="1"/>
              <w:right w:val="single" w:color="DDDDDD" w:sz="1"/>
            </w:tcBorders>
            <w:shd w:fill="CCFBF1" w:val="clear"/>
            <w:tcMar>
              <w:top w:type="dxa" w:w="100"/>
              <w:left w:type="dxa" w:w="140"/>
              <w:bottom w:type="dxa" w:w="100"/>
              <w:right w:type="dxa" w:w="140"/>
            </w:tcMar>
            <w:vAlign w:val="center"/>
          </w:tcPr>
          <w:p>
            <w:pPr>
              <w:spacing w:before="60" w:after="60"/>
              <w:jc w:val="left"/>
            </w:pPr>
            <w:r>
              <w:rPr>
                <w:rFonts w:ascii="Arial" w:cs="Arial" w:eastAsia="Arial" w:hAnsi="Arial"/>
                <w:b w:val="false"/>
                <w:bCs w:val="false"/>
                <w:i w:val="false"/>
                <w:iCs w:val="false"/>
                <w:color w:val="111827"/>
                <w:sz w:val="19"/>
                <w:szCs w:val="19"/>
              </w:rPr>
              <w:t xml:space="preserve">₹2 Crore</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60" w:after="60"/>
              <w:jc w:val="left"/>
            </w:pPr>
            <w:r>
              <w:rPr>
                <w:rFonts w:ascii="Arial" w:cs="Arial" w:eastAsia="Arial" w:hAnsi="Arial"/>
                <w:b w:val="false"/>
                <w:bCs w:val="false"/>
                <w:i w:val="false"/>
                <w:iCs w:val="false"/>
                <w:color w:val="111827"/>
                <w:sz w:val="19"/>
                <w:szCs w:val="19"/>
              </w:rPr>
              <w:t xml:space="preserve">No (advisable)</w:t>
            </w:r>
          </w:p>
        </w:tc>
        <w:tc>
          <w:tcPr>
            <w:tcW w:type="dxa" w:w="1460"/>
            <w:tcBorders>
              <w:top w:val="single" w:color="DDDDDD" w:sz="1"/>
              <w:left w:val="single" w:color="DDDDDD" w:sz="1"/>
              <w:bottom w:val="single" w:color="DDDDDD" w:sz="1"/>
              <w:right w:val="single" w:color="DDDDDD" w:sz="1"/>
            </w:tcBorders>
            <w:shd w:fill="CCFBF1" w:val="clear"/>
            <w:tcMar>
              <w:top w:type="dxa" w:w="100"/>
              <w:left w:type="dxa" w:w="140"/>
              <w:bottom w:type="dxa" w:w="100"/>
              <w:right w:type="dxa" w:w="140"/>
            </w:tcMar>
            <w:vAlign w:val="center"/>
          </w:tcPr>
          <w:p>
            <w:pPr>
              <w:spacing w:before="60" w:after="60"/>
              <w:jc w:val="left"/>
            </w:pPr>
            <w:r>
              <w:rPr>
                <w:rFonts w:ascii="Arial" w:cs="Arial" w:eastAsia="Arial" w:hAnsi="Arial"/>
                <w:b w:val="false"/>
                <w:bCs w:val="false"/>
                <w:i w:val="false"/>
                <w:iCs w:val="false"/>
                <w:color w:val="111827"/>
                <w:sz w:val="18"/>
                <w:szCs w:val="18"/>
              </w:rPr>
              <w:t xml:space="preserve">80D — ₹25K–₹75K</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60" w:after="60"/>
              <w:jc w:val="left"/>
            </w:pPr>
            <w:r>
              <w:rPr>
                <w:rFonts w:ascii="Arial" w:cs="Arial" w:eastAsia="Arial" w:hAnsi="Arial"/>
                <w:b w:val="false"/>
                <w:bCs w:val="false"/>
                <w:i w:val="false"/>
                <w:iCs w:val="false"/>
                <w:color w:val="111827"/>
                <w:sz w:val="19"/>
                <w:szCs w:val="19"/>
              </w:rPr>
              <w:t xml:space="preserve">30 days–4 yrs</w:t>
            </w:r>
          </w:p>
        </w:tc>
        <w:tc>
          <w:tcPr>
            <w:tcW w:type="dxa" w:w="1300"/>
            <w:tcBorders>
              <w:top w:val="single" w:color="DDDDDD" w:sz="1"/>
              <w:left w:val="single" w:color="DDDDDD" w:sz="1"/>
              <w:bottom w:val="single" w:color="DDDDDD" w:sz="1"/>
              <w:right w:val="single" w:color="DDDDDD" w:sz="1"/>
            </w:tcBorders>
            <w:shd w:fill="CCFBF1" w:val="clear"/>
            <w:tcMar>
              <w:top w:type="dxa" w:w="100"/>
              <w:left w:type="dxa" w:w="140"/>
              <w:bottom w:type="dxa" w:w="100"/>
              <w:right w:type="dxa" w:w="140"/>
            </w:tcMar>
            <w:vAlign w:val="center"/>
          </w:tcPr>
          <w:p>
            <w:pPr>
              <w:spacing w:before="60" w:after="60"/>
              <w:jc w:val="left"/>
            </w:pPr>
            <w:r>
              <w:rPr>
                <w:rFonts w:ascii="Arial" w:cs="Arial" w:eastAsia="Arial" w:hAnsi="Arial"/>
                <w:b w:val="false"/>
                <w:bCs w:val="false"/>
                <w:i w:val="false"/>
                <w:iCs w:val="false"/>
                <w:color w:val="111827"/>
                <w:sz w:val="18"/>
                <w:szCs w:val="18"/>
              </w:rPr>
              <w:t xml:space="preserve">18–35 (low premium)</w:t>
            </w:r>
          </w:p>
        </w:tc>
      </w:tr>
      <w:tr>
        <w:tc>
          <w:tcPr>
            <w:tcW w:type="dxa" w:w="1700"/>
            <w:tcBorders>
              <w:top w:val="single" w:color="DDDDDD" w:sz="1"/>
              <w:left w:val="single" w:color="DDDDDD" w:sz="1"/>
              <w:bottom w:val="single" w:color="DDDDDD" w:sz="1"/>
              <w:right w:val="single" w:color="DDDDDD" w:sz="1"/>
            </w:tcBorders>
            <w:shd w:fill="EDE9FE" w:val="clear"/>
            <w:tcMar>
              <w:top w:type="dxa" w:w="100"/>
              <w:left w:type="dxa" w:w="140"/>
              <w:bottom w:type="dxa" w:w="100"/>
              <w:right w:type="dxa" w:w="140"/>
            </w:tcMar>
            <w:vAlign w:val="center"/>
          </w:tcPr>
          <w:p>
            <w:pPr>
              <w:spacing w:before="60" w:after="60"/>
              <w:jc w:val="left"/>
            </w:pPr>
            <w:r>
              <w:rPr>
                <w:rFonts w:ascii="Arial" w:cs="Arial" w:eastAsia="Arial" w:hAnsi="Arial"/>
                <w:b/>
                <w:bCs/>
                <w:i w:val="false"/>
                <w:iCs w:val="false"/>
                <w:color w:val="111827"/>
                <w:sz w:val="19"/>
                <w:szCs w:val="19"/>
              </w:rPr>
              <w:t xml:space="preserve">Term Life Insurance</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60" w:after="60"/>
              <w:jc w:val="left"/>
            </w:pPr>
            <w:r>
              <w:rPr>
                <w:rFonts w:ascii="Arial" w:cs="Arial" w:eastAsia="Arial" w:hAnsi="Arial"/>
                <w:b w:val="false"/>
                <w:bCs w:val="false"/>
                <w:i w:val="false"/>
                <w:iCs w:val="false"/>
                <w:color w:val="111827"/>
                <w:sz w:val="19"/>
                <w:szCs w:val="19"/>
              </w:rPr>
              <w:t xml:space="preserve">₹600</w:t>
            </w:r>
          </w:p>
        </w:tc>
        <w:tc>
          <w:tcPr>
            <w:tcW w:type="dxa" w:w="1200"/>
            <w:tcBorders>
              <w:top w:val="single" w:color="DDDDDD" w:sz="1"/>
              <w:left w:val="single" w:color="DDDDDD" w:sz="1"/>
              <w:bottom w:val="single" w:color="DDDDDD" w:sz="1"/>
              <w:right w:val="single" w:color="DDDDDD" w:sz="1"/>
            </w:tcBorders>
            <w:shd w:fill="EDE9FE" w:val="clear"/>
            <w:tcMar>
              <w:top w:type="dxa" w:w="100"/>
              <w:left w:type="dxa" w:w="140"/>
              <w:bottom w:type="dxa" w:w="100"/>
              <w:right w:type="dxa" w:w="140"/>
            </w:tcMar>
            <w:vAlign w:val="center"/>
          </w:tcPr>
          <w:p>
            <w:pPr>
              <w:spacing w:before="60" w:after="60"/>
              <w:jc w:val="left"/>
            </w:pPr>
            <w:r>
              <w:rPr>
                <w:rFonts w:ascii="Arial" w:cs="Arial" w:eastAsia="Arial" w:hAnsi="Arial"/>
                <w:b w:val="false"/>
                <w:bCs w:val="false"/>
                <w:i w:val="false"/>
                <w:iCs w:val="false"/>
                <w:color w:val="111827"/>
                <w:sz w:val="19"/>
                <w:szCs w:val="19"/>
              </w:rPr>
              <w:t xml:space="preserve">₹10 Crore+</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60" w:after="60"/>
              <w:jc w:val="left"/>
            </w:pPr>
            <w:r>
              <w:rPr>
                <w:rFonts w:ascii="Arial" w:cs="Arial" w:eastAsia="Arial" w:hAnsi="Arial"/>
                <w:b w:val="false"/>
                <w:bCs w:val="false"/>
                <w:i w:val="false"/>
                <w:iCs w:val="false"/>
                <w:color w:val="111827"/>
                <w:sz w:val="19"/>
                <w:szCs w:val="19"/>
              </w:rPr>
              <w:t xml:space="preserve">No (advisable)</w:t>
            </w:r>
          </w:p>
        </w:tc>
        <w:tc>
          <w:tcPr>
            <w:tcW w:type="dxa" w:w="1460"/>
            <w:tcBorders>
              <w:top w:val="single" w:color="DDDDDD" w:sz="1"/>
              <w:left w:val="single" w:color="DDDDDD" w:sz="1"/>
              <w:bottom w:val="single" w:color="DDDDDD" w:sz="1"/>
              <w:right w:val="single" w:color="DDDDDD" w:sz="1"/>
            </w:tcBorders>
            <w:shd w:fill="EDE9FE" w:val="clear"/>
            <w:tcMar>
              <w:top w:type="dxa" w:w="100"/>
              <w:left w:type="dxa" w:w="140"/>
              <w:bottom w:type="dxa" w:w="100"/>
              <w:right w:type="dxa" w:w="140"/>
            </w:tcMar>
            <w:vAlign w:val="center"/>
          </w:tcPr>
          <w:p>
            <w:pPr>
              <w:spacing w:before="60" w:after="60"/>
              <w:jc w:val="left"/>
            </w:pPr>
            <w:r>
              <w:rPr>
                <w:rFonts w:ascii="Arial" w:cs="Arial" w:eastAsia="Arial" w:hAnsi="Arial"/>
                <w:b w:val="false"/>
                <w:bCs w:val="false"/>
                <w:i w:val="false"/>
                <w:iCs w:val="false"/>
                <w:color w:val="111827"/>
                <w:sz w:val="18"/>
                <w:szCs w:val="18"/>
              </w:rPr>
              <w:t xml:space="preserve">80C — ₹1.5L
10(10D) — Tax-free claim</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60" w:after="60"/>
              <w:jc w:val="left"/>
            </w:pPr>
            <w:r>
              <w:rPr>
                <w:rFonts w:ascii="Arial" w:cs="Arial" w:eastAsia="Arial" w:hAnsi="Arial"/>
                <w:b w:val="false"/>
                <w:bCs w:val="false"/>
                <w:i w:val="false"/>
                <w:iCs w:val="false"/>
                <w:color w:val="111827"/>
                <w:sz w:val="19"/>
                <w:szCs w:val="19"/>
              </w:rPr>
              <w:t xml:space="preserve">90 days</w:t>
            </w:r>
          </w:p>
        </w:tc>
        <w:tc>
          <w:tcPr>
            <w:tcW w:type="dxa" w:w="1300"/>
            <w:tcBorders>
              <w:top w:val="single" w:color="DDDDDD" w:sz="1"/>
              <w:left w:val="single" w:color="DDDDDD" w:sz="1"/>
              <w:bottom w:val="single" w:color="DDDDDD" w:sz="1"/>
              <w:right w:val="single" w:color="DDDDDD" w:sz="1"/>
            </w:tcBorders>
            <w:shd w:fill="EDE9FE" w:val="clear"/>
            <w:tcMar>
              <w:top w:type="dxa" w:w="100"/>
              <w:left w:type="dxa" w:w="140"/>
              <w:bottom w:type="dxa" w:w="100"/>
              <w:right w:type="dxa" w:w="140"/>
            </w:tcMar>
            <w:vAlign w:val="center"/>
          </w:tcPr>
          <w:p>
            <w:pPr>
              <w:spacing w:before="60" w:after="60"/>
              <w:jc w:val="left"/>
            </w:pPr>
            <w:r>
              <w:rPr>
                <w:rFonts w:ascii="Arial" w:cs="Arial" w:eastAsia="Arial" w:hAnsi="Arial"/>
                <w:b w:val="false"/>
                <w:bCs w:val="false"/>
                <w:i w:val="false"/>
                <w:iCs w:val="false"/>
                <w:color w:val="111827"/>
                <w:sz w:val="18"/>
                <w:szCs w:val="18"/>
              </w:rPr>
              <w:t xml:space="preserve">20–35 (lowest rate)</w:t>
            </w:r>
          </w:p>
        </w:tc>
      </w:tr>
      <w:tr>
        <w:tc>
          <w:tcPr>
            <w:tcW w:type="dxa" w:w="1700"/>
            <w:tcBorders>
              <w:top w:val="single" w:color="DDDDDD" w:sz="1"/>
              <w:left w:val="single" w:color="DDDDDD" w:sz="1"/>
              <w:bottom w:val="single" w:color="DDDDDD" w:sz="1"/>
              <w:right w:val="single" w:color="DDDDDD" w:sz="1"/>
            </w:tcBorders>
            <w:shd w:fill="FFEDD5" w:val="clear"/>
            <w:tcMar>
              <w:top w:type="dxa" w:w="100"/>
              <w:left w:type="dxa" w:w="140"/>
              <w:bottom w:type="dxa" w:w="100"/>
              <w:right w:type="dxa" w:w="140"/>
            </w:tcMar>
            <w:vAlign w:val="center"/>
          </w:tcPr>
          <w:p>
            <w:pPr>
              <w:spacing w:before="60" w:after="60"/>
              <w:jc w:val="left"/>
            </w:pPr>
            <w:r>
              <w:rPr>
                <w:rFonts w:ascii="Arial" w:cs="Arial" w:eastAsia="Arial" w:hAnsi="Arial"/>
                <w:b/>
                <w:bCs/>
                <w:i w:val="false"/>
                <w:iCs w:val="false"/>
                <w:color w:val="111827"/>
                <w:sz w:val="19"/>
                <w:szCs w:val="19"/>
              </w:rPr>
              <w:t xml:space="preserve">Vehicle Insurance</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60" w:after="60"/>
              <w:jc w:val="left"/>
            </w:pPr>
            <w:r>
              <w:rPr>
                <w:rFonts w:ascii="Arial" w:cs="Arial" w:eastAsia="Arial" w:hAnsi="Arial"/>
                <w:b w:val="false"/>
                <w:bCs w:val="false"/>
                <w:i w:val="false"/>
                <w:iCs w:val="false"/>
                <w:color w:val="111827"/>
                <w:sz w:val="19"/>
                <w:szCs w:val="19"/>
              </w:rPr>
              <w:t xml:space="preserve">₹100 (TP)</w:t>
            </w:r>
          </w:p>
        </w:tc>
        <w:tc>
          <w:tcPr>
            <w:tcW w:type="dxa" w:w="1200"/>
            <w:tcBorders>
              <w:top w:val="single" w:color="DDDDDD" w:sz="1"/>
              <w:left w:val="single" w:color="DDDDDD" w:sz="1"/>
              <w:bottom w:val="single" w:color="DDDDDD" w:sz="1"/>
              <w:right w:val="single" w:color="DDDDDD" w:sz="1"/>
            </w:tcBorders>
            <w:shd w:fill="FFEDD5" w:val="clear"/>
            <w:tcMar>
              <w:top w:type="dxa" w:w="100"/>
              <w:left w:type="dxa" w:w="140"/>
              <w:bottom w:type="dxa" w:w="100"/>
              <w:right w:type="dxa" w:w="140"/>
            </w:tcMar>
            <w:vAlign w:val="center"/>
          </w:tcPr>
          <w:p>
            <w:pPr>
              <w:spacing w:before="60" w:after="60"/>
              <w:jc w:val="left"/>
            </w:pPr>
            <w:r>
              <w:rPr>
                <w:rFonts w:ascii="Arial" w:cs="Arial" w:eastAsia="Arial" w:hAnsi="Arial"/>
                <w:b w:val="false"/>
                <w:bCs w:val="false"/>
                <w:i w:val="false"/>
                <w:iCs w:val="false"/>
                <w:color w:val="111827"/>
                <w:sz w:val="19"/>
                <w:szCs w:val="19"/>
              </w:rPr>
              <w:t xml:space="preserve">As per IDV</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60" w:after="60"/>
              <w:jc w:val="left"/>
            </w:pPr>
            <w:r>
              <w:rPr>
                <w:rFonts w:ascii="Arial" w:cs="Arial" w:eastAsia="Arial" w:hAnsi="Arial"/>
                <w:b w:val="false"/>
                <w:bCs w:val="false"/>
                <w:i w:val="false"/>
                <w:iCs w:val="false"/>
                <w:color w:val="111827"/>
                <w:sz w:val="19"/>
                <w:szCs w:val="19"/>
              </w:rPr>
              <w:t xml:space="preserve">YES (TP mandatory)</w:t>
            </w:r>
          </w:p>
        </w:tc>
        <w:tc>
          <w:tcPr>
            <w:tcW w:type="dxa" w:w="1460"/>
            <w:tcBorders>
              <w:top w:val="single" w:color="DDDDDD" w:sz="1"/>
              <w:left w:val="single" w:color="DDDDDD" w:sz="1"/>
              <w:bottom w:val="single" w:color="DDDDDD" w:sz="1"/>
              <w:right w:val="single" w:color="DDDDDD" w:sz="1"/>
            </w:tcBorders>
            <w:shd w:fill="FFEDD5" w:val="clear"/>
            <w:tcMar>
              <w:top w:type="dxa" w:w="100"/>
              <w:left w:type="dxa" w:w="140"/>
              <w:bottom w:type="dxa" w:w="100"/>
              <w:right w:type="dxa" w:w="140"/>
            </w:tcMar>
            <w:vAlign w:val="center"/>
          </w:tcPr>
          <w:p>
            <w:pPr>
              <w:spacing w:before="60" w:after="60"/>
              <w:jc w:val="left"/>
            </w:pPr>
            <w:r>
              <w:rPr>
                <w:rFonts w:ascii="Arial" w:cs="Arial" w:eastAsia="Arial" w:hAnsi="Arial"/>
                <w:b w:val="false"/>
                <w:bCs w:val="false"/>
                <w:i w:val="false"/>
                <w:iCs w:val="false"/>
                <w:color w:val="111827"/>
                <w:sz w:val="18"/>
                <w:szCs w:val="18"/>
              </w:rPr>
              <w:t xml:space="preserve">None</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60" w:after="60"/>
              <w:jc w:val="left"/>
            </w:pPr>
            <w:r>
              <w:rPr>
                <w:rFonts w:ascii="Arial" w:cs="Arial" w:eastAsia="Arial" w:hAnsi="Arial"/>
                <w:b w:val="false"/>
                <w:bCs w:val="false"/>
                <w:i w:val="false"/>
                <w:iCs w:val="false"/>
                <w:color w:val="111827"/>
                <w:sz w:val="19"/>
                <w:szCs w:val="19"/>
              </w:rPr>
              <w:t xml:space="preserve">None</w:t>
            </w:r>
          </w:p>
        </w:tc>
        <w:tc>
          <w:tcPr>
            <w:tcW w:type="dxa" w:w="1300"/>
            <w:tcBorders>
              <w:top w:val="single" w:color="DDDDDD" w:sz="1"/>
              <w:left w:val="single" w:color="DDDDDD" w:sz="1"/>
              <w:bottom w:val="single" w:color="DDDDDD" w:sz="1"/>
              <w:right w:val="single" w:color="DDDDDD" w:sz="1"/>
            </w:tcBorders>
            <w:shd w:fill="FFEDD5" w:val="clear"/>
            <w:tcMar>
              <w:top w:type="dxa" w:w="100"/>
              <w:left w:type="dxa" w:w="140"/>
              <w:bottom w:type="dxa" w:w="100"/>
              <w:right w:type="dxa" w:w="140"/>
            </w:tcMar>
            <w:vAlign w:val="center"/>
          </w:tcPr>
          <w:p>
            <w:pPr>
              <w:spacing w:before="60" w:after="60"/>
              <w:jc w:val="left"/>
            </w:pPr>
            <w:r>
              <w:rPr>
                <w:rFonts w:ascii="Arial" w:cs="Arial" w:eastAsia="Arial" w:hAnsi="Arial"/>
                <w:b w:val="false"/>
                <w:bCs w:val="false"/>
                <w:i w:val="false"/>
                <w:iCs w:val="false"/>
                <w:color w:val="111827"/>
                <w:sz w:val="18"/>
                <w:szCs w:val="18"/>
              </w:rPr>
              <w:t xml:space="preserve">At vehicle purchase</w:t>
            </w:r>
          </w:p>
        </w:tc>
      </w:tr>
      <w:tr>
        <w:tc>
          <w:tcPr>
            <w:tcW w:type="dxa" w:w="1700"/>
            <w:tcBorders>
              <w:top w:val="single" w:color="DDDDDD" w:sz="1"/>
              <w:left w:val="single" w:color="DDDDDD" w:sz="1"/>
              <w:bottom w:val="single" w:color="DDDDDD" w:sz="1"/>
              <w:right w:val="single" w:color="DDDDDD" w:sz="1"/>
            </w:tcBorders>
            <w:shd w:fill="DBEAFE" w:val="clear"/>
            <w:tcMar>
              <w:top w:type="dxa" w:w="100"/>
              <w:left w:type="dxa" w:w="140"/>
              <w:bottom w:type="dxa" w:w="100"/>
              <w:right w:type="dxa" w:w="140"/>
            </w:tcMar>
            <w:vAlign w:val="center"/>
          </w:tcPr>
          <w:p>
            <w:pPr>
              <w:spacing w:before="60" w:after="60"/>
              <w:jc w:val="left"/>
            </w:pPr>
            <w:r>
              <w:rPr>
                <w:rFonts w:ascii="Arial" w:cs="Arial" w:eastAsia="Arial" w:hAnsi="Arial"/>
                <w:b/>
                <w:bCs/>
                <w:i w:val="false"/>
                <w:iCs w:val="false"/>
                <w:color w:val="111827"/>
                <w:sz w:val="19"/>
                <w:szCs w:val="19"/>
              </w:rPr>
              <w:t xml:space="preserve">Travel Insurance</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60" w:after="60"/>
              <w:jc w:val="left"/>
            </w:pPr>
            <w:r>
              <w:rPr>
                <w:rFonts w:ascii="Arial" w:cs="Arial" w:eastAsia="Arial" w:hAnsi="Arial"/>
                <w:b w:val="false"/>
                <w:bCs w:val="false"/>
                <w:i w:val="false"/>
                <w:iCs w:val="false"/>
                <w:color w:val="111827"/>
                <w:sz w:val="19"/>
                <w:szCs w:val="19"/>
              </w:rPr>
              <w:t xml:space="preserve">₹50/trip</w:t>
            </w:r>
          </w:p>
        </w:tc>
        <w:tc>
          <w:tcPr>
            <w:tcW w:type="dxa" w:w="1200"/>
            <w:tcBorders>
              <w:top w:val="single" w:color="DDDDDD" w:sz="1"/>
              <w:left w:val="single" w:color="DDDDDD" w:sz="1"/>
              <w:bottom w:val="single" w:color="DDDDDD" w:sz="1"/>
              <w:right w:val="single" w:color="DDDDDD" w:sz="1"/>
            </w:tcBorders>
            <w:shd w:fill="DBEAFE" w:val="clear"/>
            <w:tcMar>
              <w:top w:type="dxa" w:w="100"/>
              <w:left w:type="dxa" w:w="140"/>
              <w:bottom w:type="dxa" w:w="100"/>
              <w:right w:type="dxa" w:w="140"/>
            </w:tcMar>
            <w:vAlign w:val="center"/>
          </w:tcPr>
          <w:p>
            <w:pPr>
              <w:spacing w:before="60" w:after="60"/>
              <w:jc w:val="left"/>
            </w:pPr>
            <w:r>
              <w:rPr>
                <w:rFonts w:ascii="Arial" w:cs="Arial" w:eastAsia="Arial" w:hAnsi="Arial"/>
                <w:b w:val="false"/>
                <w:bCs w:val="false"/>
                <w:i w:val="false"/>
                <w:iCs w:val="false"/>
                <w:color w:val="111827"/>
                <w:sz w:val="19"/>
                <w:szCs w:val="19"/>
              </w:rPr>
              <w:t xml:space="preserve">$1 Million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60" w:after="60"/>
              <w:jc w:val="left"/>
            </w:pPr>
            <w:r>
              <w:rPr>
                <w:rFonts w:ascii="Arial" w:cs="Arial" w:eastAsia="Arial" w:hAnsi="Arial"/>
                <w:b w:val="false"/>
                <w:bCs w:val="false"/>
                <w:i w:val="false"/>
                <w:iCs w:val="false"/>
                <w:color w:val="111827"/>
                <w:sz w:val="19"/>
                <w:szCs w:val="19"/>
              </w:rPr>
              <w:t xml:space="preserve">Schengen visa only</w:t>
            </w:r>
          </w:p>
        </w:tc>
        <w:tc>
          <w:tcPr>
            <w:tcW w:type="dxa" w:w="1460"/>
            <w:tcBorders>
              <w:top w:val="single" w:color="DDDDDD" w:sz="1"/>
              <w:left w:val="single" w:color="DDDDDD" w:sz="1"/>
              <w:bottom w:val="single" w:color="DDDDDD" w:sz="1"/>
              <w:right w:val="single" w:color="DDDDDD" w:sz="1"/>
            </w:tcBorders>
            <w:shd w:fill="DBEAFE" w:val="clear"/>
            <w:tcMar>
              <w:top w:type="dxa" w:w="100"/>
              <w:left w:type="dxa" w:w="140"/>
              <w:bottom w:type="dxa" w:w="100"/>
              <w:right w:type="dxa" w:w="140"/>
            </w:tcMar>
            <w:vAlign w:val="center"/>
          </w:tcPr>
          <w:p>
            <w:pPr>
              <w:spacing w:before="60" w:after="60"/>
              <w:jc w:val="left"/>
            </w:pPr>
            <w:r>
              <w:rPr>
                <w:rFonts w:ascii="Arial" w:cs="Arial" w:eastAsia="Arial" w:hAnsi="Arial"/>
                <w:b w:val="false"/>
                <w:bCs w:val="false"/>
                <w:i w:val="false"/>
                <w:iCs w:val="false"/>
                <w:color w:val="111827"/>
                <w:sz w:val="18"/>
                <w:szCs w:val="18"/>
              </w:rPr>
              <w:t xml:space="preserve">None</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60" w:after="60"/>
              <w:jc w:val="left"/>
            </w:pPr>
            <w:r>
              <w:rPr>
                <w:rFonts w:ascii="Arial" w:cs="Arial" w:eastAsia="Arial" w:hAnsi="Arial"/>
                <w:b w:val="false"/>
                <w:bCs w:val="false"/>
                <w:i w:val="false"/>
                <w:iCs w:val="false"/>
                <w:color w:val="111827"/>
                <w:sz w:val="19"/>
                <w:szCs w:val="19"/>
              </w:rPr>
              <w:t xml:space="preserve">None (pre-departure)</w:t>
            </w:r>
          </w:p>
        </w:tc>
        <w:tc>
          <w:tcPr>
            <w:tcW w:type="dxa" w:w="1300"/>
            <w:tcBorders>
              <w:top w:val="single" w:color="DDDDDD" w:sz="1"/>
              <w:left w:val="single" w:color="DDDDDD" w:sz="1"/>
              <w:bottom w:val="single" w:color="DDDDDD" w:sz="1"/>
              <w:right w:val="single" w:color="DDDDDD" w:sz="1"/>
            </w:tcBorders>
            <w:shd w:fill="DBEAFE" w:val="clear"/>
            <w:tcMar>
              <w:top w:type="dxa" w:w="100"/>
              <w:left w:type="dxa" w:w="140"/>
              <w:bottom w:type="dxa" w:w="100"/>
              <w:right w:type="dxa" w:w="140"/>
            </w:tcMar>
            <w:vAlign w:val="center"/>
          </w:tcPr>
          <w:p>
            <w:pPr>
              <w:spacing w:before="60" w:after="60"/>
              <w:jc w:val="left"/>
            </w:pPr>
            <w:r>
              <w:rPr>
                <w:rFonts w:ascii="Arial" w:cs="Arial" w:eastAsia="Arial" w:hAnsi="Arial"/>
                <w:b w:val="false"/>
                <w:bCs w:val="false"/>
                <w:i w:val="false"/>
                <w:iCs w:val="false"/>
                <w:color w:val="111827"/>
                <w:sz w:val="18"/>
                <w:szCs w:val="18"/>
              </w:rPr>
              <w:t xml:space="preserve">Any age before travel</w:t>
            </w:r>
          </w:p>
        </w:tc>
      </w:tr>
      <w:tr>
        <w:tc>
          <w:tcPr>
            <w:tcW w:type="dxa" w:w="1700"/>
            <w:tcBorders>
              <w:top w:val="single" w:color="DDDDDD" w:sz="1"/>
              <w:left w:val="single" w:color="DDDDDD" w:sz="1"/>
              <w:bottom w:val="single" w:color="DDDDDD" w:sz="1"/>
              <w:right w:val="single" w:color="DDDDDD" w:sz="1"/>
            </w:tcBorders>
            <w:shd w:fill="FEF3C7" w:val="clear"/>
            <w:tcMar>
              <w:top w:type="dxa" w:w="100"/>
              <w:left w:type="dxa" w:w="140"/>
              <w:bottom w:type="dxa" w:w="100"/>
              <w:right w:type="dxa" w:w="140"/>
            </w:tcMar>
            <w:vAlign w:val="center"/>
          </w:tcPr>
          <w:p>
            <w:pPr>
              <w:spacing w:before="60" w:after="60"/>
              <w:jc w:val="left"/>
            </w:pPr>
            <w:r>
              <w:rPr>
                <w:rFonts w:ascii="Arial" w:cs="Arial" w:eastAsia="Arial" w:hAnsi="Arial"/>
                <w:b/>
                <w:bCs/>
                <w:i w:val="false"/>
                <w:iCs w:val="false"/>
                <w:color w:val="111827"/>
                <w:sz w:val="19"/>
                <w:szCs w:val="19"/>
              </w:rPr>
              <w:t xml:space="preserve">Property Insurance</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60" w:after="60"/>
              <w:jc w:val="left"/>
            </w:pPr>
            <w:r>
              <w:rPr>
                <w:rFonts w:ascii="Arial" w:cs="Arial" w:eastAsia="Arial" w:hAnsi="Arial"/>
                <w:b w:val="false"/>
                <w:bCs w:val="false"/>
                <w:i w:val="false"/>
                <w:iCs w:val="false"/>
                <w:color w:val="111827"/>
                <w:sz w:val="19"/>
                <w:szCs w:val="19"/>
              </w:rPr>
              <w:t xml:space="preserve">₹200</w:t>
            </w:r>
          </w:p>
        </w:tc>
        <w:tc>
          <w:tcPr>
            <w:tcW w:type="dxa" w:w="1200"/>
            <w:tcBorders>
              <w:top w:val="single" w:color="DDDDDD" w:sz="1"/>
              <w:left w:val="single" w:color="DDDDDD" w:sz="1"/>
              <w:bottom w:val="single" w:color="DDDDDD" w:sz="1"/>
              <w:right w:val="single" w:color="DDDDDD" w:sz="1"/>
            </w:tcBorders>
            <w:shd w:fill="FEF3C7" w:val="clear"/>
            <w:tcMar>
              <w:top w:type="dxa" w:w="100"/>
              <w:left w:type="dxa" w:w="140"/>
              <w:bottom w:type="dxa" w:w="100"/>
              <w:right w:type="dxa" w:w="140"/>
            </w:tcMar>
            <w:vAlign w:val="center"/>
          </w:tcPr>
          <w:p>
            <w:pPr>
              <w:spacing w:before="60" w:after="60"/>
              <w:jc w:val="left"/>
            </w:pPr>
            <w:r>
              <w:rPr>
                <w:rFonts w:ascii="Arial" w:cs="Arial" w:eastAsia="Arial" w:hAnsi="Arial"/>
                <w:b w:val="false"/>
                <w:bCs w:val="false"/>
                <w:i w:val="false"/>
                <w:iCs w:val="false"/>
                <w:color w:val="111827"/>
                <w:sz w:val="19"/>
                <w:szCs w:val="19"/>
              </w:rPr>
              <w:t xml:space="preserve">Full rebuild cost</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60" w:after="60"/>
              <w:jc w:val="left"/>
            </w:pPr>
            <w:r>
              <w:rPr>
                <w:rFonts w:ascii="Arial" w:cs="Arial" w:eastAsia="Arial" w:hAnsi="Arial"/>
                <w:b w:val="false"/>
                <w:bCs w:val="false"/>
                <w:i w:val="false"/>
                <w:iCs w:val="false"/>
                <w:color w:val="111827"/>
                <w:sz w:val="19"/>
                <w:szCs w:val="19"/>
              </w:rPr>
              <w:t xml:space="preserve">No</w:t>
            </w:r>
          </w:p>
        </w:tc>
        <w:tc>
          <w:tcPr>
            <w:tcW w:type="dxa" w:w="1460"/>
            <w:tcBorders>
              <w:top w:val="single" w:color="DDDDDD" w:sz="1"/>
              <w:left w:val="single" w:color="DDDDDD" w:sz="1"/>
              <w:bottom w:val="single" w:color="DDDDDD" w:sz="1"/>
              <w:right w:val="single" w:color="DDDDDD" w:sz="1"/>
            </w:tcBorders>
            <w:shd w:fill="FEF3C7" w:val="clear"/>
            <w:tcMar>
              <w:top w:type="dxa" w:w="100"/>
              <w:left w:type="dxa" w:w="140"/>
              <w:bottom w:type="dxa" w:w="100"/>
              <w:right w:type="dxa" w:w="140"/>
            </w:tcMar>
            <w:vAlign w:val="center"/>
          </w:tcPr>
          <w:p>
            <w:pPr>
              <w:spacing w:before="60" w:after="60"/>
              <w:jc w:val="left"/>
            </w:pPr>
            <w:r>
              <w:rPr>
                <w:rFonts w:ascii="Arial" w:cs="Arial" w:eastAsia="Arial" w:hAnsi="Arial"/>
                <w:b w:val="false"/>
                <w:bCs w:val="false"/>
                <w:i w:val="false"/>
                <w:iCs w:val="false"/>
                <w:color w:val="111827"/>
                <w:sz w:val="18"/>
                <w:szCs w:val="18"/>
              </w:rPr>
              <w:t xml:space="preserve">None</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60" w:after="60"/>
              <w:jc w:val="left"/>
            </w:pPr>
            <w:r>
              <w:rPr>
                <w:rFonts w:ascii="Arial" w:cs="Arial" w:eastAsia="Arial" w:hAnsi="Arial"/>
                <w:b w:val="false"/>
                <w:bCs w:val="false"/>
                <w:i w:val="false"/>
                <w:iCs w:val="false"/>
                <w:color w:val="111827"/>
                <w:sz w:val="19"/>
                <w:szCs w:val="19"/>
              </w:rPr>
              <w:t xml:space="preserve">None</w:t>
            </w:r>
          </w:p>
        </w:tc>
        <w:tc>
          <w:tcPr>
            <w:tcW w:type="dxa" w:w="1300"/>
            <w:tcBorders>
              <w:top w:val="single" w:color="DDDDDD" w:sz="1"/>
              <w:left w:val="single" w:color="DDDDDD" w:sz="1"/>
              <w:bottom w:val="single" w:color="DDDDDD" w:sz="1"/>
              <w:right w:val="single" w:color="DDDDDD" w:sz="1"/>
            </w:tcBorders>
            <w:shd w:fill="FEF3C7" w:val="clear"/>
            <w:tcMar>
              <w:top w:type="dxa" w:w="100"/>
              <w:left w:type="dxa" w:w="140"/>
              <w:bottom w:type="dxa" w:w="100"/>
              <w:right w:type="dxa" w:w="140"/>
            </w:tcMar>
            <w:vAlign w:val="center"/>
          </w:tcPr>
          <w:p>
            <w:pPr>
              <w:spacing w:before="60" w:after="60"/>
              <w:jc w:val="left"/>
            </w:pPr>
            <w:r>
              <w:rPr>
                <w:rFonts w:ascii="Arial" w:cs="Arial" w:eastAsia="Arial" w:hAnsi="Arial"/>
                <w:b w:val="false"/>
                <w:bCs w:val="false"/>
                <w:i w:val="false"/>
                <w:iCs w:val="false"/>
                <w:color w:val="111827"/>
                <w:sz w:val="18"/>
                <w:szCs w:val="18"/>
              </w:rPr>
              <w:t xml:space="preserve">At property purchase</w:t>
            </w:r>
          </w:p>
        </w:tc>
      </w:tr>
      <w:tr>
        <w:tc>
          <w:tcPr>
            <w:tcW w:type="dxa" w:w="1700"/>
            <w:tcBorders>
              <w:top w:val="single" w:color="DDDDDD" w:sz="1"/>
              <w:left w:val="single" w:color="DDDDDD" w:sz="1"/>
              <w:bottom w:val="single" w:color="DDDDDD" w:sz="1"/>
              <w:right w:val="single" w:color="DDDDDD" w:sz="1"/>
            </w:tcBorders>
            <w:shd w:fill="FEE2E2" w:val="clear"/>
            <w:tcMar>
              <w:top w:type="dxa" w:w="100"/>
              <w:left w:type="dxa" w:w="140"/>
              <w:bottom w:type="dxa" w:w="100"/>
              <w:right w:type="dxa" w:w="140"/>
            </w:tcMar>
            <w:vAlign w:val="center"/>
          </w:tcPr>
          <w:p>
            <w:pPr>
              <w:spacing w:before="60" w:after="60"/>
              <w:jc w:val="left"/>
            </w:pPr>
            <w:r>
              <w:rPr>
                <w:rFonts w:ascii="Arial" w:cs="Arial" w:eastAsia="Arial" w:hAnsi="Arial"/>
                <w:b/>
                <w:bCs/>
                <w:i w:val="false"/>
                <w:iCs w:val="false"/>
                <w:color w:val="111827"/>
                <w:sz w:val="19"/>
                <w:szCs w:val="19"/>
              </w:rPr>
              <w:t xml:space="preserve">Accident Insurance</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60" w:after="60"/>
              <w:jc w:val="left"/>
            </w:pPr>
            <w:r>
              <w:rPr>
                <w:rFonts w:ascii="Arial" w:cs="Arial" w:eastAsia="Arial" w:hAnsi="Arial"/>
                <w:b w:val="false"/>
                <w:bCs w:val="false"/>
                <w:i w:val="false"/>
                <w:iCs w:val="false"/>
                <w:color w:val="111827"/>
                <w:sz w:val="19"/>
                <w:szCs w:val="19"/>
              </w:rPr>
              <w:t xml:space="preserve">₹20</w:t>
            </w:r>
          </w:p>
        </w:tc>
        <w:tc>
          <w:tcPr>
            <w:tcW w:type="dxa" w:w="1200"/>
            <w:tcBorders>
              <w:top w:val="single" w:color="DDDDDD" w:sz="1"/>
              <w:left w:val="single" w:color="DDDDDD" w:sz="1"/>
              <w:bottom w:val="single" w:color="DDDDDD" w:sz="1"/>
              <w:right w:val="single" w:color="DDDDDD" w:sz="1"/>
            </w:tcBorders>
            <w:shd w:fill="FEE2E2" w:val="clear"/>
            <w:tcMar>
              <w:top w:type="dxa" w:w="100"/>
              <w:left w:type="dxa" w:w="140"/>
              <w:bottom w:type="dxa" w:w="100"/>
              <w:right w:type="dxa" w:w="140"/>
            </w:tcMar>
            <w:vAlign w:val="center"/>
          </w:tcPr>
          <w:p>
            <w:pPr>
              <w:spacing w:before="60" w:after="60"/>
              <w:jc w:val="left"/>
            </w:pPr>
            <w:r>
              <w:rPr>
                <w:rFonts w:ascii="Arial" w:cs="Arial" w:eastAsia="Arial" w:hAnsi="Arial"/>
                <w:b w:val="false"/>
                <w:bCs w:val="false"/>
                <w:i w:val="false"/>
                <w:iCs w:val="false"/>
                <w:color w:val="111827"/>
                <w:sz w:val="19"/>
                <w:szCs w:val="19"/>
              </w:rPr>
              <w:t xml:space="preserve">₹1 Crore</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60" w:after="60"/>
              <w:jc w:val="left"/>
            </w:pPr>
            <w:r>
              <w:rPr>
                <w:rFonts w:ascii="Arial" w:cs="Arial" w:eastAsia="Arial" w:hAnsi="Arial"/>
                <w:b w:val="false"/>
                <w:bCs w:val="false"/>
                <w:i w:val="false"/>
                <w:iCs w:val="false"/>
                <w:color w:val="111827"/>
                <w:sz w:val="19"/>
                <w:szCs w:val="19"/>
              </w:rPr>
              <w:t xml:space="preserve">No</w:t>
            </w:r>
          </w:p>
        </w:tc>
        <w:tc>
          <w:tcPr>
            <w:tcW w:type="dxa" w:w="1460"/>
            <w:tcBorders>
              <w:top w:val="single" w:color="DDDDDD" w:sz="1"/>
              <w:left w:val="single" w:color="DDDDDD" w:sz="1"/>
              <w:bottom w:val="single" w:color="DDDDDD" w:sz="1"/>
              <w:right w:val="single" w:color="DDDDDD" w:sz="1"/>
            </w:tcBorders>
            <w:shd w:fill="FEE2E2" w:val="clear"/>
            <w:tcMar>
              <w:top w:type="dxa" w:w="100"/>
              <w:left w:type="dxa" w:w="140"/>
              <w:bottom w:type="dxa" w:w="100"/>
              <w:right w:type="dxa" w:w="140"/>
            </w:tcMar>
            <w:vAlign w:val="center"/>
          </w:tcPr>
          <w:p>
            <w:pPr>
              <w:spacing w:before="60" w:after="60"/>
              <w:jc w:val="left"/>
            </w:pPr>
            <w:r>
              <w:rPr>
                <w:rFonts w:ascii="Arial" w:cs="Arial" w:eastAsia="Arial" w:hAnsi="Arial"/>
                <w:b w:val="false"/>
                <w:bCs w:val="false"/>
                <w:i w:val="false"/>
                <w:iCs w:val="false"/>
                <w:color w:val="111827"/>
                <w:sz w:val="18"/>
                <w:szCs w:val="18"/>
              </w:rPr>
              <w:t xml:space="preserve">80D if hospitalisation</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60" w:after="60"/>
              <w:jc w:val="left"/>
            </w:pPr>
            <w:r>
              <w:rPr>
                <w:rFonts w:ascii="Arial" w:cs="Arial" w:eastAsia="Arial" w:hAnsi="Arial"/>
                <w:b w:val="false"/>
                <w:bCs w:val="false"/>
                <w:i w:val="false"/>
                <w:iCs w:val="false"/>
                <w:color w:val="111827"/>
                <w:sz w:val="19"/>
                <w:szCs w:val="19"/>
              </w:rPr>
              <w:t xml:space="preserve">None (accidents)</w:t>
            </w:r>
          </w:p>
        </w:tc>
        <w:tc>
          <w:tcPr>
            <w:tcW w:type="dxa" w:w="1300"/>
            <w:tcBorders>
              <w:top w:val="single" w:color="DDDDDD" w:sz="1"/>
              <w:left w:val="single" w:color="DDDDDD" w:sz="1"/>
              <w:bottom w:val="single" w:color="DDDDDD" w:sz="1"/>
              <w:right w:val="single" w:color="DDDDDD" w:sz="1"/>
            </w:tcBorders>
            <w:shd w:fill="FEE2E2" w:val="clear"/>
            <w:tcMar>
              <w:top w:type="dxa" w:w="100"/>
              <w:left w:type="dxa" w:w="140"/>
              <w:bottom w:type="dxa" w:w="100"/>
              <w:right w:type="dxa" w:w="140"/>
            </w:tcMar>
            <w:vAlign w:val="center"/>
          </w:tcPr>
          <w:p>
            <w:pPr>
              <w:spacing w:before="60" w:after="60"/>
              <w:jc w:val="left"/>
            </w:pPr>
            <w:r>
              <w:rPr>
                <w:rFonts w:ascii="Arial" w:cs="Arial" w:eastAsia="Arial" w:hAnsi="Arial"/>
                <w:b w:val="false"/>
                <w:bCs w:val="false"/>
                <w:i w:val="false"/>
                <w:iCs w:val="false"/>
                <w:color w:val="111827"/>
                <w:sz w:val="18"/>
                <w:szCs w:val="18"/>
              </w:rPr>
              <w:t xml:space="preserve">Any working adult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
              <w:left w:val="single" w:color="0F766E" w:sz="1"/>
              <w:bottom w:val="single" w:color="0F766E" w:sz="1"/>
              <w:right w:val="single" w:color="0F766E" w:sz="1"/>
            </w:tcBorders>
            <w:shd w:fill="0F766E" w:val="clear"/>
            <w:tcMar>
              <w:top w:type="dxa" w:w="100"/>
              <w:left w:type="dxa" w:w="140"/>
              <w:bottom w:type="dxa" w:w="100"/>
              <w:right w:type="dxa" w:w="140"/>
            </w:tcMar>
            <w:vAlign w:val="center"/>
          </w:tcPr>
          <w:p>
            <w:pPr>
              <w:spacing w:before="60" w:after="60"/>
              <w:jc w:val="center"/>
            </w:pPr>
            <w:r>
              <w:rPr>
                <w:rFonts w:ascii="Arial" w:cs="Arial" w:eastAsia="Arial" w:hAnsi="Arial"/>
                <w:b/>
                <w:bCs/>
                <w:i w:val="false"/>
                <w:iCs w:val="false"/>
                <w:color w:val="FFFFFF"/>
                <w:sz w:val="30"/>
                <w:szCs w:val="30"/>
              </w:rPr>
              <w:t xml:space="preserve">SECTION 8 — CLAIM PROCEDURES 📋</w:t>
            </w:r>
          </w:p>
        </w:tc>
      </w:tr>
    </w:tbl>
    <w:p>
      <w:pPr>
        <w:spacing w:before="0" w:after="0"/>
      </w:pPr>
      <w:r>
        <w:rPr>
          <w:rFonts w:ascii="Arial" w:cs="Arial" w:eastAsia="Arial" w:hAnsi="Arial"/>
          <w:b w:val="false"/>
          <w:bCs w:val="false"/>
          <w:i w:val="false"/>
          <w:iCs w:val="false"/>
          <w:color w:val="111827"/>
          <w:sz w:val="22"/>
          <w:szCs w:val="22"/>
        </w:rPr>
        <w:t xml:space="preserve"/>
      </w:r>
    </w:p>
    <w:p>
      <w:pPr>
        <w:pStyle w:val="Heading1"/>
        <w:pBdr>
          <w:bottom w:val="single" w:color="0F766E" w:sz="8" w:space="2"/>
        </w:pBdr>
        <w:spacing w:before="320" w:after="160"/>
      </w:pPr>
      <w:r>
        <w:rPr>
          <w:rFonts w:ascii="Arial" w:cs="Arial" w:eastAsia="Arial" w:hAnsi="Arial"/>
          <w:b/>
          <w:bCs/>
          <w:color w:val="0F766E"/>
          <w:sz w:val="36"/>
          <w:szCs w:val="36"/>
        </w:rPr>
        <w:t xml:space="preserve">8. How to File an Insurance Claim</w:t>
      </w:r>
    </w:p>
    <w:p>
      <w:pPr>
        <w:pStyle w:val="Heading2"/>
        <w:spacing w:before="240" w:after="120"/>
      </w:pPr>
      <w:r>
        <w:rPr>
          <w:rFonts w:ascii="Arial" w:cs="Arial" w:eastAsia="Arial" w:hAnsi="Arial"/>
          <w:b/>
          <w:bCs/>
          <w:color w:val="2563EB"/>
          <w:sz w:val="28"/>
          <w:szCs w:val="28"/>
        </w:rPr>
        <w:t xml:space="preserve">8.1  Health Insurance Claim Process</w:t>
      </w:r>
    </w:p>
    <w:p>
      <w:pPr>
        <w:pStyle w:val="Heading3"/>
        <w:spacing w:before="180" w:after="80"/>
      </w:pPr>
      <w:r>
        <w:rPr>
          <w:rFonts w:ascii="Arial" w:cs="Arial" w:eastAsia="Arial" w:hAnsi="Arial"/>
          <w:b/>
          <w:bCs/>
          <w:color w:val="0F766E"/>
          <w:sz w:val="24"/>
          <w:szCs w:val="24"/>
        </w:rPr>
        <w:t xml:space="preserve">Cashless Hospitalisation (Recommended)</w:t>
      </w:r>
    </w:p>
    <w:p>
      <w:pPr>
        <w:pStyle w:val="ListParagraph"/>
        <w:numPr>
          <w:ilvl w:val="0"/>
          <w:numId w:val="4"/>
        </w:numPr>
        <w:spacing w:before="40" w:after="40"/>
      </w:pPr>
      <w:r>
        <w:rPr>
          <w:rFonts w:ascii="Arial" w:cs="Arial" w:eastAsia="Arial" w:hAnsi="Arial"/>
          <w:b w:val="false"/>
          <w:bCs w:val="false"/>
          <w:i w:val="false"/>
          <w:iCs w:val="false"/>
          <w:color w:val="111827"/>
          <w:sz w:val="21"/>
          <w:szCs w:val="21"/>
        </w:rPr>
        <w:t xml:space="preserve">Inform your insurer / TPA 24–48 hours before planned hospitalisation (4 hours for emergency)</w:t>
      </w:r>
    </w:p>
    <w:p>
      <w:pPr>
        <w:pStyle w:val="ListParagraph"/>
        <w:numPr>
          <w:ilvl w:val="0"/>
          <w:numId w:val="4"/>
        </w:numPr>
        <w:spacing w:before="40" w:after="40"/>
      </w:pPr>
      <w:r>
        <w:rPr>
          <w:rFonts w:ascii="Arial" w:cs="Arial" w:eastAsia="Arial" w:hAnsi="Arial"/>
          <w:b w:val="false"/>
          <w:bCs w:val="false"/>
          <w:i w:val="false"/>
          <w:iCs w:val="false"/>
          <w:color w:val="111827"/>
          <w:sz w:val="21"/>
          <w:szCs w:val="21"/>
        </w:rPr>
        <w:t xml:space="preserve">Hospital sends pre-authorisation form to insurer via TPA</w:t>
      </w:r>
    </w:p>
    <w:p>
      <w:pPr>
        <w:pStyle w:val="ListParagraph"/>
        <w:numPr>
          <w:ilvl w:val="0"/>
          <w:numId w:val="4"/>
        </w:numPr>
        <w:spacing w:before="40" w:after="40"/>
      </w:pPr>
      <w:r>
        <w:rPr>
          <w:rFonts w:ascii="Arial" w:cs="Arial" w:eastAsia="Arial" w:hAnsi="Arial"/>
          <w:b w:val="false"/>
          <w:bCs w:val="false"/>
          <w:i w:val="false"/>
          <w:iCs w:val="false"/>
          <w:color w:val="111827"/>
          <w:sz w:val="21"/>
          <w:szCs w:val="21"/>
        </w:rPr>
        <w:t xml:space="preserve">Insurer approves coverage amount (usually within 2–4 hours)</w:t>
      </w:r>
    </w:p>
    <w:p>
      <w:pPr>
        <w:pStyle w:val="ListParagraph"/>
        <w:numPr>
          <w:ilvl w:val="0"/>
          <w:numId w:val="4"/>
        </w:numPr>
        <w:spacing w:before="40" w:after="40"/>
      </w:pPr>
      <w:r>
        <w:rPr>
          <w:rFonts w:ascii="Arial" w:cs="Arial" w:eastAsia="Arial" w:hAnsi="Arial"/>
          <w:b w:val="false"/>
          <w:bCs w:val="false"/>
          <w:i w:val="false"/>
          <w:iCs w:val="false"/>
          <w:color w:val="111827"/>
          <w:sz w:val="21"/>
          <w:szCs w:val="21"/>
        </w:rPr>
        <w:t xml:space="preserve">Get treated — hospital bills insurer directly</w:t>
      </w:r>
    </w:p>
    <w:p>
      <w:pPr>
        <w:pStyle w:val="ListParagraph"/>
        <w:numPr>
          <w:ilvl w:val="0"/>
          <w:numId w:val="4"/>
        </w:numPr>
        <w:spacing w:before="40" w:after="40"/>
      </w:pPr>
      <w:r>
        <w:rPr>
          <w:rFonts w:ascii="Arial" w:cs="Arial" w:eastAsia="Arial" w:hAnsi="Arial"/>
          <w:b w:val="false"/>
          <w:bCs w:val="false"/>
          <w:i w:val="false"/>
          <w:iCs w:val="false"/>
          <w:color w:val="111827"/>
          <w:sz w:val="21"/>
          <w:szCs w:val="21"/>
        </w:rPr>
        <w:t xml:space="preserve">Pay only non-covered/co-payment amounts at discharge</w:t>
      </w:r>
    </w:p>
    <w:p>
      <w:pPr>
        <w:pStyle w:val="ListParagraph"/>
        <w:numPr>
          <w:ilvl w:val="0"/>
          <w:numId w:val="4"/>
        </w:numPr>
        <w:spacing w:before="40" w:after="40"/>
      </w:pPr>
      <w:r>
        <w:rPr>
          <w:rFonts w:ascii="Arial" w:cs="Arial" w:eastAsia="Arial" w:hAnsi="Arial"/>
          <w:b w:val="false"/>
          <w:bCs w:val="false"/>
          <w:i w:val="false"/>
          <w:iCs w:val="false"/>
          <w:color w:val="111827"/>
          <w:sz w:val="21"/>
          <w:szCs w:val="21"/>
        </w:rPr>
        <w:t xml:space="preserve">Keep all discharge summary, bills, prescriptions</w:t>
      </w:r>
    </w:p>
    <w:p>
      <w:pPr>
        <w:spacing w:before="0" w:after="0"/>
      </w:pPr>
      <w:r>
        <w:rPr>
          <w:rFonts w:ascii="Arial" w:cs="Arial" w:eastAsia="Arial" w:hAnsi="Arial"/>
          <w:b w:val="false"/>
          <w:bCs w:val="false"/>
          <w:i w:val="false"/>
          <w:iCs w:val="false"/>
          <w:color w:val="111827"/>
          <w:sz w:val="22"/>
          <w:szCs w:val="22"/>
        </w:rPr>
        <w:t xml:space="preserve"/>
      </w:r>
    </w:p>
    <w:p>
      <w:pPr>
        <w:pStyle w:val="Heading3"/>
        <w:spacing w:before="180" w:after="80"/>
      </w:pPr>
      <w:r>
        <w:rPr>
          <w:rFonts w:ascii="Arial" w:cs="Arial" w:eastAsia="Arial" w:hAnsi="Arial"/>
          <w:b/>
          <w:bCs/>
          <w:color w:val="0F766E"/>
          <w:sz w:val="24"/>
          <w:szCs w:val="24"/>
        </w:rPr>
        <w:t xml:space="preserve">Reimbursement Claim (Non-Network Hospital)</w:t>
      </w:r>
    </w:p>
    <w:p>
      <w:pPr>
        <w:pStyle w:val="ListParagraph"/>
        <w:numPr>
          <w:ilvl w:val="0"/>
          <w:numId w:val="4"/>
        </w:numPr>
        <w:spacing w:before="40" w:after="40"/>
      </w:pPr>
      <w:r>
        <w:rPr>
          <w:rFonts w:ascii="Arial" w:cs="Arial" w:eastAsia="Arial" w:hAnsi="Arial"/>
          <w:b w:val="false"/>
          <w:bCs w:val="false"/>
          <w:i w:val="false"/>
          <w:iCs w:val="false"/>
          <w:color w:val="111827"/>
          <w:sz w:val="21"/>
          <w:szCs w:val="21"/>
        </w:rPr>
        <w:t xml:space="preserve">Pay hospital bills out of pocket</w:t>
      </w:r>
    </w:p>
    <w:p>
      <w:pPr>
        <w:pStyle w:val="ListParagraph"/>
        <w:numPr>
          <w:ilvl w:val="0"/>
          <w:numId w:val="4"/>
        </w:numPr>
        <w:spacing w:before="40" w:after="40"/>
      </w:pPr>
      <w:r>
        <w:rPr>
          <w:rFonts w:ascii="Arial" w:cs="Arial" w:eastAsia="Arial" w:hAnsi="Arial"/>
          <w:b w:val="false"/>
          <w:bCs w:val="false"/>
          <w:i w:val="false"/>
          <w:iCs w:val="false"/>
          <w:color w:val="111827"/>
          <w:sz w:val="21"/>
          <w:szCs w:val="21"/>
        </w:rPr>
        <w:t xml:space="preserve">Collect all original bills, reports, prescriptions, discharge summary</w:t>
      </w:r>
    </w:p>
    <w:p>
      <w:pPr>
        <w:pStyle w:val="ListParagraph"/>
        <w:numPr>
          <w:ilvl w:val="0"/>
          <w:numId w:val="4"/>
        </w:numPr>
        <w:spacing w:before="40" w:after="40"/>
      </w:pPr>
      <w:r>
        <w:rPr>
          <w:rFonts w:ascii="Arial" w:cs="Arial" w:eastAsia="Arial" w:hAnsi="Arial"/>
          <w:b w:val="false"/>
          <w:bCs w:val="false"/>
          <w:i w:val="false"/>
          <w:iCs w:val="false"/>
          <w:color w:val="111827"/>
          <w:sz w:val="21"/>
          <w:szCs w:val="21"/>
        </w:rPr>
        <w:t xml:space="preserve">Submit claim form + documents to insurer within 15–30 days of discharge</w:t>
      </w:r>
    </w:p>
    <w:p>
      <w:pPr>
        <w:pStyle w:val="ListParagraph"/>
        <w:numPr>
          <w:ilvl w:val="0"/>
          <w:numId w:val="4"/>
        </w:numPr>
        <w:spacing w:before="40" w:after="40"/>
      </w:pPr>
      <w:r>
        <w:rPr>
          <w:rFonts w:ascii="Arial" w:cs="Arial" w:eastAsia="Arial" w:hAnsi="Arial"/>
          <w:b w:val="false"/>
          <w:bCs w:val="false"/>
          <w:i w:val="false"/>
          <w:iCs w:val="false"/>
          <w:color w:val="111827"/>
          <w:sz w:val="21"/>
          <w:szCs w:val="21"/>
        </w:rPr>
        <w:t xml:space="preserve">Insurer verifies and settles within 7–30 days</w:t>
      </w:r>
    </w:p>
    <w:p>
      <w:pPr>
        <w:spacing w:before="0" w:after="0"/>
      </w:pPr>
      <w:r>
        <w:rPr>
          <w:rFonts w:ascii="Arial" w:cs="Arial" w:eastAsia="Arial" w:hAnsi="Arial"/>
          <w:b w:val="false"/>
          <w:bCs w:val="false"/>
          <w:i w:val="false"/>
          <w:iCs w:val="false"/>
          <w:color w:val="111827"/>
          <w:sz w:val="22"/>
          <w:szCs w:val="22"/>
        </w:rPr>
        <w:t xml:space="preserve"/>
      </w:r>
    </w:p>
    <w:p>
      <w:pPr>
        <w:pStyle w:val="Heading2"/>
        <w:spacing w:before="240" w:after="120"/>
      </w:pPr>
      <w:r>
        <w:rPr>
          <w:rFonts w:ascii="Arial" w:cs="Arial" w:eastAsia="Arial" w:hAnsi="Arial"/>
          <w:b/>
          <w:bCs/>
          <w:color w:val="2563EB"/>
          <w:sz w:val="28"/>
          <w:szCs w:val="28"/>
        </w:rPr>
        <w:t xml:space="preserve">8.2  Life Insurance Claim Process</w:t>
      </w:r>
    </w:p>
    <w:p>
      <w:pPr>
        <w:pStyle w:val="ListParagraph"/>
        <w:numPr>
          <w:ilvl w:val="0"/>
          <w:numId w:val="2"/>
        </w:numPr>
        <w:spacing w:before="40" w:after="40"/>
      </w:pPr>
      <w:r>
        <w:rPr>
          <w:rFonts w:ascii="Arial" w:cs="Arial" w:eastAsia="Arial" w:hAnsi="Arial"/>
          <w:b w:val="false"/>
          <w:bCs w:val="false"/>
          <w:i w:val="false"/>
          <w:iCs w:val="false"/>
          <w:color w:val="111827"/>
          <w:sz w:val="21"/>
          <w:szCs w:val="21"/>
        </w:rPr>
        <w:t xml:space="preserve">Death Claim: Nominee submits death certificate, policy document, claim form, medical records</w:t>
      </w:r>
    </w:p>
    <w:p>
      <w:pPr>
        <w:pStyle w:val="ListParagraph"/>
        <w:numPr>
          <w:ilvl w:val="0"/>
          <w:numId w:val="2"/>
        </w:numPr>
        <w:spacing w:before="40" w:after="40"/>
      </w:pPr>
      <w:r>
        <w:rPr>
          <w:rFonts w:ascii="Arial" w:cs="Arial" w:eastAsia="Arial" w:hAnsi="Arial"/>
          <w:b w:val="false"/>
          <w:bCs w:val="false"/>
          <w:i w:val="false"/>
          <w:iCs w:val="false"/>
          <w:color w:val="111827"/>
          <w:sz w:val="21"/>
          <w:szCs w:val="21"/>
        </w:rPr>
        <w:t xml:space="preserve">Disability Claim: Submit disability certificate from government-authorised medical board</w:t>
      </w:r>
    </w:p>
    <w:p>
      <w:pPr>
        <w:pStyle w:val="ListParagraph"/>
        <w:numPr>
          <w:ilvl w:val="0"/>
          <w:numId w:val="2"/>
        </w:numPr>
        <w:spacing w:before="40" w:after="40"/>
      </w:pPr>
      <w:r>
        <w:rPr>
          <w:rFonts w:ascii="Arial" w:cs="Arial" w:eastAsia="Arial" w:hAnsi="Arial"/>
          <w:b w:val="false"/>
          <w:bCs w:val="false"/>
          <w:i w:val="false"/>
          <w:iCs w:val="false"/>
          <w:color w:val="111827"/>
          <w:sz w:val="21"/>
          <w:szCs w:val="21"/>
        </w:rPr>
        <w:t xml:space="preserve">Maturity Claim: Policy document + ID proof + bank account details — insurer initiates automatically</w:t>
      </w:r>
    </w:p>
    <w:p>
      <w:pPr>
        <w:pStyle w:val="ListParagraph"/>
        <w:numPr>
          <w:ilvl w:val="0"/>
          <w:numId w:val="2"/>
        </w:numPr>
        <w:spacing w:before="40" w:after="40"/>
      </w:pPr>
      <w:r>
        <w:rPr>
          <w:rFonts w:ascii="Arial" w:cs="Arial" w:eastAsia="Arial" w:hAnsi="Arial"/>
          <w:b w:val="false"/>
          <w:bCs w:val="false"/>
          <w:i w:val="false"/>
          <w:iCs w:val="false"/>
          <w:color w:val="111827"/>
          <w:sz w:val="21"/>
          <w:szCs w:val="21"/>
        </w:rPr>
        <w:t xml:space="preserve">Timeline: Insurer must settle death claims within 30 days of receiving all documents</w:t>
      </w:r>
    </w:p>
    <w:p>
      <w:pPr>
        <w:spacing w:before="0" w:after="0"/>
      </w:pPr>
      <w:r>
        <w:rPr>
          <w:rFonts w:ascii="Arial" w:cs="Arial" w:eastAsia="Arial" w:hAnsi="Arial"/>
          <w:b w:val="false"/>
          <w:bCs w:val="false"/>
          <w:i w:val="false"/>
          <w:iCs w:val="false"/>
          <w:color w:val="111827"/>
          <w:sz w:val="22"/>
          <w:szCs w:val="22"/>
        </w:rPr>
        <w:t xml:space="preserve"/>
      </w:r>
    </w:p>
    <w:p>
      <w:pPr>
        <w:pStyle w:val="Heading2"/>
        <w:spacing w:before="240" w:after="120"/>
      </w:pPr>
      <w:r>
        <w:rPr>
          <w:rFonts w:ascii="Arial" w:cs="Arial" w:eastAsia="Arial" w:hAnsi="Arial"/>
          <w:b/>
          <w:bCs/>
          <w:color w:val="2563EB"/>
          <w:sz w:val="28"/>
          <w:szCs w:val="28"/>
        </w:rPr>
        <w:t xml:space="preserve">8.3  Vehicle Insurance Claim Process</w:t>
      </w:r>
    </w:p>
    <w:p>
      <w:pPr>
        <w:pStyle w:val="ListParagraph"/>
        <w:numPr>
          <w:ilvl w:val="0"/>
          <w:numId w:val="4"/>
        </w:numPr>
        <w:spacing w:before="40" w:after="40"/>
      </w:pPr>
      <w:r>
        <w:rPr>
          <w:rFonts w:ascii="Arial" w:cs="Arial" w:eastAsia="Arial" w:hAnsi="Arial"/>
          <w:b w:val="false"/>
          <w:bCs w:val="false"/>
          <w:i w:val="false"/>
          <w:iCs w:val="false"/>
          <w:color w:val="111827"/>
          <w:sz w:val="21"/>
          <w:szCs w:val="21"/>
        </w:rPr>
        <w:t xml:space="preserve">Report accident to police (mandatory if third-party injury or death)</w:t>
      </w:r>
    </w:p>
    <w:p>
      <w:pPr>
        <w:pStyle w:val="ListParagraph"/>
        <w:numPr>
          <w:ilvl w:val="0"/>
          <w:numId w:val="4"/>
        </w:numPr>
        <w:spacing w:before="40" w:after="40"/>
      </w:pPr>
      <w:r>
        <w:rPr>
          <w:rFonts w:ascii="Arial" w:cs="Arial" w:eastAsia="Arial" w:hAnsi="Arial"/>
          <w:b w:val="false"/>
          <w:bCs w:val="false"/>
          <w:i w:val="false"/>
          <w:iCs w:val="false"/>
          <w:color w:val="111827"/>
          <w:sz w:val="21"/>
          <w:szCs w:val="21"/>
        </w:rPr>
        <w:t xml:space="preserve">Intimate insurer within 24–48 hours via app, call centre, or website</w:t>
      </w:r>
    </w:p>
    <w:p>
      <w:pPr>
        <w:pStyle w:val="ListParagraph"/>
        <w:numPr>
          <w:ilvl w:val="0"/>
          <w:numId w:val="4"/>
        </w:numPr>
        <w:spacing w:before="40" w:after="40"/>
      </w:pPr>
      <w:r>
        <w:rPr>
          <w:rFonts w:ascii="Arial" w:cs="Arial" w:eastAsia="Arial" w:hAnsi="Arial"/>
          <w:b w:val="false"/>
          <w:bCs w:val="false"/>
          <w:i w:val="false"/>
          <w:iCs w:val="false"/>
          <w:color w:val="111827"/>
          <w:sz w:val="21"/>
          <w:szCs w:val="21"/>
        </w:rPr>
        <w:t xml:space="preserve">Surveyor visits and assesses damage</w:t>
      </w:r>
    </w:p>
    <w:p>
      <w:pPr>
        <w:pStyle w:val="ListParagraph"/>
        <w:numPr>
          <w:ilvl w:val="0"/>
          <w:numId w:val="4"/>
        </w:numPr>
        <w:spacing w:before="40" w:after="40"/>
      </w:pPr>
      <w:r>
        <w:rPr>
          <w:rFonts w:ascii="Arial" w:cs="Arial" w:eastAsia="Arial" w:hAnsi="Arial"/>
          <w:b w:val="false"/>
          <w:bCs w:val="false"/>
          <w:i w:val="false"/>
          <w:iCs w:val="false"/>
          <w:color w:val="111827"/>
          <w:sz w:val="21"/>
          <w:szCs w:val="21"/>
        </w:rPr>
        <w:t xml:space="preserve">Vehicle taken to network garage for cashless repair, OR</w:t>
      </w:r>
    </w:p>
    <w:p>
      <w:pPr>
        <w:pStyle w:val="ListParagraph"/>
        <w:numPr>
          <w:ilvl w:val="0"/>
          <w:numId w:val="4"/>
        </w:numPr>
        <w:spacing w:before="40" w:after="40"/>
      </w:pPr>
      <w:r>
        <w:rPr>
          <w:rFonts w:ascii="Arial" w:cs="Arial" w:eastAsia="Arial" w:hAnsi="Arial"/>
          <w:b w:val="false"/>
          <w:bCs w:val="false"/>
          <w:i w:val="false"/>
          <w:iCs w:val="false"/>
          <w:color w:val="111827"/>
          <w:sz w:val="21"/>
          <w:szCs w:val="21"/>
        </w:rPr>
        <w:t xml:space="preserve">Get repaired at own garage — submit bills for reimbursement</w:t>
      </w:r>
    </w:p>
    <w:p>
      <w:pPr>
        <w:pStyle w:val="ListParagraph"/>
        <w:numPr>
          <w:ilvl w:val="0"/>
          <w:numId w:val="4"/>
        </w:numPr>
        <w:spacing w:before="40" w:after="40"/>
      </w:pPr>
      <w:r>
        <w:rPr>
          <w:rFonts w:ascii="Arial" w:cs="Arial" w:eastAsia="Arial" w:hAnsi="Arial"/>
          <w:b w:val="false"/>
          <w:bCs w:val="false"/>
          <w:i w:val="false"/>
          <w:iCs w:val="false"/>
          <w:color w:val="111827"/>
          <w:sz w:val="21"/>
          <w:szCs w:val="21"/>
        </w:rPr>
        <w:t xml:space="preserve">For total loss: IDV minus depreciation minus salvage value paid</w:t>
      </w:r>
    </w:p>
    <w:p>
      <w:pPr>
        <w:spacing w:before="0" w:after="0"/>
      </w:pPr>
      <w:r>
        <w:rPr>
          <w:rFonts w:ascii="Arial" w:cs="Arial" w:eastAsia="Arial" w:hAnsi="Arial"/>
          <w:b w:val="false"/>
          <w:bCs w:val="false"/>
          <w:i w:val="false"/>
          <w:iCs w:val="false"/>
          <w:color w:val="111827"/>
          <w:sz w:val="22"/>
          <w:szCs w:val="22"/>
        </w:rPr>
        <w:t xml:space="preserve"/>
      </w:r>
    </w:p>
    <w:p>
      <w:pPr>
        <w:pStyle w:val="Heading2"/>
        <w:spacing w:before="240" w:after="120"/>
      </w:pPr>
      <w:r>
        <w:rPr>
          <w:rFonts w:ascii="Arial" w:cs="Arial" w:eastAsia="Arial" w:hAnsi="Arial"/>
          <w:b/>
          <w:bCs/>
          <w:color w:val="2563EB"/>
          <w:sz w:val="28"/>
          <w:szCs w:val="28"/>
        </w:rPr>
        <w:t xml:space="preserve">8.4  Key Documents for All Claims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CCEE" w:sz="1"/>
              <w:left w:val="single" w:color="AACCEE" w:sz="1"/>
              <w:bottom w:val="single" w:color="AACCEE" w:sz="1"/>
              <w:right w:val="single" w:color="AACCEE" w:sz="1"/>
            </w:tcBorders>
            <w:shd w:fill="1B3A6B" w:val="clear"/>
            <w:tcMar>
              <w:top w:type="dxa" w:w="100"/>
              <w:left w:type="dxa" w:w="140"/>
              <w:bottom w:type="dxa" w:w="100"/>
              <w:right w:type="dxa" w:w="140"/>
            </w:tcMar>
            <w:vAlign w:val="center"/>
          </w:tcPr>
          <w:p>
            <w:pPr>
              <w:spacing w:before="60" w:after="60"/>
              <w:jc w:val="left"/>
            </w:pPr>
            <w:r>
              <w:rPr>
                <w:rFonts w:ascii="Arial" w:cs="Arial" w:eastAsia="Arial" w:hAnsi="Arial"/>
                <w:b/>
                <w:bCs/>
                <w:i w:val="false"/>
                <w:iCs w:val="false"/>
                <w:color w:val="FFFFFF"/>
                <w:sz w:val="20"/>
                <w:szCs w:val="20"/>
              </w:rPr>
              <w:t xml:space="preserve">Insurance Type</w:t>
            </w:r>
          </w:p>
        </w:tc>
        <w:tc>
          <w:tcPr>
            <w:tcW w:type="dxa" w:w="65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spacing w:before="60" w:after="60"/>
              <w:jc w:val="left"/>
            </w:pPr>
            <w:r>
              <w:rPr>
                <w:rFonts w:ascii="Arial" w:cs="Arial" w:eastAsia="Arial" w:hAnsi="Arial"/>
                <w:b w:val="false"/>
                <w:bCs w:val="false"/>
                <w:i w:val="false"/>
                <w:iCs w:val="false"/>
                <w:color w:val="111827"/>
                <w:sz w:val="20"/>
                <w:szCs w:val="20"/>
              </w:rPr>
              <w:t xml:space="preserve">Key Documents Required</w:t>
            </w:r>
          </w:p>
        </w:tc>
      </w:tr>
      <w:tr>
        <w:tc>
          <w:tcPr>
            <w:tcW w:type="dxa" w:w="2800"/>
            <w:tcBorders>
              <w:top w:val="single" w:color="AACCEE" w:sz="1"/>
              <w:left w:val="single" w:color="AACCEE" w:sz="1"/>
              <w:bottom w:val="single" w:color="AACCEE" w:sz="1"/>
              <w:right w:val="single" w:color="AACCEE" w:sz="1"/>
            </w:tcBorders>
            <w:shd w:fill="DBEAFE" w:val="clear"/>
            <w:tcMar>
              <w:top w:type="dxa" w:w="100"/>
              <w:left w:type="dxa" w:w="140"/>
              <w:bottom w:type="dxa" w:w="100"/>
              <w:right w:type="dxa" w:w="140"/>
            </w:tcMar>
            <w:vAlign w:val="center"/>
          </w:tcPr>
          <w:p>
            <w:pPr>
              <w:spacing w:before="60" w:after="60"/>
              <w:jc w:val="left"/>
            </w:pPr>
            <w:r>
              <w:rPr>
                <w:rFonts w:ascii="Arial" w:cs="Arial" w:eastAsia="Arial" w:hAnsi="Arial"/>
                <w:b/>
                <w:bCs/>
                <w:i w:val="false"/>
                <w:iCs w:val="false"/>
                <w:color w:val="1B3A6B"/>
                <w:sz w:val="20"/>
                <w:szCs w:val="20"/>
              </w:rPr>
              <w:t xml:space="preserve">Health Insurance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60" w:after="60"/>
              <w:jc w:val="left"/>
            </w:pPr>
            <w:r>
              <w:rPr>
                <w:rFonts w:ascii="Arial" w:cs="Arial" w:eastAsia="Arial" w:hAnsi="Arial"/>
                <w:b w:val="false"/>
                <w:bCs w:val="false"/>
                <w:i w:val="false"/>
                <w:iCs w:val="false"/>
                <w:color w:val="111827"/>
                <w:sz w:val="20"/>
                <w:szCs w:val="20"/>
              </w:rPr>
              <w:t xml:space="preserve">Claim form, hospital bills, discharge summary, lab reports, doctor prescription, KYC, cancelled cheque</w:t>
            </w:r>
          </w:p>
        </w:tc>
      </w:tr>
      <w:tr>
        <w:tc>
          <w:tcPr>
            <w:tcW w:type="dxa" w:w="2800"/>
            <w:tcBorders>
              <w:top w:val="single" w:color="AACCEE" w:sz="1"/>
              <w:left w:val="single" w:color="AACCEE" w:sz="1"/>
              <w:bottom w:val="single" w:color="AACCEE" w:sz="1"/>
              <w:right w:val="single" w:color="AACCEE" w:sz="1"/>
            </w:tcBorders>
            <w:shd w:fill="DBEAFE" w:val="clear"/>
            <w:tcMar>
              <w:top w:type="dxa" w:w="100"/>
              <w:left w:type="dxa" w:w="140"/>
              <w:bottom w:type="dxa" w:w="100"/>
              <w:right w:type="dxa" w:w="140"/>
            </w:tcMar>
            <w:vAlign w:val="center"/>
          </w:tcPr>
          <w:p>
            <w:pPr>
              <w:spacing w:before="60" w:after="60"/>
              <w:jc w:val="left"/>
            </w:pPr>
            <w:r>
              <w:rPr>
                <w:rFonts w:ascii="Arial" w:cs="Arial" w:eastAsia="Arial" w:hAnsi="Arial"/>
                <w:b/>
                <w:bCs/>
                <w:i w:val="false"/>
                <w:iCs w:val="false"/>
                <w:color w:val="1B3A6B"/>
                <w:sz w:val="20"/>
                <w:szCs w:val="20"/>
              </w:rPr>
              <w:t xml:space="preserve">Life Insurance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60" w:after="60"/>
              <w:jc w:val="left"/>
            </w:pPr>
            <w:r>
              <w:rPr>
                <w:rFonts w:ascii="Arial" w:cs="Arial" w:eastAsia="Arial" w:hAnsi="Arial"/>
                <w:b w:val="false"/>
                <w:bCs w:val="false"/>
                <w:i w:val="false"/>
                <w:iCs w:val="false"/>
                <w:color w:val="111827"/>
                <w:sz w:val="20"/>
                <w:szCs w:val="20"/>
              </w:rPr>
              <w:t xml:space="preserve">Death certificate, policy bond, claimant's statement, identity/address proof, bank details, FIR if accidental</w:t>
            </w:r>
          </w:p>
        </w:tc>
      </w:tr>
      <w:tr>
        <w:tc>
          <w:tcPr>
            <w:tcW w:type="dxa" w:w="2800"/>
            <w:tcBorders>
              <w:top w:val="single" w:color="AACCEE" w:sz="1"/>
              <w:left w:val="single" w:color="AACCEE" w:sz="1"/>
              <w:bottom w:val="single" w:color="AACCEE" w:sz="1"/>
              <w:right w:val="single" w:color="AACCEE" w:sz="1"/>
            </w:tcBorders>
            <w:shd w:fill="DBEAFE" w:val="clear"/>
            <w:tcMar>
              <w:top w:type="dxa" w:w="100"/>
              <w:left w:type="dxa" w:w="140"/>
              <w:bottom w:type="dxa" w:w="100"/>
              <w:right w:type="dxa" w:w="140"/>
            </w:tcMar>
            <w:vAlign w:val="center"/>
          </w:tcPr>
          <w:p>
            <w:pPr>
              <w:spacing w:before="60" w:after="60"/>
              <w:jc w:val="left"/>
            </w:pPr>
            <w:r>
              <w:rPr>
                <w:rFonts w:ascii="Arial" w:cs="Arial" w:eastAsia="Arial" w:hAnsi="Arial"/>
                <w:b/>
                <w:bCs/>
                <w:i w:val="false"/>
                <w:iCs w:val="false"/>
                <w:color w:val="1B3A6B"/>
                <w:sz w:val="20"/>
                <w:szCs w:val="20"/>
              </w:rPr>
              <w:t xml:space="preserve">Vehicle Insurance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60" w:after="60"/>
              <w:jc w:val="left"/>
            </w:pPr>
            <w:r>
              <w:rPr>
                <w:rFonts w:ascii="Arial" w:cs="Arial" w:eastAsia="Arial" w:hAnsi="Arial"/>
                <w:b w:val="false"/>
                <w:bCs w:val="false"/>
                <w:i w:val="false"/>
                <w:iCs w:val="false"/>
                <w:color w:val="111827"/>
                <w:sz w:val="20"/>
                <w:szCs w:val="20"/>
              </w:rPr>
              <w:t xml:space="preserve">Claim form, RC book, DL, FIR (if theft/third party), repair bills, surveyor report</w:t>
            </w:r>
          </w:p>
        </w:tc>
      </w:tr>
      <w:tr>
        <w:tc>
          <w:tcPr>
            <w:tcW w:type="dxa" w:w="2800"/>
            <w:tcBorders>
              <w:top w:val="single" w:color="AACCEE" w:sz="1"/>
              <w:left w:val="single" w:color="AACCEE" w:sz="1"/>
              <w:bottom w:val="single" w:color="AACCEE" w:sz="1"/>
              <w:right w:val="single" w:color="AACCEE" w:sz="1"/>
            </w:tcBorders>
            <w:shd w:fill="DBEAFE" w:val="clear"/>
            <w:tcMar>
              <w:top w:type="dxa" w:w="100"/>
              <w:left w:type="dxa" w:w="140"/>
              <w:bottom w:type="dxa" w:w="100"/>
              <w:right w:type="dxa" w:w="140"/>
            </w:tcMar>
            <w:vAlign w:val="center"/>
          </w:tcPr>
          <w:p>
            <w:pPr>
              <w:spacing w:before="60" w:after="60"/>
              <w:jc w:val="left"/>
            </w:pPr>
            <w:r>
              <w:rPr>
                <w:rFonts w:ascii="Arial" w:cs="Arial" w:eastAsia="Arial" w:hAnsi="Arial"/>
                <w:b/>
                <w:bCs/>
                <w:i w:val="false"/>
                <w:iCs w:val="false"/>
                <w:color w:val="1B3A6B"/>
                <w:sz w:val="20"/>
                <w:szCs w:val="20"/>
              </w:rPr>
              <w:t xml:space="preserve">Travel Insurance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60" w:after="60"/>
              <w:jc w:val="left"/>
            </w:pPr>
            <w:r>
              <w:rPr>
                <w:rFonts w:ascii="Arial" w:cs="Arial" w:eastAsia="Arial" w:hAnsi="Arial"/>
                <w:b w:val="false"/>
                <w:bCs w:val="false"/>
                <w:i w:val="false"/>
                <w:iCs w:val="false"/>
                <w:color w:val="111827"/>
                <w:sz w:val="20"/>
                <w:szCs w:val="20"/>
              </w:rPr>
              <w:t xml:space="preserve">Claim form, boarding pass, hotel bills, medical records, police report (if theft), airline delay certificate</w:t>
            </w:r>
          </w:p>
        </w:tc>
      </w:tr>
      <w:tr>
        <w:tc>
          <w:tcPr>
            <w:tcW w:type="dxa" w:w="2800"/>
            <w:tcBorders>
              <w:top w:val="single" w:color="AACCEE" w:sz="1"/>
              <w:left w:val="single" w:color="AACCEE" w:sz="1"/>
              <w:bottom w:val="single" w:color="AACCEE" w:sz="1"/>
              <w:right w:val="single" w:color="AACCEE" w:sz="1"/>
            </w:tcBorders>
            <w:shd w:fill="DBEAFE" w:val="clear"/>
            <w:tcMar>
              <w:top w:type="dxa" w:w="100"/>
              <w:left w:type="dxa" w:w="140"/>
              <w:bottom w:type="dxa" w:w="100"/>
              <w:right w:type="dxa" w:w="140"/>
            </w:tcMar>
            <w:vAlign w:val="center"/>
          </w:tcPr>
          <w:p>
            <w:pPr>
              <w:spacing w:before="60" w:after="60"/>
              <w:jc w:val="left"/>
            </w:pPr>
            <w:r>
              <w:rPr>
                <w:rFonts w:ascii="Arial" w:cs="Arial" w:eastAsia="Arial" w:hAnsi="Arial"/>
                <w:b/>
                <w:bCs/>
                <w:i w:val="false"/>
                <w:iCs w:val="false"/>
                <w:color w:val="1B3A6B"/>
                <w:sz w:val="20"/>
                <w:szCs w:val="20"/>
              </w:rPr>
              <w:t xml:space="preserve">Property Insurance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60" w:after="60"/>
              <w:jc w:val="left"/>
            </w:pPr>
            <w:r>
              <w:rPr>
                <w:rFonts w:ascii="Arial" w:cs="Arial" w:eastAsia="Arial" w:hAnsi="Arial"/>
                <w:b w:val="false"/>
                <w:bCs w:val="false"/>
                <w:i w:val="false"/>
                <w:iCs w:val="false"/>
                <w:color w:val="111827"/>
                <w:sz w:val="20"/>
                <w:szCs w:val="20"/>
              </w:rPr>
              <w:t xml:space="preserve">Claim form, property documents, FIR (if theft/burglary), photographs, repair estimate, surveyor report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7280" w:sz="1"/>
              <w:left w:val="single" w:color="6B7280" w:sz="1"/>
              <w:bottom w:val="single" w:color="6B7280" w:sz="1"/>
              <w:right w:val="single" w:color="6B7280" w:sz="1"/>
            </w:tcBorders>
            <w:shd w:fill="6B7280" w:val="clear"/>
            <w:tcMar>
              <w:top w:type="dxa" w:w="100"/>
              <w:left w:type="dxa" w:w="140"/>
              <w:bottom w:type="dxa" w:w="100"/>
              <w:right w:type="dxa" w:w="140"/>
            </w:tcMar>
            <w:vAlign w:val="center"/>
          </w:tcPr>
          <w:p>
            <w:pPr>
              <w:spacing w:before="60" w:after="60"/>
              <w:jc w:val="center"/>
            </w:pPr>
            <w:r>
              <w:rPr>
                <w:rFonts w:ascii="Arial" w:cs="Arial" w:eastAsia="Arial" w:hAnsi="Arial"/>
                <w:b/>
                <w:bCs/>
                <w:i w:val="false"/>
                <w:iCs w:val="false"/>
                <w:color w:val="FFFFFF"/>
                <w:sz w:val="30"/>
                <w:szCs w:val="30"/>
              </w:rPr>
              <w:t xml:space="preserve">SECTION 9 — REGULATORY &amp; COMPLIANCE GUIDE ⚖️</w:t>
            </w:r>
          </w:p>
        </w:tc>
      </w:tr>
    </w:tbl>
    <w:p>
      <w:pPr>
        <w:spacing w:before="0" w:after="0"/>
      </w:pPr>
      <w:r>
        <w:rPr>
          <w:rFonts w:ascii="Arial" w:cs="Arial" w:eastAsia="Arial" w:hAnsi="Arial"/>
          <w:b w:val="false"/>
          <w:bCs w:val="false"/>
          <w:i w:val="false"/>
          <w:iCs w:val="false"/>
          <w:color w:val="111827"/>
          <w:sz w:val="22"/>
          <w:szCs w:val="22"/>
        </w:rPr>
        <w:t xml:space="preserve"/>
      </w:r>
    </w:p>
    <w:p>
      <w:pPr>
        <w:pStyle w:val="Heading1"/>
        <w:pBdr>
          <w:bottom w:val="single" w:color="1B3A6B" w:sz="8" w:space="2"/>
        </w:pBdr>
        <w:spacing w:before="320" w:after="160"/>
      </w:pPr>
      <w:r>
        <w:rPr>
          <w:rFonts w:ascii="Arial" w:cs="Arial" w:eastAsia="Arial" w:hAnsi="Arial"/>
          <w:b/>
          <w:bCs/>
          <w:color w:val="1B3A6B"/>
          <w:sz w:val="36"/>
          <w:szCs w:val="36"/>
        </w:rPr>
        <w:t xml:space="preserve">9. IRDAI Regulations &amp; Consumer Rights</w:t>
      </w:r>
    </w:p>
    <w:p>
      <w:pPr>
        <w:pStyle w:val="Heading2"/>
        <w:spacing w:before="240" w:after="120"/>
      </w:pPr>
      <w:r>
        <w:rPr>
          <w:rFonts w:ascii="Arial" w:cs="Arial" w:eastAsia="Arial" w:hAnsi="Arial"/>
          <w:b/>
          <w:bCs/>
          <w:color w:val="2563EB"/>
          <w:sz w:val="28"/>
          <w:szCs w:val="28"/>
        </w:rPr>
        <w:t xml:space="preserve">9.1  IRDAI — Regulator Overview</w:t>
      </w:r>
    </w:p>
    <w:p>
      <w:pPr>
        <w:spacing w:before="60" w:after="60"/>
        <w:jc w:val="left"/>
      </w:pPr>
      <w:r>
        <w:rPr>
          <w:rFonts w:ascii="Arial" w:cs="Arial" w:eastAsia="Arial" w:hAnsi="Arial"/>
          <w:b w:val="false"/>
          <w:bCs w:val="false"/>
          <w:i w:val="false"/>
          <w:iCs w:val="false"/>
          <w:color w:val="111827"/>
          <w:sz w:val="21"/>
          <w:szCs w:val="21"/>
        </w:rPr>
        <w:t xml:space="preserve">The Insurance Regulatory and Development Authority of India (IRDAI) is the apex regulatory body for insurance in India, established under the IRDAI Act 1999. Headquartered in Hyderabad.</w:t>
      </w:r>
    </w:p>
    <w:p>
      <w:pPr>
        <w:spacing w:before="0" w:after="0"/>
      </w:pPr>
      <w:r>
        <w:rPr>
          <w:rFonts w:ascii="Arial" w:cs="Arial" w:eastAsia="Arial" w:hAnsi="Arial"/>
          <w:b w:val="false"/>
          <w:bCs w:val="false"/>
          <w:i w:val="false"/>
          <w:iCs w:val="false"/>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CCEE" w:sz="1"/>
              <w:left w:val="single" w:color="AACCEE" w:sz="1"/>
              <w:bottom w:val="single" w:color="AACCEE" w:sz="1"/>
              <w:right w:val="single" w:color="AACCEE" w:sz="1"/>
            </w:tcBorders>
            <w:shd w:fill="1B3A6B" w:val="clear"/>
            <w:tcMar>
              <w:top w:type="dxa" w:w="100"/>
              <w:left w:type="dxa" w:w="140"/>
              <w:bottom w:type="dxa" w:w="100"/>
              <w:right w:type="dxa" w:w="140"/>
            </w:tcMar>
            <w:vAlign w:val="center"/>
          </w:tcPr>
          <w:p>
            <w:pPr>
              <w:spacing w:before="60" w:after="60"/>
              <w:jc w:val="left"/>
            </w:pPr>
            <w:r>
              <w:rPr>
                <w:rFonts w:ascii="Arial" w:cs="Arial" w:eastAsia="Arial" w:hAnsi="Arial"/>
                <w:b/>
                <w:bCs/>
                <w:i w:val="false"/>
                <w:iCs w:val="false"/>
                <w:color w:val="FFFFFF"/>
                <w:sz w:val="20"/>
                <w:szCs w:val="20"/>
              </w:rPr>
              <w:t xml:space="preserve">IRDAI Rule</w:t>
            </w:r>
          </w:p>
        </w:tc>
        <w:tc>
          <w:tcPr>
            <w:tcW w:type="dxa" w:w="65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spacing w:before="60" w:after="60"/>
              <w:jc w:val="left"/>
            </w:pPr>
            <w:r>
              <w:rPr>
                <w:rFonts w:ascii="Arial" w:cs="Arial" w:eastAsia="Arial" w:hAnsi="Arial"/>
                <w:b w:val="false"/>
                <w:bCs w:val="false"/>
                <w:i w:val="false"/>
                <w:iCs w:val="false"/>
                <w:color w:val="111827"/>
                <w:sz w:val="20"/>
                <w:szCs w:val="20"/>
              </w:rPr>
              <w:t xml:space="preserve">Consumer Benefit</w:t>
            </w:r>
          </w:p>
        </w:tc>
      </w:tr>
      <w:tr>
        <w:tc>
          <w:tcPr>
            <w:tcW w:type="dxa" w:w="2800"/>
            <w:tcBorders>
              <w:top w:val="single" w:color="AACCEE" w:sz="1"/>
              <w:left w:val="single" w:color="AACCEE" w:sz="1"/>
              <w:bottom w:val="single" w:color="AACCEE" w:sz="1"/>
              <w:right w:val="single" w:color="AACCEE" w:sz="1"/>
            </w:tcBorders>
            <w:shd w:fill="DBEAFE" w:val="clear"/>
            <w:tcMar>
              <w:top w:type="dxa" w:w="100"/>
              <w:left w:type="dxa" w:w="140"/>
              <w:bottom w:type="dxa" w:w="100"/>
              <w:right w:type="dxa" w:w="140"/>
            </w:tcMar>
            <w:vAlign w:val="center"/>
          </w:tcPr>
          <w:p>
            <w:pPr>
              <w:spacing w:before="60" w:after="60"/>
              <w:jc w:val="left"/>
            </w:pPr>
            <w:r>
              <w:rPr>
                <w:rFonts w:ascii="Arial" w:cs="Arial" w:eastAsia="Arial" w:hAnsi="Arial"/>
                <w:b/>
                <w:bCs/>
                <w:i w:val="false"/>
                <w:iCs w:val="false"/>
                <w:color w:val="1B3A6B"/>
                <w:sz w:val="20"/>
                <w:szCs w:val="20"/>
              </w:rPr>
              <w:t xml:space="preserve">Free-look period: 30 days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60" w:after="60"/>
              <w:jc w:val="left"/>
            </w:pPr>
            <w:r>
              <w:rPr>
                <w:rFonts w:ascii="Arial" w:cs="Arial" w:eastAsia="Arial" w:hAnsi="Arial"/>
                <w:b w:val="false"/>
                <w:bCs w:val="false"/>
                <w:i w:val="false"/>
                <w:iCs w:val="false"/>
                <w:color w:val="111827"/>
                <w:sz w:val="20"/>
                <w:szCs w:val="20"/>
              </w:rPr>
              <w:t xml:space="preserve">Return policy within 30 days of receipt for full refund (minus stamp duty + medical costs)</w:t>
            </w:r>
          </w:p>
        </w:tc>
      </w:tr>
      <w:tr>
        <w:tc>
          <w:tcPr>
            <w:tcW w:type="dxa" w:w="2800"/>
            <w:tcBorders>
              <w:top w:val="single" w:color="AACCEE" w:sz="1"/>
              <w:left w:val="single" w:color="AACCEE" w:sz="1"/>
              <w:bottom w:val="single" w:color="AACCEE" w:sz="1"/>
              <w:right w:val="single" w:color="AACCEE" w:sz="1"/>
            </w:tcBorders>
            <w:shd w:fill="DBEAFE" w:val="clear"/>
            <w:tcMar>
              <w:top w:type="dxa" w:w="100"/>
              <w:left w:type="dxa" w:w="140"/>
              <w:bottom w:type="dxa" w:w="100"/>
              <w:right w:type="dxa" w:w="140"/>
            </w:tcMar>
            <w:vAlign w:val="center"/>
          </w:tcPr>
          <w:p>
            <w:pPr>
              <w:spacing w:before="60" w:after="60"/>
              <w:jc w:val="left"/>
            </w:pPr>
            <w:r>
              <w:rPr>
                <w:rFonts w:ascii="Arial" w:cs="Arial" w:eastAsia="Arial" w:hAnsi="Arial"/>
                <w:b/>
                <w:bCs/>
                <w:i w:val="false"/>
                <w:iCs w:val="false"/>
                <w:color w:val="1B3A6B"/>
                <w:sz w:val="20"/>
                <w:szCs w:val="20"/>
              </w:rPr>
              <w:t xml:space="preserve">Moratorium clause: 8 years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60" w:after="60"/>
              <w:jc w:val="left"/>
            </w:pPr>
            <w:r>
              <w:rPr>
                <w:rFonts w:ascii="Arial" w:cs="Arial" w:eastAsia="Arial" w:hAnsi="Arial"/>
                <w:b w:val="false"/>
                <w:bCs w:val="false"/>
                <w:i w:val="false"/>
                <w:iCs w:val="false"/>
                <w:color w:val="111827"/>
                <w:sz w:val="20"/>
                <w:szCs w:val="20"/>
              </w:rPr>
              <w:t xml:space="preserve">After 8 continuous years, insurer cannot reject claim citing pre-existing disease non-disclosure</w:t>
            </w:r>
          </w:p>
        </w:tc>
      </w:tr>
      <w:tr>
        <w:tc>
          <w:tcPr>
            <w:tcW w:type="dxa" w:w="2800"/>
            <w:tcBorders>
              <w:top w:val="single" w:color="AACCEE" w:sz="1"/>
              <w:left w:val="single" w:color="AACCEE" w:sz="1"/>
              <w:bottom w:val="single" w:color="AACCEE" w:sz="1"/>
              <w:right w:val="single" w:color="AACCEE" w:sz="1"/>
            </w:tcBorders>
            <w:shd w:fill="DBEAFE" w:val="clear"/>
            <w:tcMar>
              <w:top w:type="dxa" w:w="100"/>
              <w:left w:type="dxa" w:w="140"/>
              <w:bottom w:type="dxa" w:w="100"/>
              <w:right w:type="dxa" w:w="140"/>
            </w:tcMar>
            <w:vAlign w:val="center"/>
          </w:tcPr>
          <w:p>
            <w:pPr>
              <w:spacing w:before="60" w:after="60"/>
              <w:jc w:val="left"/>
            </w:pPr>
            <w:r>
              <w:rPr>
                <w:rFonts w:ascii="Arial" w:cs="Arial" w:eastAsia="Arial" w:hAnsi="Arial"/>
                <w:b/>
                <w:bCs/>
                <w:i w:val="false"/>
                <w:iCs w:val="false"/>
                <w:color w:val="1B3A6B"/>
                <w:sz w:val="20"/>
                <w:szCs w:val="20"/>
              </w:rPr>
              <w:t xml:space="preserve">Portability right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60" w:after="60"/>
              <w:jc w:val="left"/>
            </w:pPr>
            <w:r>
              <w:rPr>
                <w:rFonts w:ascii="Arial" w:cs="Arial" w:eastAsia="Arial" w:hAnsi="Arial"/>
                <w:b w:val="false"/>
                <w:bCs w:val="false"/>
                <w:i w:val="false"/>
                <w:iCs w:val="false"/>
                <w:color w:val="111827"/>
                <w:sz w:val="20"/>
                <w:szCs w:val="20"/>
              </w:rPr>
              <w:t xml:space="preserve">Transfer health policy to another insurer without losing waiting period credit</w:t>
            </w:r>
          </w:p>
        </w:tc>
      </w:tr>
      <w:tr>
        <w:tc>
          <w:tcPr>
            <w:tcW w:type="dxa" w:w="2800"/>
            <w:tcBorders>
              <w:top w:val="single" w:color="AACCEE" w:sz="1"/>
              <w:left w:val="single" w:color="AACCEE" w:sz="1"/>
              <w:bottom w:val="single" w:color="AACCEE" w:sz="1"/>
              <w:right w:val="single" w:color="AACCEE" w:sz="1"/>
            </w:tcBorders>
            <w:shd w:fill="DBEAFE" w:val="clear"/>
            <w:tcMar>
              <w:top w:type="dxa" w:w="100"/>
              <w:left w:type="dxa" w:w="140"/>
              <w:bottom w:type="dxa" w:w="100"/>
              <w:right w:type="dxa" w:w="140"/>
            </w:tcMar>
            <w:vAlign w:val="center"/>
          </w:tcPr>
          <w:p>
            <w:pPr>
              <w:spacing w:before="60" w:after="60"/>
              <w:jc w:val="left"/>
            </w:pPr>
            <w:r>
              <w:rPr>
                <w:rFonts w:ascii="Arial" w:cs="Arial" w:eastAsia="Arial" w:hAnsi="Arial"/>
                <w:b/>
                <w:bCs/>
                <w:i w:val="false"/>
                <w:iCs w:val="false"/>
                <w:color w:val="1B3A6B"/>
                <w:sz w:val="20"/>
                <w:szCs w:val="20"/>
              </w:rPr>
              <w:t xml:space="preserve">Standard products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60" w:after="60"/>
              <w:jc w:val="left"/>
            </w:pPr>
            <w:r>
              <w:rPr>
                <w:rFonts w:ascii="Arial" w:cs="Arial" w:eastAsia="Arial" w:hAnsi="Arial"/>
                <w:b w:val="false"/>
                <w:bCs w:val="false"/>
                <w:i w:val="false"/>
                <w:iCs w:val="false"/>
                <w:color w:val="111827"/>
                <w:sz w:val="20"/>
                <w:szCs w:val="20"/>
              </w:rPr>
              <w:t xml:space="preserve">Arogya Sanjeevani (health), Saral Jeevan Bima (life), Bharat Griha Raksha (property) — must be offered by all insurers</w:t>
            </w:r>
          </w:p>
        </w:tc>
      </w:tr>
      <w:tr>
        <w:tc>
          <w:tcPr>
            <w:tcW w:type="dxa" w:w="2800"/>
            <w:tcBorders>
              <w:top w:val="single" w:color="AACCEE" w:sz="1"/>
              <w:left w:val="single" w:color="AACCEE" w:sz="1"/>
              <w:bottom w:val="single" w:color="AACCEE" w:sz="1"/>
              <w:right w:val="single" w:color="AACCEE" w:sz="1"/>
            </w:tcBorders>
            <w:shd w:fill="DBEAFE" w:val="clear"/>
            <w:tcMar>
              <w:top w:type="dxa" w:w="100"/>
              <w:left w:type="dxa" w:w="140"/>
              <w:bottom w:type="dxa" w:w="100"/>
              <w:right w:type="dxa" w:w="140"/>
            </w:tcMar>
            <w:vAlign w:val="center"/>
          </w:tcPr>
          <w:p>
            <w:pPr>
              <w:spacing w:before="60" w:after="60"/>
              <w:jc w:val="left"/>
            </w:pPr>
            <w:r>
              <w:rPr>
                <w:rFonts w:ascii="Arial" w:cs="Arial" w:eastAsia="Arial" w:hAnsi="Arial"/>
                <w:b/>
                <w:bCs/>
                <w:i w:val="false"/>
                <w:iCs w:val="false"/>
                <w:color w:val="1B3A6B"/>
                <w:sz w:val="20"/>
                <w:szCs w:val="20"/>
              </w:rPr>
              <w:t xml:space="preserve">Claim settlement ratio disclosure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60" w:after="60"/>
              <w:jc w:val="left"/>
            </w:pPr>
            <w:r>
              <w:rPr>
                <w:rFonts w:ascii="Arial" w:cs="Arial" w:eastAsia="Arial" w:hAnsi="Arial"/>
                <w:b w:val="false"/>
                <w:bCs w:val="false"/>
                <w:i w:val="false"/>
                <w:iCs w:val="false"/>
                <w:color w:val="111827"/>
                <w:sz w:val="20"/>
                <w:szCs w:val="20"/>
              </w:rPr>
              <w:t xml:space="preserve">Insurers must publish annual claim settlement ratios (CSR) for transparency</w:t>
            </w:r>
          </w:p>
        </w:tc>
      </w:tr>
      <w:tr>
        <w:tc>
          <w:tcPr>
            <w:tcW w:type="dxa" w:w="2800"/>
            <w:tcBorders>
              <w:top w:val="single" w:color="AACCEE" w:sz="1"/>
              <w:left w:val="single" w:color="AACCEE" w:sz="1"/>
              <w:bottom w:val="single" w:color="AACCEE" w:sz="1"/>
              <w:right w:val="single" w:color="AACCEE" w:sz="1"/>
            </w:tcBorders>
            <w:shd w:fill="DBEAFE" w:val="clear"/>
            <w:tcMar>
              <w:top w:type="dxa" w:w="100"/>
              <w:left w:type="dxa" w:w="140"/>
              <w:bottom w:type="dxa" w:w="100"/>
              <w:right w:type="dxa" w:w="140"/>
            </w:tcMar>
            <w:vAlign w:val="center"/>
          </w:tcPr>
          <w:p>
            <w:pPr>
              <w:spacing w:before="60" w:after="60"/>
              <w:jc w:val="left"/>
            </w:pPr>
            <w:r>
              <w:rPr>
                <w:rFonts w:ascii="Arial" w:cs="Arial" w:eastAsia="Arial" w:hAnsi="Arial"/>
                <w:b/>
                <w:bCs/>
                <w:i w:val="false"/>
                <w:iCs w:val="false"/>
                <w:color w:val="1B3A6B"/>
                <w:sz w:val="20"/>
                <w:szCs w:val="20"/>
              </w:rPr>
              <w:t xml:space="preserve">Ombudsman scheme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60" w:after="60"/>
              <w:jc w:val="left"/>
            </w:pPr>
            <w:r>
              <w:rPr>
                <w:rFonts w:ascii="Arial" w:cs="Arial" w:eastAsia="Arial" w:hAnsi="Arial"/>
                <w:b w:val="false"/>
                <w:bCs w:val="false"/>
                <w:i w:val="false"/>
                <w:iCs w:val="false"/>
                <w:color w:val="111827"/>
                <w:sz w:val="20"/>
                <w:szCs w:val="20"/>
              </w:rPr>
              <w:t xml:space="preserve">Free grievance redressal for claims up to ₹30 Lakh through Insurance Ombudsman offices in 17 cities</w:t>
            </w:r>
          </w:p>
        </w:tc>
      </w:tr>
      <w:tr>
        <w:tc>
          <w:tcPr>
            <w:tcW w:type="dxa" w:w="2800"/>
            <w:tcBorders>
              <w:top w:val="single" w:color="AACCEE" w:sz="1"/>
              <w:left w:val="single" w:color="AACCEE" w:sz="1"/>
              <w:bottom w:val="single" w:color="AACCEE" w:sz="1"/>
              <w:right w:val="single" w:color="AACCEE" w:sz="1"/>
            </w:tcBorders>
            <w:shd w:fill="DBEAFE" w:val="clear"/>
            <w:tcMar>
              <w:top w:type="dxa" w:w="100"/>
              <w:left w:type="dxa" w:w="140"/>
              <w:bottom w:type="dxa" w:w="100"/>
              <w:right w:type="dxa" w:w="140"/>
            </w:tcMar>
            <w:vAlign w:val="center"/>
          </w:tcPr>
          <w:p>
            <w:pPr>
              <w:spacing w:before="60" w:after="60"/>
              <w:jc w:val="left"/>
            </w:pPr>
            <w:r>
              <w:rPr>
                <w:rFonts w:ascii="Arial" w:cs="Arial" w:eastAsia="Arial" w:hAnsi="Arial"/>
                <w:b/>
                <w:bCs/>
                <w:i w:val="false"/>
                <w:iCs w:val="false"/>
                <w:color w:val="1B3A6B"/>
                <w:sz w:val="20"/>
                <w:szCs w:val="20"/>
              </w:rPr>
              <w:t xml:space="preserve">Claim settlement timeline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60" w:after="60"/>
              <w:jc w:val="left"/>
            </w:pPr>
            <w:r>
              <w:rPr>
                <w:rFonts w:ascii="Arial" w:cs="Arial" w:eastAsia="Arial" w:hAnsi="Arial"/>
                <w:b w:val="false"/>
                <w:bCs w:val="false"/>
                <w:i w:val="false"/>
                <w:iCs w:val="false"/>
                <w:color w:val="111827"/>
                <w:sz w:val="20"/>
                <w:szCs w:val="20"/>
              </w:rPr>
              <w:t xml:space="preserve">Health: 7 days (cashless), 30 days (reimbursement); Life: 30 days; Motor: within survey completion</w:t>
            </w:r>
          </w:p>
        </w:tc>
      </w:tr>
      <w:tr>
        <w:tc>
          <w:tcPr>
            <w:tcW w:type="dxa" w:w="2800"/>
            <w:tcBorders>
              <w:top w:val="single" w:color="AACCEE" w:sz="1"/>
              <w:left w:val="single" w:color="AACCEE" w:sz="1"/>
              <w:bottom w:val="single" w:color="AACCEE" w:sz="1"/>
              <w:right w:val="single" w:color="AACCEE" w:sz="1"/>
            </w:tcBorders>
            <w:shd w:fill="DBEAFE" w:val="clear"/>
            <w:tcMar>
              <w:top w:type="dxa" w:w="100"/>
              <w:left w:type="dxa" w:w="140"/>
              <w:bottom w:type="dxa" w:w="100"/>
              <w:right w:type="dxa" w:w="140"/>
            </w:tcMar>
            <w:vAlign w:val="center"/>
          </w:tcPr>
          <w:p>
            <w:pPr>
              <w:spacing w:before="60" w:after="60"/>
              <w:jc w:val="left"/>
            </w:pPr>
            <w:r>
              <w:rPr>
                <w:rFonts w:ascii="Arial" w:cs="Arial" w:eastAsia="Arial" w:hAnsi="Arial"/>
                <w:b/>
                <w:bCs/>
                <w:i w:val="false"/>
                <w:iCs w:val="false"/>
                <w:color w:val="1B3A6B"/>
                <w:sz w:val="20"/>
                <w:szCs w:val="20"/>
              </w:rPr>
              <w:t xml:space="preserve">BIMA SUGAM</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60" w:after="60"/>
              <w:jc w:val="left"/>
            </w:pPr>
            <w:r>
              <w:rPr>
                <w:rFonts w:ascii="Arial" w:cs="Arial" w:eastAsia="Arial" w:hAnsi="Arial"/>
                <w:b w:val="false"/>
                <w:bCs w:val="false"/>
                <w:i w:val="false"/>
                <w:iCs w:val="false"/>
                <w:color w:val="111827"/>
                <w:sz w:val="20"/>
                <w:szCs w:val="20"/>
              </w:rPr>
              <w:t xml:space="preserve">New digital insurance platform (2024) for buying, managing, and claiming all insurance products online</w:t>
            </w:r>
          </w:p>
        </w:tc>
      </w:tr>
    </w:tbl>
    <w:p>
      <w:pPr>
        <w:spacing w:before="0" w:after="0"/>
      </w:pPr>
      <w:r>
        <w:rPr>
          <w:rFonts w:ascii="Arial" w:cs="Arial" w:eastAsia="Arial" w:hAnsi="Arial"/>
          <w:b w:val="false"/>
          <w:bCs w:val="false"/>
          <w:i w:val="false"/>
          <w:iCs w:val="false"/>
          <w:color w:val="111827"/>
          <w:sz w:val="22"/>
          <w:szCs w:val="22"/>
        </w:rPr>
        <w:t xml:space="preserve"/>
      </w:r>
    </w:p>
    <w:p>
      <w:pPr>
        <w:pStyle w:val="Heading2"/>
        <w:spacing w:before="240" w:after="120"/>
      </w:pPr>
      <w:r>
        <w:rPr>
          <w:rFonts w:ascii="Arial" w:cs="Arial" w:eastAsia="Arial" w:hAnsi="Arial"/>
          <w:b/>
          <w:bCs/>
          <w:color w:val="2563EB"/>
          <w:sz w:val="28"/>
          <w:szCs w:val="28"/>
        </w:rPr>
        <w:t xml:space="preserve">9.2  Consumer Rights Checklist</w:t>
      </w:r>
    </w:p>
    <w:p>
      <w:pPr>
        <w:pStyle w:val="ListParagraph"/>
        <w:numPr>
          <w:ilvl w:val="0"/>
          <w:numId w:val="2"/>
        </w:numPr>
        <w:spacing w:before="40" w:after="40"/>
      </w:pPr>
      <w:r>
        <w:rPr>
          <w:rFonts w:ascii="Arial" w:cs="Arial" w:eastAsia="Arial" w:hAnsi="Arial"/>
          <w:b w:val="false"/>
          <w:bCs w:val="false"/>
          <w:i w:val="false"/>
          <w:iCs w:val="false"/>
          <w:color w:val="111827"/>
          <w:sz w:val="21"/>
          <w:szCs w:val="21"/>
        </w:rPr>
        <w:t xml:space="preserve">Right to a free-look period of 30 days to review and cancel any policy</w:t>
      </w:r>
    </w:p>
    <w:p>
      <w:pPr>
        <w:pStyle w:val="ListParagraph"/>
        <w:numPr>
          <w:ilvl w:val="0"/>
          <w:numId w:val="2"/>
        </w:numPr>
        <w:spacing w:before="40" w:after="40"/>
      </w:pPr>
      <w:r>
        <w:rPr>
          <w:rFonts w:ascii="Arial" w:cs="Arial" w:eastAsia="Arial" w:hAnsi="Arial"/>
          <w:b w:val="false"/>
          <w:bCs w:val="false"/>
          <w:i w:val="false"/>
          <w:iCs w:val="false"/>
          <w:color w:val="111827"/>
          <w:sz w:val="21"/>
          <w:szCs w:val="21"/>
        </w:rPr>
        <w:t xml:space="preserve">Right to receive policy document within 15 days of premium payment</w:t>
      </w:r>
    </w:p>
    <w:p>
      <w:pPr>
        <w:pStyle w:val="ListParagraph"/>
        <w:numPr>
          <w:ilvl w:val="0"/>
          <w:numId w:val="2"/>
        </w:numPr>
        <w:spacing w:before="40" w:after="40"/>
      </w:pPr>
      <w:r>
        <w:rPr>
          <w:rFonts w:ascii="Arial" w:cs="Arial" w:eastAsia="Arial" w:hAnsi="Arial"/>
          <w:b w:val="false"/>
          <w:bCs w:val="false"/>
          <w:i w:val="false"/>
          <w:iCs w:val="false"/>
          <w:color w:val="111827"/>
          <w:sz w:val="21"/>
          <w:szCs w:val="21"/>
        </w:rPr>
        <w:t xml:space="preserve">Right to port health insurance to another insurer with waiting period credit</w:t>
      </w:r>
    </w:p>
    <w:p>
      <w:pPr>
        <w:pStyle w:val="ListParagraph"/>
        <w:numPr>
          <w:ilvl w:val="0"/>
          <w:numId w:val="2"/>
        </w:numPr>
        <w:spacing w:before="40" w:after="40"/>
      </w:pPr>
      <w:r>
        <w:rPr>
          <w:rFonts w:ascii="Arial" w:cs="Arial" w:eastAsia="Arial" w:hAnsi="Arial"/>
          <w:b w:val="false"/>
          <w:bCs w:val="false"/>
          <w:i w:val="false"/>
          <w:iCs w:val="false"/>
          <w:color w:val="111827"/>
          <w:sz w:val="21"/>
          <w:szCs w:val="21"/>
        </w:rPr>
        <w:t xml:space="preserve">Right to fair claim settlement within IRDAI-mandated timelines</w:t>
      </w:r>
    </w:p>
    <w:p>
      <w:pPr>
        <w:pStyle w:val="ListParagraph"/>
        <w:numPr>
          <w:ilvl w:val="0"/>
          <w:numId w:val="2"/>
        </w:numPr>
        <w:spacing w:before="40" w:after="40"/>
      </w:pPr>
      <w:r>
        <w:rPr>
          <w:rFonts w:ascii="Arial" w:cs="Arial" w:eastAsia="Arial" w:hAnsi="Arial"/>
          <w:b w:val="false"/>
          <w:bCs w:val="false"/>
          <w:i w:val="false"/>
          <w:iCs w:val="false"/>
          <w:color w:val="111827"/>
          <w:sz w:val="21"/>
          <w:szCs w:val="21"/>
        </w:rPr>
        <w:t xml:space="preserve">Right to approach Insurance Ombudsman for disputes up to ₹30 Lakh — FREE service</w:t>
      </w:r>
    </w:p>
    <w:p>
      <w:pPr>
        <w:pStyle w:val="ListParagraph"/>
        <w:numPr>
          <w:ilvl w:val="0"/>
          <w:numId w:val="2"/>
        </w:numPr>
        <w:spacing w:before="40" w:after="40"/>
      </w:pPr>
      <w:r>
        <w:rPr>
          <w:rFonts w:ascii="Arial" w:cs="Arial" w:eastAsia="Arial" w:hAnsi="Arial"/>
          <w:b w:val="false"/>
          <w:bCs w:val="false"/>
          <w:i w:val="false"/>
          <w:iCs w:val="false"/>
          <w:color w:val="111827"/>
          <w:sz w:val="21"/>
          <w:szCs w:val="21"/>
        </w:rPr>
        <w:t xml:space="preserve">Right to receive written rejection with reasons if claim is denied</w:t>
      </w:r>
    </w:p>
    <w:p>
      <w:pPr>
        <w:pStyle w:val="ListParagraph"/>
        <w:numPr>
          <w:ilvl w:val="0"/>
          <w:numId w:val="2"/>
        </w:numPr>
        <w:spacing w:before="40" w:after="40"/>
      </w:pPr>
      <w:r>
        <w:rPr>
          <w:rFonts w:ascii="Arial" w:cs="Arial" w:eastAsia="Arial" w:hAnsi="Arial"/>
          <w:b w:val="false"/>
          <w:bCs w:val="false"/>
          <w:i w:val="false"/>
          <w:iCs w:val="false"/>
          <w:color w:val="111827"/>
          <w:sz w:val="21"/>
          <w:szCs w:val="21"/>
        </w:rPr>
        <w:t xml:space="preserve">Right to appeal rejected claims to IRDAI Grievance Call Centre: 155255</w:t>
      </w:r>
    </w:p>
    <w:p>
      <w:pPr>
        <w:spacing w:before="0" w:after="0"/>
      </w:pPr>
      <w:r>
        <w:rPr>
          <w:rFonts w:ascii="Arial" w:cs="Arial" w:eastAsia="Arial" w:hAnsi="Arial"/>
          <w:b w:val="false"/>
          <w:bCs w:val="false"/>
          <w:i w:val="false"/>
          <w:iCs w:val="false"/>
          <w:color w:val="111827"/>
          <w:sz w:val="22"/>
          <w:szCs w:val="22"/>
        </w:rPr>
        <w:t xml:space="preserve"/>
      </w:r>
    </w:p>
    <w:p>
      <w:pPr>
        <w:pStyle w:val="Heading2"/>
        <w:spacing w:before="240" w:after="120"/>
      </w:pPr>
      <w:r>
        <w:rPr>
          <w:rFonts w:ascii="Arial" w:cs="Arial" w:eastAsia="Arial" w:hAnsi="Arial"/>
          <w:b/>
          <w:bCs/>
          <w:color w:val="2563EB"/>
          <w:sz w:val="28"/>
          <w:szCs w:val="28"/>
        </w:rPr>
        <w:t xml:space="preserve">9.3  IRDAI Grievance Redressal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
              <w:bottom w:val="single" w:color="1B3A6B" w:sz="1"/>
              <w:right w:val="single" w:color="1B3A6B" w:sz="1"/>
            </w:tcBorders>
            <w:shd w:fill="F3F4F6" w:val="clear"/>
            <w:tcMar>
              <w:top w:type="dxa" w:w="100"/>
              <w:left w:type="dxa" w:w="140"/>
              <w:bottom w:type="dxa" w:w="100"/>
              <w:right w:type="dxa" w:w="140"/>
            </w:tcMar>
            <w:vAlign w:val="center"/>
          </w:tcPr>
          <w:p>
            <w:pPr>
              <w:spacing w:before="60" w:after="60"/>
              <w:jc w:val="left"/>
            </w:pPr>
            <w:r>
              <w:rPr>
                <w:rFonts w:ascii="Arial" w:cs="Arial" w:eastAsia="Arial" w:hAnsi="Arial"/>
                <w:b/>
                <w:bCs/>
                <w:i w:val="false"/>
                <w:iCs w:val="false"/>
                <w:color w:val="1B3A6B"/>
                <w:sz w:val="20"/>
                <w:szCs w:val="20"/>
              </w:rPr>
              <w:t xml:space="preserve">How to File a Complaint</w:t>
            </w:r>
          </w:p>
          <w:p>
            <w:pPr>
              <w:spacing w:before="60" w:after="60"/>
              <w:jc w:val="left"/>
            </w:pPr>
            <w:r>
              <w:rPr>
                <w:rFonts w:ascii="Arial" w:cs="Arial" w:eastAsia="Arial" w:hAnsi="Arial"/>
                <w:b w:val="false"/>
                <w:bCs w:val="false"/>
                <w:i w:val="false"/>
                <w:iCs w:val="false"/>
                <w:color w:val="111827"/>
                <w:sz w:val="21"/>
                <w:szCs w:val="21"/>
              </w:rPr>
              <w:t xml:space="preserve">Step 1: Contact insurer's grievance team directly
Step 2: If unresolved in 15 days — approach IRDAI Bima Bharosa portal (bimabharosa.irdai.gov.in)
Step 3: Insurance Ombudsman (free, up to ₹30L claims)
Step 4: Consumer court or civil court for larger disputes
IRDAI Helpline: 155255 | Website: irdai.gov.in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spacing w:before="60" w:after="60"/>
              <w:jc w:val="center"/>
            </w:pPr>
            <w:r>
              <w:rPr>
                <w:rFonts w:ascii="Arial" w:cs="Arial" w:eastAsia="Arial" w:hAnsi="Arial"/>
                <w:b/>
                <w:bCs/>
                <w:i w:val="false"/>
                <w:iCs w:val="false"/>
                <w:color w:val="FFFFFF"/>
                <w:sz w:val="30"/>
                <w:szCs w:val="30"/>
              </w:rPr>
              <w:t xml:space="preserve">SECTION 10 — GLOSSARY OF INSURANCE TERMS 📖</w:t>
            </w:r>
          </w:p>
        </w:tc>
      </w:tr>
    </w:tbl>
    <w:p>
      <w:pPr>
        <w:spacing w:before="0" w:after="0"/>
      </w:pPr>
      <w:r>
        <w:rPr>
          <w:rFonts w:ascii="Arial" w:cs="Arial" w:eastAsia="Arial" w:hAnsi="Arial"/>
          <w:b w:val="false"/>
          <w:bCs w:val="false"/>
          <w:i w:val="false"/>
          <w:iCs w:val="false"/>
          <w:color w:val="111827"/>
          <w:sz w:val="22"/>
          <w:szCs w:val="22"/>
        </w:rPr>
        <w:t xml:space="preserve"/>
      </w:r>
    </w:p>
    <w:p>
      <w:pPr>
        <w:pStyle w:val="Heading1"/>
        <w:pBdr>
          <w:bottom w:val="single" w:color="1B3A6B" w:sz="8" w:space="2"/>
        </w:pBdr>
        <w:spacing w:before="320" w:after="160"/>
      </w:pPr>
      <w:r>
        <w:rPr>
          <w:rFonts w:ascii="Arial" w:cs="Arial" w:eastAsia="Arial" w:hAnsi="Arial"/>
          <w:b/>
          <w:bCs/>
          <w:color w:val="1B3A6B"/>
          <w:sz w:val="36"/>
          <w:szCs w:val="36"/>
        </w:rPr>
        <w:t xml:space="preserve">10. Key Insurance Terms Explained</w:t>
      </w:r>
    </w:p>
    <w:p>
      <w:pPr>
        <w:spacing w:before="0" w:after="0"/>
      </w:pPr>
      <w:r>
        <w:rPr>
          <w:rFonts w:ascii="Arial" w:cs="Arial" w:eastAsia="Arial" w:hAnsi="Arial"/>
          <w:b w:val="false"/>
          <w:bCs w:val="false"/>
          <w:i w:val="false"/>
          <w:iCs w:val="false"/>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DDDDD" w:sz="1"/>
              <w:left w:val="single" w:color="DDDDDD" w:sz="1"/>
              <w:bottom w:val="single" w:color="DDDDDD" w:sz="1"/>
              <w:right w:val="single" w:color="DDDDDD" w:sz="1"/>
            </w:tcBorders>
            <w:shd w:fill="1B3A6B" w:val="clear"/>
            <w:tcMar>
              <w:top w:type="dxa" w:w="100"/>
              <w:left w:type="dxa" w:w="140"/>
              <w:bottom w:type="dxa" w:w="100"/>
              <w:right w:type="dxa" w:w="140"/>
            </w:tcMar>
            <w:vAlign w:val="center"/>
          </w:tcPr>
          <w:p>
            <w:pPr>
              <w:spacing w:before="60" w:after="60"/>
              <w:jc w:val="left"/>
            </w:pPr>
            <w:r>
              <w:rPr>
                <w:rFonts w:ascii="Arial" w:cs="Arial" w:eastAsia="Arial" w:hAnsi="Arial"/>
                <w:b/>
                <w:bCs/>
                <w:i w:val="false"/>
                <w:iCs w:val="false"/>
                <w:color w:val="FFFFFF"/>
                <w:sz w:val="20"/>
                <w:szCs w:val="20"/>
              </w:rPr>
              <w:t xml:space="preserve">Term</w:t>
            </w:r>
          </w:p>
        </w:tc>
        <w:tc>
          <w:tcPr>
            <w:tcW w:type="dxa" w:w="6560"/>
            <w:tcBorders>
              <w:top w:val="single" w:color="DDDDDD" w:sz="1"/>
              <w:left w:val="single" w:color="DDDDDD" w:sz="1"/>
              <w:bottom w:val="single" w:color="DDDDDD" w:sz="1"/>
              <w:right w:val="single" w:color="DDDDDD" w:sz="1"/>
            </w:tcBorders>
            <w:shd w:fill="1B3A6B" w:val="clear"/>
            <w:tcMar>
              <w:top w:type="dxa" w:w="100"/>
              <w:left w:type="dxa" w:w="140"/>
              <w:bottom w:type="dxa" w:w="100"/>
              <w:right w:type="dxa" w:w="140"/>
            </w:tcMar>
            <w:vAlign w:val="center"/>
          </w:tcPr>
          <w:p>
            <w:pPr>
              <w:spacing w:before="60" w:after="60"/>
              <w:jc w:val="left"/>
            </w:pPr>
            <w:r>
              <w:rPr>
                <w:rFonts w:ascii="Arial" w:cs="Arial" w:eastAsia="Arial" w:hAnsi="Arial"/>
                <w:b/>
                <w:bCs/>
                <w:i w:val="false"/>
                <w:iCs w:val="false"/>
                <w:color w:val="FFFFFF"/>
                <w:sz w:val="20"/>
                <w:szCs w:val="20"/>
              </w:rPr>
              <w:t xml:space="preserve">Definition</w:t>
            </w:r>
          </w:p>
        </w:tc>
      </w:tr>
      <w:tr>
        <w:tc>
          <w:tcPr>
            <w:tcW w:type="dxa" w:w="2800"/>
            <w:tcBorders>
              <w:top w:val="single" w:color="DDDDDD" w:sz="1"/>
              <w:left w:val="single" w:color="DDDDDD" w:sz="1"/>
              <w:bottom w:val="single" w:color="DDDDDD" w:sz="1"/>
              <w:right w:val="single" w:color="DDDDDD" w:sz="1"/>
            </w:tcBorders>
            <w:shd w:fill="DBEAFE" w:val="clear"/>
            <w:tcMar>
              <w:top w:type="dxa" w:w="100"/>
              <w:left w:type="dxa" w:w="140"/>
              <w:bottom w:type="dxa" w:w="100"/>
              <w:right w:type="dxa" w:w="140"/>
            </w:tcMar>
            <w:vAlign w:val="center"/>
          </w:tcPr>
          <w:p>
            <w:pPr>
              <w:spacing w:before="60" w:after="60"/>
              <w:jc w:val="left"/>
            </w:pPr>
            <w:r>
              <w:rPr>
                <w:rFonts w:ascii="Arial" w:cs="Arial" w:eastAsia="Arial" w:hAnsi="Arial"/>
                <w:b/>
                <w:bCs/>
                <w:i w:val="false"/>
                <w:iCs w:val="false"/>
                <w:color w:val="1B3A6B"/>
                <w:sz w:val="20"/>
                <w:szCs w:val="20"/>
              </w:rPr>
              <w:t xml:space="preserve">Actuary</w:t>
            </w:r>
          </w:p>
        </w:tc>
        <w:tc>
          <w:tcPr>
            <w:tcW w:type="dxa" w:w="6560"/>
            <w:tcBorders>
              <w:top w:val="single" w:color="DDDDDD" w:sz="1"/>
              <w:left w:val="single" w:color="DDDDDD" w:sz="1"/>
              <w:bottom w:val="single" w:color="DDDDDD" w:sz="1"/>
              <w:right w:val="single" w:color="DDDDDD" w:sz="1"/>
            </w:tcBorders>
            <w:shd w:fill="F3F4F6" w:val="clear"/>
            <w:tcMar>
              <w:top w:type="dxa" w:w="100"/>
              <w:left w:type="dxa" w:w="140"/>
              <w:bottom w:type="dxa" w:w="100"/>
              <w:right w:type="dxa" w:w="140"/>
            </w:tcMar>
            <w:vAlign w:val="center"/>
          </w:tcPr>
          <w:p>
            <w:pPr>
              <w:spacing w:before="60" w:after="60"/>
              <w:jc w:val="left"/>
            </w:pPr>
            <w:r>
              <w:rPr>
                <w:rFonts w:ascii="Arial" w:cs="Arial" w:eastAsia="Arial" w:hAnsi="Arial"/>
                <w:b w:val="false"/>
                <w:bCs w:val="false"/>
                <w:i w:val="false"/>
                <w:iCs w:val="false"/>
                <w:color w:val="111827"/>
                <w:sz w:val="20"/>
                <w:szCs w:val="20"/>
              </w:rPr>
              <w:t xml:space="preserve">A specialist who calculates insurance premiums, reserves, and risk using mathematical models.</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60" w:after="60"/>
              <w:jc w:val="left"/>
            </w:pPr>
            <w:r>
              <w:rPr>
                <w:rFonts w:ascii="Arial" w:cs="Arial" w:eastAsia="Arial" w:hAnsi="Arial"/>
                <w:b/>
                <w:bCs/>
                <w:i w:val="false"/>
                <w:iCs w:val="false"/>
                <w:color w:val="1B3A6B"/>
                <w:sz w:val="20"/>
                <w:szCs w:val="20"/>
              </w:rPr>
              <w:t xml:space="preserve">Add-on / Rider</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60" w:after="60"/>
              <w:jc w:val="left"/>
            </w:pPr>
            <w:r>
              <w:rPr>
                <w:rFonts w:ascii="Arial" w:cs="Arial" w:eastAsia="Arial" w:hAnsi="Arial"/>
                <w:b w:val="false"/>
                <w:bCs w:val="false"/>
                <w:i w:val="false"/>
                <w:iCs w:val="false"/>
                <w:color w:val="111827"/>
                <w:sz w:val="20"/>
                <w:szCs w:val="20"/>
              </w:rPr>
              <w:t xml:space="preserve">Optional coverage extension added to a base policy for additional premium (e.g., critical illness rider, zero depreciation).</w:t>
            </w:r>
          </w:p>
        </w:tc>
      </w:tr>
      <w:tr>
        <w:tc>
          <w:tcPr>
            <w:tcW w:type="dxa" w:w="2800"/>
            <w:tcBorders>
              <w:top w:val="single" w:color="DDDDDD" w:sz="1"/>
              <w:left w:val="single" w:color="DDDDDD" w:sz="1"/>
              <w:bottom w:val="single" w:color="DDDDDD" w:sz="1"/>
              <w:right w:val="single" w:color="DDDDDD" w:sz="1"/>
            </w:tcBorders>
            <w:shd w:fill="DBEAFE" w:val="clear"/>
            <w:tcMar>
              <w:top w:type="dxa" w:w="100"/>
              <w:left w:type="dxa" w:w="140"/>
              <w:bottom w:type="dxa" w:w="100"/>
              <w:right w:type="dxa" w:w="140"/>
            </w:tcMar>
            <w:vAlign w:val="center"/>
          </w:tcPr>
          <w:p>
            <w:pPr>
              <w:spacing w:before="60" w:after="60"/>
              <w:jc w:val="left"/>
            </w:pPr>
            <w:r>
              <w:rPr>
                <w:rFonts w:ascii="Arial" w:cs="Arial" w:eastAsia="Arial" w:hAnsi="Arial"/>
                <w:b/>
                <w:bCs/>
                <w:i w:val="false"/>
                <w:iCs w:val="false"/>
                <w:color w:val="1B3A6B"/>
                <w:sz w:val="20"/>
                <w:szCs w:val="20"/>
              </w:rPr>
              <w:t xml:space="preserve">Claim Settlement Ratio (CSR)</w:t>
            </w:r>
          </w:p>
        </w:tc>
        <w:tc>
          <w:tcPr>
            <w:tcW w:type="dxa" w:w="6560"/>
            <w:tcBorders>
              <w:top w:val="single" w:color="DDDDDD" w:sz="1"/>
              <w:left w:val="single" w:color="DDDDDD" w:sz="1"/>
              <w:bottom w:val="single" w:color="DDDDDD" w:sz="1"/>
              <w:right w:val="single" w:color="DDDDDD" w:sz="1"/>
            </w:tcBorders>
            <w:shd w:fill="F3F4F6" w:val="clear"/>
            <w:tcMar>
              <w:top w:type="dxa" w:w="100"/>
              <w:left w:type="dxa" w:w="140"/>
              <w:bottom w:type="dxa" w:w="100"/>
              <w:right w:type="dxa" w:w="140"/>
            </w:tcMar>
            <w:vAlign w:val="center"/>
          </w:tcPr>
          <w:p>
            <w:pPr>
              <w:spacing w:before="60" w:after="60"/>
              <w:jc w:val="left"/>
            </w:pPr>
            <w:r>
              <w:rPr>
                <w:rFonts w:ascii="Arial" w:cs="Arial" w:eastAsia="Arial" w:hAnsi="Arial"/>
                <w:b w:val="false"/>
                <w:bCs w:val="false"/>
                <w:i w:val="false"/>
                <w:iCs w:val="false"/>
                <w:color w:val="111827"/>
                <w:sz w:val="20"/>
                <w:szCs w:val="20"/>
              </w:rPr>
              <w:t xml:space="preserve">Percentage of claims paid vs claims received in a financial year. Higher CSR = more reliable insurer.</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60" w:after="60"/>
              <w:jc w:val="left"/>
            </w:pPr>
            <w:r>
              <w:rPr>
                <w:rFonts w:ascii="Arial" w:cs="Arial" w:eastAsia="Arial" w:hAnsi="Arial"/>
                <w:b/>
                <w:bCs/>
                <w:i w:val="false"/>
                <w:iCs w:val="false"/>
                <w:color w:val="1B3A6B"/>
                <w:sz w:val="20"/>
                <w:szCs w:val="20"/>
              </w:rPr>
              <w:t xml:space="preserve">Co-payment / Co-pay</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60" w:after="60"/>
              <w:jc w:val="left"/>
            </w:pPr>
            <w:r>
              <w:rPr>
                <w:rFonts w:ascii="Arial" w:cs="Arial" w:eastAsia="Arial" w:hAnsi="Arial"/>
                <w:b w:val="false"/>
                <w:bCs w:val="false"/>
                <w:i w:val="false"/>
                <w:iCs w:val="false"/>
                <w:color w:val="111827"/>
                <w:sz w:val="20"/>
                <w:szCs w:val="20"/>
              </w:rPr>
              <w:t xml:space="preserve">The portion of the claim the insured must pay. E.g., 10% co-pay means insurer pays 90%, you pay 10%.</w:t>
            </w:r>
          </w:p>
        </w:tc>
      </w:tr>
      <w:tr>
        <w:tc>
          <w:tcPr>
            <w:tcW w:type="dxa" w:w="2800"/>
            <w:tcBorders>
              <w:top w:val="single" w:color="DDDDDD" w:sz="1"/>
              <w:left w:val="single" w:color="DDDDDD" w:sz="1"/>
              <w:bottom w:val="single" w:color="DDDDDD" w:sz="1"/>
              <w:right w:val="single" w:color="DDDDDD" w:sz="1"/>
            </w:tcBorders>
            <w:shd w:fill="DBEAFE" w:val="clear"/>
            <w:tcMar>
              <w:top w:type="dxa" w:w="100"/>
              <w:left w:type="dxa" w:w="140"/>
              <w:bottom w:type="dxa" w:w="100"/>
              <w:right w:type="dxa" w:w="140"/>
            </w:tcMar>
            <w:vAlign w:val="center"/>
          </w:tcPr>
          <w:p>
            <w:pPr>
              <w:spacing w:before="60" w:after="60"/>
              <w:jc w:val="left"/>
            </w:pPr>
            <w:r>
              <w:rPr>
                <w:rFonts w:ascii="Arial" w:cs="Arial" w:eastAsia="Arial" w:hAnsi="Arial"/>
                <w:b/>
                <w:bCs/>
                <w:i w:val="false"/>
                <w:iCs w:val="false"/>
                <w:color w:val="1B3A6B"/>
                <w:sz w:val="20"/>
                <w:szCs w:val="20"/>
              </w:rPr>
              <w:t xml:space="preserve">Deductible</w:t>
            </w:r>
          </w:p>
        </w:tc>
        <w:tc>
          <w:tcPr>
            <w:tcW w:type="dxa" w:w="6560"/>
            <w:tcBorders>
              <w:top w:val="single" w:color="DDDDDD" w:sz="1"/>
              <w:left w:val="single" w:color="DDDDDD" w:sz="1"/>
              <w:bottom w:val="single" w:color="DDDDDD" w:sz="1"/>
              <w:right w:val="single" w:color="DDDDDD" w:sz="1"/>
            </w:tcBorders>
            <w:shd w:fill="F3F4F6" w:val="clear"/>
            <w:tcMar>
              <w:top w:type="dxa" w:w="100"/>
              <w:left w:type="dxa" w:w="140"/>
              <w:bottom w:type="dxa" w:w="100"/>
              <w:right w:type="dxa" w:w="140"/>
            </w:tcMar>
            <w:vAlign w:val="center"/>
          </w:tcPr>
          <w:p>
            <w:pPr>
              <w:spacing w:before="60" w:after="60"/>
              <w:jc w:val="left"/>
            </w:pPr>
            <w:r>
              <w:rPr>
                <w:rFonts w:ascii="Arial" w:cs="Arial" w:eastAsia="Arial" w:hAnsi="Arial"/>
                <w:b w:val="false"/>
                <w:bCs w:val="false"/>
                <w:i w:val="false"/>
                <w:iCs w:val="false"/>
                <w:color w:val="111827"/>
                <w:sz w:val="20"/>
                <w:szCs w:val="20"/>
              </w:rPr>
              <w:t xml:space="preserve">Fixed amount you pay before insurance kicks in. Higher deductible = lower premium.</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60" w:after="60"/>
              <w:jc w:val="left"/>
            </w:pPr>
            <w:r>
              <w:rPr>
                <w:rFonts w:ascii="Arial" w:cs="Arial" w:eastAsia="Arial" w:hAnsi="Arial"/>
                <w:b/>
                <w:bCs/>
                <w:i w:val="false"/>
                <w:iCs w:val="false"/>
                <w:color w:val="1B3A6B"/>
                <w:sz w:val="20"/>
                <w:szCs w:val="20"/>
              </w:rPr>
              <w:t xml:space="preserve">Endorsement</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60" w:after="60"/>
              <w:jc w:val="left"/>
            </w:pPr>
            <w:r>
              <w:rPr>
                <w:rFonts w:ascii="Arial" w:cs="Arial" w:eastAsia="Arial" w:hAnsi="Arial"/>
                <w:b w:val="false"/>
                <w:bCs w:val="false"/>
                <w:i w:val="false"/>
                <w:iCs w:val="false"/>
                <w:color w:val="111827"/>
                <w:sz w:val="20"/>
                <w:szCs w:val="20"/>
              </w:rPr>
              <w:t xml:space="preserve">A written amendment to the insurance policy that changes its terms or coverage.</w:t>
            </w:r>
          </w:p>
        </w:tc>
      </w:tr>
      <w:tr>
        <w:tc>
          <w:tcPr>
            <w:tcW w:type="dxa" w:w="2800"/>
            <w:tcBorders>
              <w:top w:val="single" w:color="DDDDDD" w:sz="1"/>
              <w:left w:val="single" w:color="DDDDDD" w:sz="1"/>
              <w:bottom w:val="single" w:color="DDDDDD" w:sz="1"/>
              <w:right w:val="single" w:color="DDDDDD" w:sz="1"/>
            </w:tcBorders>
            <w:shd w:fill="DBEAFE" w:val="clear"/>
            <w:tcMar>
              <w:top w:type="dxa" w:w="100"/>
              <w:left w:type="dxa" w:w="140"/>
              <w:bottom w:type="dxa" w:w="100"/>
              <w:right w:type="dxa" w:w="140"/>
            </w:tcMar>
            <w:vAlign w:val="center"/>
          </w:tcPr>
          <w:p>
            <w:pPr>
              <w:spacing w:before="60" w:after="60"/>
              <w:jc w:val="left"/>
            </w:pPr>
            <w:r>
              <w:rPr>
                <w:rFonts w:ascii="Arial" w:cs="Arial" w:eastAsia="Arial" w:hAnsi="Arial"/>
                <w:b/>
                <w:bCs/>
                <w:i w:val="false"/>
                <w:iCs w:val="false"/>
                <w:color w:val="1B3A6B"/>
                <w:sz w:val="20"/>
                <w:szCs w:val="20"/>
              </w:rPr>
              <w:t xml:space="preserve">Exclusion</w:t>
            </w:r>
          </w:p>
        </w:tc>
        <w:tc>
          <w:tcPr>
            <w:tcW w:type="dxa" w:w="6560"/>
            <w:tcBorders>
              <w:top w:val="single" w:color="DDDDDD" w:sz="1"/>
              <w:left w:val="single" w:color="DDDDDD" w:sz="1"/>
              <w:bottom w:val="single" w:color="DDDDDD" w:sz="1"/>
              <w:right w:val="single" w:color="DDDDDD" w:sz="1"/>
            </w:tcBorders>
            <w:shd w:fill="F3F4F6" w:val="clear"/>
            <w:tcMar>
              <w:top w:type="dxa" w:w="100"/>
              <w:left w:type="dxa" w:w="140"/>
              <w:bottom w:type="dxa" w:w="100"/>
              <w:right w:type="dxa" w:w="140"/>
            </w:tcMar>
            <w:vAlign w:val="center"/>
          </w:tcPr>
          <w:p>
            <w:pPr>
              <w:spacing w:before="60" w:after="60"/>
              <w:jc w:val="left"/>
            </w:pPr>
            <w:r>
              <w:rPr>
                <w:rFonts w:ascii="Arial" w:cs="Arial" w:eastAsia="Arial" w:hAnsi="Arial"/>
                <w:b w:val="false"/>
                <w:bCs w:val="false"/>
                <w:i w:val="false"/>
                <w:iCs w:val="false"/>
                <w:color w:val="111827"/>
                <w:sz w:val="20"/>
                <w:szCs w:val="20"/>
              </w:rPr>
              <w:t xml:space="preserve">Specific risks, conditions, or events that are NOT covered by the policy.</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60" w:after="60"/>
              <w:jc w:val="left"/>
            </w:pPr>
            <w:r>
              <w:rPr>
                <w:rFonts w:ascii="Arial" w:cs="Arial" w:eastAsia="Arial" w:hAnsi="Arial"/>
                <w:b/>
                <w:bCs/>
                <w:i w:val="false"/>
                <w:iCs w:val="false"/>
                <w:color w:val="1B3A6B"/>
                <w:sz w:val="20"/>
                <w:szCs w:val="20"/>
              </w:rPr>
              <w:t xml:space="preserve">Free Look Period</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60" w:after="60"/>
              <w:jc w:val="left"/>
            </w:pPr>
            <w:r>
              <w:rPr>
                <w:rFonts w:ascii="Arial" w:cs="Arial" w:eastAsia="Arial" w:hAnsi="Arial"/>
                <w:b w:val="false"/>
                <w:bCs w:val="false"/>
                <w:i w:val="false"/>
                <w:iCs w:val="false"/>
                <w:color w:val="111827"/>
                <w:sz w:val="20"/>
                <w:szCs w:val="20"/>
              </w:rPr>
              <w:t xml:space="preserve">30-day window after receiving policy document to review and return for a refund.</w:t>
            </w:r>
          </w:p>
        </w:tc>
      </w:tr>
      <w:tr>
        <w:tc>
          <w:tcPr>
            <w:tcW w:type="dxa" w:w="2800"/>
            <w:tcBorders>
              <w:top w:val="single" w:color="DDDDDD" w:sz="1"/>
              <w:left w:val="single" w:color="DDDDDD" w:sz="1"/>
              <w:bottom w:val="single" w:color="DDDDDD" w:sz="1"/>
              <w:right w:val="single" w:color="DDDDDD" w:sz="1"/>
            </w:tcBorders>
            <w:shd w:fill="DBEAFE" w:val="clear"/>
            <w:tcMar>
              <w:top w:type="dxa" w:w="100"/>
              <w:left w:type="dxa" w:w="140"/>
              <w:bottom w:type="dxa" w:w="100"/>
              <w:right w:type="dxa" w:w="140"/>
            </w:tcMar>
            <w:vAlign w:val="center"/>
          </w:tcPr>
          <w:p>
            <w:pPr>
              <w:spacing w:before="60" w:after="60"/>
              <w:jc w:val="left"/>
            </w:pPr>
            <w:r>
              <w:rPr>
                <w:rFonts w:ascii="Arial" w:cs="Arial" w:eastAsia="Arial" w:hAnsi="Arial"/>
                <w:b/>
                <w:bCs/>
                <w:i w:val="false"/>
                <w:iCs w:val="false"/>
                <w:color w:val="1B3A6B"/>
                <w:sz w:val="20"/>
                <w:szCs w:val="20"/>
              </w:rPr>
              <w:t xml:space="preserve">Grace Period</w:t>
            </w:r>
          </w:p>
        </w:tc>
        <w:tc>
          <w:tcPr>
            <w:tcW w:type="dxa" w:w="6560"/>
            <w:tcBorders>
              <w:top w:val="single" w:color="DDDDDD" w:sz="1"/>
              <w:left w:val="single" w:color="DDDDDD" w:sz="1"/>
              <w:bottom w:val="single" w:color="DDDDDD" w:sz="1"/>
              <w:right w:val="single" w:color="DDDDDD" w:sz="1"/>
            </w:tcBorders>
            <w:shd w:fill="F3F4F6" w:val="clear"/>
            <w:tcMar>
              <w:top w:type="dxa" w:w="100"/>
              <w:left w:type="dxa" w:w="140"/>
              <w:bottom w:type="dxa" w:w="100"/>
              <w:right w:type="dxa" w:w="140"/>
            </w:tcMar>
            <w:vAlign w:val="center"/>
          </w:tcPr>
          <w:p>
            <w:pPr>
              <w:spacing w:before="60" w:after="60"/>
              <w:jc w:val="left"/>
            </w:pPr>
            <w:r>
              <w:rPr>
                <w:rFonts w:ascii="Arial" w:cs="Arial" w:eastAsia="Arial" w:hAnsi="Arial"/>
                <w:b w:val="false"/>
                <w:bCs w:val="false"/>
                <w:i w:val="false"/>
                <w:iCs w:val="false"/>
                <w:color w:val="111827"/>
                <w:sz w:val="20"/>
                <w:szCs w:val="20"/>
              </w:rPr>
              <w:t xml:space="preserve">Additional time (15–30 days after due date) to pay premium without policy lapse.</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60" w:after="60"/>
              <w:jc w:val="left"/>
            </w:pPr>
            <w:r>
              <w:rPr>
                <w:rFonts w:ascii="Arial" w:cs="Arial" w:eastAsia="Arial" w:hAnsi="Arial"/>
                <w:b/>
                <w:bCs/>
                <w:i w:val="false"/>
                <w:iCs w:val="false"/>
                <w:color w:val="1B3A6B"/>
                <w:sz w:val="20"/>
                <w:szCs w:val="20"/>
              </w:rPr>
              <w:t xml:space="preserve">IDV (Insured Declared Value)</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60" w:after="60"/>
              <w:jc w:val="left"/>
            </w:pPr>
            <w:r>
              <w:rPr>
                <w:rFonts w:ascii="Arial" w:cs="Arial" w:eastAsia="Arial" w:hAnsi="Arial"/>
                <w:b w:val="false"/>
                <w:bCs w:val="false"/>
                <w:i w:val="false"/>
                <w:iCs w:val="false"/>
                <w:color w:val="111827"/>
                <w:sz w:val="20"/>
                <w:szCs w:val="20"/>
              </w:rPr>
              <w:t xml:space="preserve">Current market value of a vehicle, used as the maximum payout in total loss/theft.</w:t>
            </w:r>
          </w:p>
        </w:tc>
      </w:tr>
      <w:tr>
        <w:tc>
          <w:tcPr>
            <w:tcW w:type="dxa" w:w="2800"/>
            <w:tcBorders>
              <w:top w:val="single" w:color="DDDDDD" w:sz="1"/>
              <w:left w:val="single" w:color="DDDDDD" w:sz="1"/>
              <w:bottom w:val="single" w:color="DDDDDD" w:sz="1"/>
              <w:right w:val="single" w:color="DDDDDD" w:sz="1"/>
            </w:tcBorders>
            <w:shd w:fill="DBEAFE" w:val="clear"/>
            <w:tcMar>
              <w:top w:type="dxa" w:w="100"/>
              <w:left w:type="dxa" w:w="140"/>
              <w:bottom w:type="dxa" w:w="100"/>
              <w:right w:type="dxa" w:w="140"/>
            </w:tcMar>
            <w:vAlign w:val="center"/>
          </w:tcPr>
          <w:p>
            <w:pPr>
              <w:spacing w:before="60" w:after="60"/>
              <w:jc w:val="left"/>
            </w:pPr>
            <w:r>
              <w:rPr>
                <w:rFonts w:ascii="Arial" w:cs="Arial" w:eastAsia="Arial" w:hAnsi="Arial"/>
                <w:b/>
                <w:bCs/>
                <w:i w:val="false"/>
                <w:iCs w:val="false"/>
                <w:color w:val="1B3A6B"/>
                <w:sz w:val="20"/>
                <w:szCs w:val="20"/>
              </w:rPr>
              <w:t xml:space="preserve">Indemnity</w:t>
            </w:r>
          </w:p>
        </w:tc>
        <w:tc>
          <w:tcPr>
            <w:tcW w:type="dxa" w:w="6560"/>
            <w:tcBorders>
              <w:top w:val="single" w:color="DDDDDD" w:sz="1"/>
              <w:left w:val="single" w:color="DDDDDD" w:sz="1"/>
              <w:bottom w:val="single" w:color="DDDDDD" w:sz="1"/>
              <w:right w:val="single" w:color="DDDDDD" w:sz="1"/>
            </w:tcBorders>
            <w:shd w:fill="F3F4F6" w:val="clear"/>
            <w:tcMar>
              <w:top w:type="dxa" w:w="100"/>
              <w:left w:type="dxa" w:w="140"/>
              <w:bottom w:type="dxa" w:w="100"/>
              <w:right w:type="dxa" w:w="140"/>
            </w:tcMar>
            <w:vAlign w:val="center"/>
          </w:tcPr>
          <w:p>
            <w:pPr>
              <w:spacing w:before="60" w:after="60"/>
              <w:jc w:val="left"/>
            </w:pPr>
            <w:r>
              <w:rPr>
                <w:rFonts w:ascii="Arial" w:cs="Arial" w:eastAsia="Arial" w:hAnsi="Arial"/>
                <w:b w:val="false"/>
                <w:bCs w:val="false"/>
                <w:i w:val="false"/>
                <w:iCs w:val="false"/>
                <w:color w:val="111827"/>
                <w:sz w:val="20"/>
                <w:szCs w:val="20"/>
              </w:rPr>
              <w:t xml:space="preserve">Core insurance principle — you are compensated for actual loss, not more than the actual loss.</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60" w:after="60"/>
              <w:jc w:val="left"/>
            </w:pPr>
            <w:r>
              <w:rPr>
                <w:rFonts w:ascii="Arial" w:cs="Arial" w:eastAsia="Arial" w:hAnsi="Arial"/>
                <w:b/>
                <w:bCs/>
                <w:i w:val="false"/>
                <w:iCs w:val="false"/>
                <w:color w:val="1B3A6B"/>
                <w:sz w:val="20"/>
                <w:szCs w:val="20"/>
              </w:rPr>
              <w:t xml:space="preserve">Lapsed Policy</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60" w:after="60"/>
              <w:jc w:val="left"/>
            </w:pPr>
            <w:r>
              <w:rPr>
                <w:rFonts w:ascii="Arial" w:cs="Arial" w:eastAsia="Arial" w:hAnsi="Arial"/>
                <w:b w:val="false"/>
                <w:bCs w:val="false"/>
                <w:i w:val="false"/>
                <w:iCs w:val="false"/>
                <w:color w:val="111827"/>
                <w:sz w:val="20"/>
                <w:szCs w:val="20"/>
              </w:rPr>
              <w:t xml:space="preserve">Policy where premium payment stopped and grace period expired — no coverage.</w:t>
            </w:r>
          </w:p>
        </w:tc>
      </w:tr>
      <w:tr>
        <w:tc>
          <w:tcPr>
            <w:tcW w:type="dxa" w:w="2800"/>
            <w:tcBorders>
              <w:top w:val="single" w:color="DDDDDD" w:sz="1"/>
              <w:left w:val="single" w:color="DDDDDD" w:sz="1"/>
              <w:bottom w:val="single" w:color="DDDDDD" w:sz="1"/>
              <w:right w:val="single" w:color="DDDDDD" w:sz="1"/>
            </w:tcBorders>
            <w:shd w:fill="DBEAFE" w:val="clear"/>
            <w:tcMar>
              <w:top w:type="dxa" w:w="100"/>
              <w:left w:type="dxa" w:w="140"/>
              <w:bottom w:type="dxa" w:w="100"/>
              <w:right w:type="dxa" w:w="140"/>
            </w:tcMar>
            <w:vAlign w:val="center"/>
          </w:tcPr>
          <w:p>
            <w:pPr>
              <w:spacing w:before="60" w:after="60"/>
              <w:jc w:val="left"/>
            </w:pPr>
            <w:r>
              <w:rPr>
                <w:rFonts w:ascii="Arial" w:cs="Arial" w:eastAsia="Arial" w:hAnsi="Arial"/>
                <w:b/>
                <w:bCs/>
                <w:i w:val="false"/>
                <w:iCs w:val="false"/>
                <w:color w:val="1B3A6B"/>
                <w:sz w:val="20"/>
                <w:szCs w:val="20"/>
              </w:rPr>
              <w:t xml:space="preserve">Loading</w:t>
            </w:r>
          </w:p>
        </w:tc>
        <w:tc>
          <w:tcPr>
            <w:tcW w:type="dxa" w:w="6560"/>
            <w:tcBorders>
              <w:top w:val="single" w:color="DDDDDD" w:sz="1"/>
              <w:left w:val="single" w:color="DDDDDD" w:sz="1"/>
              <w:bottom w:val="single" w:color="DDDDDD" w:sz="1"/>
              <w:right w:val="single" w:color="DDDDDD" w:sz="1"/>
            </w:tcBorders>
            <w:shd w:fill="F3F4F6" w:val="clear"/>
            <w:tcMar>
              <w:top w:type="dxa" w:w="100"/>
              <w:left w:type="dxa" w:w="140"/>
              <w:bottom w:type="dxa" w:w="100"/>
              <w:right w:type="dxa" w:w="140"/>
            </w:tcMar>
            <w:vAlign w:val="center"/>
          </w:tcPr>
          <w:p>
            <w:pPr>
              <w:spacing w:before="60" w:after="60"/>
              <w:jc w:val="left"/>
            </w:pPr>
            <w:r>
              <w:rPr>
                <w:rFonts w:ascii="Arial" w:cs="Arial" w:eastAsia="Arial" w:hAnsi="Arial"/>
                <w:b w:val="false"/>
                <w:bCs w:val="false"/>
                <w:i w:val="false"/>
                <w:iCs w:val="false"/>
                <w:color w:val="111827"/>
                <w:sz w:val="20"/>
                <w:szCs w:val="20"/>
              </w:rPr>
              <w:t xml:space="preserve">Additional premium charged for higher risk factors (age, occupation, medical conditions).</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60" w:after="60"/>
              <w:jc w:val="left"/>
            </w:pPr>
            <w:r>
              <w:rPr>
                <w:rFonts w:ascii="Arial" w:cs="Arial" w:eastAsia="Arial" w:hAnsi="Arial"/>
                <w:b/>
                <w:bCs/>
                <w:i w:val="false"/>
                <w:iCs w:val="false"/>
                <w:color w:val="1B3A6B"/>
                <w:sz w:val="20"/>
                <w:szCs w:val="20"/>
              </w:rPr>
              <w:t xml:space="preserve">Maturity Benefit</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60" w:after="60"/>
              <w:jc w:val="left"/>
            </w:pPr>
            <w:r>
              <w:rPr>
                <w:rFonts w:ascii="Arial" w:cs="Arial" w:eastAsia="Arial" w:hAnsi="Arial"/>
                <w:b w:val="false"/>
                <w:bCs w:val="false"/>
                <w:i w:val="false"/>
                <w:iCs w:val="false"/>
                <w:color w:val="111827"/>
                <w:sz w:val="20"/>
                <w:szCs w:val="20"/>
              </w:rPr>
              <w:t xml:space="preserve">Amount paid by insurer when the policy term ends and the insured survives.</w:t>
            </w:r>
          </w:p>
        </w:tc>
      </w:tr>
      <w:tr>
        <w:tc>
          <w:tcPr>
            <w:tcW w:type="dxa" w:w="2800"/>
            <w:tcBorders>
              <w:top w:val="single" w:color="DDDDDD" w:sz="1"/>
              <w:left w:val="single" w:color="DDDDDD" w:sz="1"/>
              <w:bottom w:val="single" w:color="DDDDDD" w:sz="1"/>
              <w:right w:val="single" w:color="DDDDDD" w:sz="1"/>
            </w:tcBorders>
            <w:shd w:fill="DBEAFE" w:val="clear"/>
            <w:tcMar>
              <w:top w:type="dxa" w:w="100"/>
              <w:left w:type="dxa" w:w="140"/>
              <w:bottom w:type="dxa" w:w="100"/>
              <w:right w:type="dxa" w:w="140"/>
            </w:tcMar>
            <w:vAlign w:val="center"/>
          </w:tcPr>
          <w:p>
            <w:pPr>
              <w:spacing w:before="60" w:after="60"/>
              <w:jc w:val="left"/>
            </w:pPr>
            <w:r>
              <w:rPr>
                <w:rFonts w:ascii="Arial" w:cs="Arial" w:eastAsia="Arial" w:hAnsi="Arial"/>
                <w:b/>
                <w:bCs/>
                <w:i w:val="false"/>
                <w:iCs w:val="false"/>
                <w:color w:val="1B3A6B"/>
                <w:sz w:val="20"/>
                <w:szCs w:val="20"/>
              </w:rPr>
              <w:t xml:space="preserve">Moratorium</w:t>
            </w:r>
          </w:p>
        </w:tc>
        <w:tc>
          <w:tcPr>
            <w:tcW w:type="dxa" w:w="6560"/>
            <w:tcBorders>
              <w:top w:val="single" w:color="DDDDDD" w:sz="1"/>
              <w:left w:val="single" w:color="DDDDDD" w:sz="1"/>
              <w:bottom w:val="single" w:color="DDDDDD" w:sz="1"/>
              <w:right w:val="single" w:color="DDDDDD" w:sz="1"/>
            </w:tcBorders>
            <w:shd w:fill="F3F4F6" w:val="clear"/>
            <w:tcMar>
              <w:top w:type="dxa" w:w="100"/>
              <w:left w:type="dxa" w:w="140"/>
              <w:bottom w:type="dxa" w:w="100"/>
              <w:right w:type="dxa" w:w="140"/>
            </w:tcMar>
            <w:vAlign w:val="center"/>
          </w:tcPr>
          <w:p>
            <w:pPr>
              <w:spacing w:before="60" w:after="60"/>
              <w:jc w:val="left"/>
            </w:pPr>
            <w:r>
              <w:rPr>
                <w:rFonts w:ascii="Arial" w:cs="Arial" w:eastAsia="Arial" w:hAnsi="Arial"/>
                <w:b w:val="false"/>
                <w:bCs w:val="false"/>
                <w:i w:val="false"/>
                <w:iCs w:val="false"/>
                <w:color w:val="111827"/>
                <w:sz w:val="20"/>
                <w:szCs w:val="20"/>
              </w:rPr>
              <w:t xml:space="preserve">After 8 years of continuous health insurance, insurer cannot repudiate claims for pre-existing non-disclosures.</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60" w:after="60"/>
              <w:jc w:val="left"/>
            </w:pPr>
            <w:r>
              <w:rPr>
                <w:rFonts w:ascii="Arial" w:cs="Arial" w:eastAsia="Arial" w:hAnsi="Arial"/>
                <w:b/>
                <w:bCs/>
                <w:i w:val="false"/>
                <w:iCs w:val="false"/>
                <w:color w:val="1B3A6B"/>
                <w:sz w:val="20"/>
                <w:szCs w:val="20"/>
              </w:rPr>
              <w:t xml:space="preserve">NCB (No Claim Bonus)</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60" w:after="60"/>
              <w:jc w:val="left"/>
            </w:pPr>
            <w:r>
              <w:rPr>
                <w:rFonts w:ascii="Arial" w:cs="Arial" w:eastAsia="Arial" w:hAnsi="Arial"/>
                <w:b w:val="false"/>
                <w:bCs w:val="false"/>
                <w:i w:val="false"/>
                <w:iCs w:val="false"/>
                <w:color w:val="111827"/>
                <w:sz w:val="20"/>
                <w:szCs w:val="20"/>
              </w:rPr>
              <w:t xml:space="preserve">Discount (20–50%) on own damage premium for each claim-free year in vehicle insurance.</w:t>
            </w:r>
          </w:p>
        </w:tc>
      </w:tr>
      <w:tr>
        <w:tc>
          <w:tcPr>
            <w:tcW w:type="dxa" w:w="2800"/>
            <w:tcBorders>
              <w:top w:val="single" w:color="DDDDDD" w:sz="1"/>
              <w:left w:val="single" w:color="DDDDDD" w:sz="1"/>
              <w:bottom w:val="single" w:color="DDDDDD" w:sz="1"/>
              <w:right w:val="single" w:color="DDDDDD" w:sz="1"/>
            </w:tcBorders>
            <w:shd w:fill="DBEAFE" w:val="clear"/>
            <w:tcMar>
              <w:top w:type="dxa" w:w="100"/>
              <w:left w:type="dxa" w:w="140"/>
              <w:bottom w:type="dxa" w:w="100"/>
              <w:right w:type="dxa" w:w="140"/>
            </w:tcMar>
            <w:vAlign w:val="center"/>
          </w:tcPr>
          <w:p>
            <w:pPr>
              <w:spacing w:before="60" w:after="60"/>
              <w:jc w:val="left"/>
            </w:pPr>
            <w:r>
              <w:rPr>
                <w:rFonts w:ascii="Arial" w:cs="Arial" w:eastAsia="Arial" w:hAnsi="Arial"/>
                <w:b/>
                <w:bCs/>
                <w:i w:val="false"/>
                <w:iCs w:val="false"/>
                <w:color w:val="1B3A6B"/>
                <w:sz w:val="20"/>
                <w:szCs w:val="20"/>
              </w:rPr>
              <w:t xml:space="preserve">Nominee</w:t>
            </w:r>
          </w:p>
        </w:tc>
        <w:tc>
          <w:tcPr>
            <w:tcW w:type="dxa" w:w="6560"/>
            <w:tcBorders>
              <w:top w:val="single" w:color="DDDDDD" w:sz="1"/>
              <w:left w:val="single" w:color="DDDDDD" w:sz="1"/>
              <w:bottom w:val="single" w:color="DDDDDD" w:sz="1"/>
              <w:right w:val="single" w:color="DDDDDD" w:sz="1"/>
            </w:tcBorders>
            <w:shd w:fill="F3F4F6" w:val="clear"/>
            <w:tcMar>
              <w:top w:type="dxa" w:w="100"/>
              <w:left w:type="dxa" w:w="140"/>
              <w:bottom w:type="dxa" w:w="100"/>
              <w:right w:type="dxa" w:w="140"/>
            </w:tcMar>
            <w:vAlign w:val="center"/>
          </w:tcPr>
          <w:p>
            <w:pPr>
              <w:spacing w:before="60" w:after="60"/>
              <w:jc w:val="left"/>
            </w:pPr>
            <w:r>
              <w:rPr>
                <w:rFonts w:ascii="Arial" w:cs="Arial" w:eastAsia="Arial" w:hAnsi="Arial"/>
                <w:b w:val="false"/>
                <w:bCs w:val="false"/>
                <w:i w:val="false"/>
                <w:iCs w:val="false"/>
                <w:color w:val="111827"/>
                <w:sz w:val="20"/>
                <w:szCs w:val="20"/>
              </w:rPr>
              <w:t xml:space="preserve">Person designated to receive the insurance payout in case of the insured's death.</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60" w:after="60"/>
              <w:jc w:val="left"/>
            </w:pPr>
            <w:r>
              <w:rPr>
                <w:rFonts w:ascii="Arial" w:cs="Arial" w:eastAsia="Arial" w:hAnsi="Arial"/>
                <w:b/>
                <w:bCs/>
                <w:i w:val="false"/>
                <w:iCs w:val="false"/>
                <w:color w:val="1B3A6B"/>
                <w:sz w:val="20"/>
                <w:szCs w:val="20"/>
              </w:rPr>
              <w:t xml:space="preserve">OPD (Out-Patient Department)</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60" w:after="60"/>
              <w:jc w:val="left"/>
            </w:pPr>
            <w:r>
              <w:rPr>
                <w:rFonts w:ascii="Arial" w:cs="Arial" w:eastAsia="Arial" w:hAnsi="Arial"/>
                <w:b w:val="false"/>
                <w:bCs w:val="false"/>
                <w:i w:val="false"/>
                <w:iCs w:val="false"/>
                <w:color w:val="111827"/>
                <w:sz w:val="20"/>
                <w:szCs w:val="20"/>
              </w:rPr>
              <w:t xml:space="preserve">Medical treatment that doesn't require overnight hospitalisation. Usually excluded unless add-on opted.</w:t>
            </w:r>
          </w:p>
        </w:tc>
      </w:tr>
      <w:tr>
        <w:tc>
          <w:tcPr>
            <w:tcW w:type="dxa" w:w="2800"/>
            <w:tcBorders>
              <w:top w:val="single" w:color="DDDDDD" w:sz="1"/>
              <w:left w:val="single" w:color="DDDDDD" w:sz="1"/>
              <w:bottom w:val="single" w:color="DDDDDD" w:sz="1"/>
              <w:right w:val="single" w:color="DDDDDD" w:sz="1"/>
            </w:tcBorders>
            <w:shd w:fill="DBEAFE" w:val="clear"/>
            <w:tcMar>
              <w:top w:type="dxa" w:w="100"/>
              <w:left w:type="dxa" w:w="140"/>
              <w:bottom w:type="dxa" w:w="100"/>
              <w:right w:type="dxa" w:w="140"/>
            </w:tcMar>
            <w:vAlign w:val="center"/>
          </w:tcPr>
          <w:p>
            <w:pPr>
              <w:spacing w:before="60" w:after="60"/>
              <w:jc w:val="left"/>
            </w:pPr>
            <w:r>
              <w:rPr>
                <w:rFonts w:ascii="Arial" w:cs="Arial" w:eastAsia="Arial" w:hAnsi="Arial"/>
                <w:b/>
                <w:bCs/>
                <w:i w:val="false"/>
                <w:iCs w:val="false"/>
                <w:color w:val="1B3A6B"/>
                <w:sz w:val="20"/>
                <w:szCs w:val="20"/>
              </w:rPr>
              <w:t xml:space="preserve">Portability</w:t>
            </w:r>
          </w:p>
        </w:tc>
        <w:tc>
          <w:tcPr>
            <w:tcW w:type="dxa" w:w="6560"/>
            <w:tcBorders>
              <w:top w:val="single" w:color="DDDDDD" w:sz="1"/>
              <w:left w:val="single" w:color="DDDDDD" w:sz="1"/>
              <w:bottom w:val="single" w:color="DDDDDD" w:sz="1"/>
              <w:right w:val="single" w:color="DDDDDD" w:sz="1"/>
            </w:tcBorders>
            <w:shd w:fill="F3F4F6" w:val="clear"/>
            <w:tcMar>
              <w:top w:type="dxa" w:w="100"/>
              <w:left w:type="dxa" w:w="140"/>
              <w:bottom w:type="dxa" w:w="100"/>
              <w:right w:type="dxa" w:w="140"/>
            </w:tcMar>
            <w:vAlign w:val="center"/>
          </w:tcPr>
          <w:p>
            <w:pPr>
              <w:spacing w:before="60" w:after="60"/>
              <w:jc w:val="left"/>
            </w:pPr>
            <w:r>
              <w:rPr>
                <w:rFonts w:ascii="Arial" w:cs="Arial" w:eastAsia="Arial" w:hAnsi="Arial"/>
                <w:b w:val="false"/>
                <w:bCs w:val="false"/>
                <w:i w:val="false"/>
                <w:iCs w:val="false"/>
                <w:color w:val="111827"/>
                <w:sz w:val="20"/>
                <w:szCs w:val="20"/>
              </w:rPr>
              <w:t xml:space="preserve">Right to transfer health policy to a new insurer while retaining waiting period benefits.</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60" w:after="60"/>
              <w:jc w:val="left"/>
            </w:pPr>
            <w:r>
              <w:rPr>
                <w:rFonts w:ascii="Arial" w:cs="Arial" w:eastAsia="Arial" w:hAnsi="Arial"/>
                <w:b/>
                <w:bCs/>
                <w:i w:val="false"/>
                <w:iCs w:val="false"/>
                <w:color w:val="1B3A6B"/>
                <w:sz w:val="20"/>
                <w:szCs w:val="20"/>
              </w:rPr>
              <w:t xml:space="preserve">Pre-existing Condition (PED)</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60" w:after="60"/>
              <w:jc w:val="left"/>
            </w:pPr>
            <w:r>
              <w:rPr>
                <w:rFonts w:ascii="Arial" w:cs="Arial" w:eastAsia="Arial" w:hAnsi="Arial"/>
                <w:b w:val="false"/>
                <w:bCs w:val="false"/>
                <w:i w:val="false"/>
                <w:iCs w:val="false"/>
                <w:color w:val="111827"/>
                <w:sz w:val="20"/>
                <w:szCs w:val="20"/>
              </w:rPr>
              <w:t xml:space="preserve">Any medical condition diagnosed/treated before buying the policy. Usually has a waiting period of 2–4 years.</w:t>
            </w:r>
          </w:p>
        </w:tc>
      </w:tr>
      <w:tr>
        <w:tc>
          <w:tcPr>
            <w:tcW w:type="dxa" w:w="2800"/>
            <w:tcBorders>
              <w:top w:val="single" w:color="DDDDDD" w:sz="1"/>
              <w:left w:val="single" w:color="DDDDDD" w:sz="1"/>
              <w:bottom w:val="single" w:color="DDDDDD" w:sz="1"/>
              <w:right w:val="single" w:color="DDDDDD" w:sz="1"/>
            </w:tcBorders>
            <w:shd w:fill="DBEAFE" w:val="clear"/>
            <w:tcMar>
              <w:top w:type="dxa" w:w="100"/>
              <w:left w:type="dxa" w:w="140"/>
              <w:bottom w:type="dxa" w:w="100"/>
              <w:right w:type="dxa" w:w="140"/>
            </w:tcMar>
            <w:vAlign w:val="center"/>
          </w:tcPr>
          <w:p>
            <w:pPr>
              <w:spacing w:before="60" w:after="60"/>
              <w:jc w:val="left"/>
            </w:pPr>
            <w:r>
              <w:rPr>
                <w:rFonts w:ascii="Arial" w:cs="Arial" w:eastAsia="Arial" w:hAnsi="Arial"/>
                <w:b/>
                <w:bCs/>
                <w:i w:val="false"/>
                <w:iCs w:val="false"/>
                <w:color w:val="1B3A6B"/>
                <w:sz w:val="20"/>
                <w:szCs w:val="20"/>
              </w:rPr>
              <w:t xml:space="preserve">Premium</w:t>
            </w:r>
          </w:p>
        </w:tc>
        <w:tc>
          <w:tcPr>
            <w:tcW w:type="dxa" w:w="6560"/>
            <w:tcBorders>
              <w:top w:val="single" w:color="DDDDDD" w:sz="1"/>
              <w:left w:val="single" w:color="DDDDDD" w:sz="1"/>
              <w:bottom w:val="single" w:color="DDDDDD" w:sz="1"/>
              <w:right w:val="single" w:color="DDDDDD" w:sz="1"/>
            </w:tcBorders>
            <w:shd w:fill="F3F4F6" w:val="clear"/>
            <w:tcMar>
              <w:top w:type="dxa" w:w="100"/>
              <w:left w:type="dxa" w:w="140"/>
              <w:bottom w:type="dxa" w:w="100"/>
              <w:right w:type="dxa" w:w="140"/>
            </w:tcMar>
            <w:vAlign w:val="center"/>
          </w:tcPr>
          <w:p>
            <w:pPr>
              <w:spacing w:before="60" w:after="60"/>
              <w:jc w:val="left"/>
            </w:pPr>
            <w:r>
              <w:rPr>
                <w:rFonts w:ascii="Arial" w:cs="Arial" w:eastAsia="Arial" w:hAnsi="Arial"/>
                <w:b w:val="false"/>
                <w:bCs w:val="false"/>
                <w:i w:val="false"/>
                <w:iCs w:val="false"/>
                <w:color w:val="111827"/>
                <w:sz w:val="20"/>
                <w:szCs w:val="20"/>
              </w:rPr>
              <w:t xml:space="preserve">Regular payment made to the insurer to keep the policy active.</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60" w:after="60"/>
              <w:jc w:val="left"/>
            </w:pPr>
            <w:r>
              <w:rPr>
                <w:rFonts w:ascii="Arial" w:cs="Arial" w:eastAsia="Arial" w:hAnsi="Arial"/>
                <w:b/>
                <w:bCs/>
                <w:i w:val="false"/>
                <w:iCs w:val="false"/>
                <w:color w:val="1B3A6B"/>
                <w:sz w:val="20"/>
                <w:szCs w:val="20"/>
              </w:rPr>
              <w:t xml:space="preserve">Restoration Benefit</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60" w:after="60"/>
              <w:jc w:val="left"/>
            </w:pPr>
            <w:r>
              <w:rPr>
                <w:rFonts w:ascii="Arial" w:cs="Arial" w:eastAsia="Arial" w:hAnsi="Arial"/>
                <w:b w:val="false"/>
                <w:bCs w:val="false"/>
                <w:i w:val="false"/>
                <w:iCs w:val="false"/>
                <w:color w:val="111827"/>
                <w:sz w:val="20"/>
                <w:szCs w:val="20"/>
              </w:rPr>
              <w:t xml:space="preserve">Health insurance feature that restores the sum insured once it is exhausted in a policy year.</w:t>
            </w:r>
          </w:p>
        </w:tc>
      </w:tr>
      <w:tr>
        <w:tc>
          <w:tcPr>
            <w:tcW w:type="dxa" w:w="2800"/>
            <w:tcBorders>
              <w:top w:val="single" w:color="DDDDDD" w:sz="1"/>
              <w:left w:val="single" w:color="DDDDDD" w:sz="1"/>
              <w:bottom w:val="single" w:color="DDDDDD" w:sz="1"/>
              <w:right w:val="single" w:color="DDDDDD" w:sz="1"/>
            </w:tcBorders>
            <w:shd w:fill="DBEAFE" w:val="clear"/>
            <w:tcMar>
              <w:top w:type="dxa" w:w="100"/>
              <w:left w:type="dxa" w:w="140"/>
              <w:bottom w:type="dxa" w:w="100"/>
              <w:right w:type="dxa" w:w="140"/>
            </w:tcMar>
            <w:vAlign w:val="center"/>
          </w:tcPr>
          <w:p>
            <w:pPr>
              <w:spacing w:before="60" w:after="60"/>
              <w:jc w:val="left"/>
            </w:pPr>
            <w:r>
              <w:rPr>
                <w:rFonts w:ascii="Arial" w:cs="Arial" w:eastAsia="Arial" w:hAnsi="Arial"/>
                <w:b/>
                <w:bCs/>
                <w:i w:val="false"/>
                <w:iCs w:val="false"/>
                <w:color w:val="1B3A6B"/>
                <w:sz w:val="20"/>
                <w:szCs w:val="20"/>
              </w:rPr>
              <w:t xml:space="preserve">Rider</w:t>
            </w:r>
          </w:p>
        </w:tc>
        <w:tc>
          <w:tcPr>
            <w:tcW w:type="dxa" w:w="6560"/>
            <w:tcBorders>
              <w:top w:val="single" w:color="DDDDDD" w:sz="1"/>
              <w:left w:val="single" w:color="DDDDDD" w:sz="1"/>
              <w:bottom w:val="single" w:color="DDDDDD" w:sz="1"/>
              <w:right w:val="single" w:color="DDDDDD" w:sz="1"/>
            </w:tcBorders>
            <w:shd w:fill="F3F4F6" w:val="clear"/>
            <w:tcMar>
              <w:top w:type="dxa" w:w="100"/>
              <w:left w:type="dxa" w:w="140"/>
              <w:bottom w:type="dxa" w:w="100"/>
              <w:right w:type="dxa" w:w="140"/>
            </w:tcMar>
            <w:vAlign w:val="center"/>
          </w:tcPr>
          <w:p>
            <w:pPr>
              <w:spacing w:before="60" w:after="60"/>
              <w:jc w:val="left"/>
            </w:pPr>
            <w:r>
              <w:rPr>
                <w:rFonts w:ascii="Arial" w:cs="Arial" w:eastAsia="Arial" w:hAnsi="Arial"/>
                <w:b w:val="false"/>
                <w:bCs w:val="false"/>
                <w:i w:val="false"/>
                <w:iCs w:val="false"/>
                <w:color w:val="111827"/>
                <w:sz w:val="20"/>
                <w:szCs w:val="20"/>
              </w:rPr>
              <w:t xml:space="preserve">See Add-on. A supplementary benefit attached to a main policy.</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60" w:after="60"/>
              <w:jc w:val="left"/>
            </w:pPr>
            <w:r>
              <w:rPr>
                <w:rFonts w:ascii="Arial" w:cs="Arial" w:eastAsia="Arial" w:hAnsi="Arial"/>
                <w:b/>
                <w:bCs/>
                <w:i w:val="false"/>
                <w:iCs w:val="false"/>
                <w:color w:val="1B3A6B"/>
                <w:sz w:val="20"/>
                <w:szCs w:val="20"/>
              </w:rPr>
              <w:t xml:space="preserve">Sum Assured / Sum Insured</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60" w:after="60"/>
              <w:jc w:val="left"/>
            </w:pPr>
            <w:r>
              <w:rPr>
                <w:rFonts w:ascii="Arial" w:cs="Arial" w:eastAsia="Arial" w:hAnsi="Arial"/>
                <w:b w:val="false"/>
                <w:bCs w:val="false"/>
                <w:i w:val="false"/>
                <w:iCs w:val="false"/>
                <w:color w:val="111827"/>
                <w:sz w:val="20"/>
                <w:szCs w:val="20"/>
              </w:rPr>
              <w:t xml:space="preserve">Maximum amount payable by the insurer under the policy. 'Sum Assured' for life; 'Sum Insured' for health/general.</w:t>
            </w:r>
          </w:p>
        </w:tc>
      </w:tr>
      <w:tr>
        <w:tc>
          <w:tcPr>
            <w:tcW w:type="dxa" w:w="2800"/>
            <w:tcBorders>
              <w:top w:val="single" w:color="DDDDDD" w:sz="1"/>
              <w:left w:val="single" w:color="DDDDDD" w:sz="1"/>
              <w:bottom w:val="single" w:color="DDDDDD" w:sz="1"/>
              <w:right w:val="single" w:color="DDDDDD" w:sz="1"/>
            </w:tcBorders>
            <w:shd w:fill="DBEAFE" w:val="clear"/>
            <w:tcMar>
              <w:top w:type="dxa" w:w="100"/>
              <w:left w:type="dxa" w:w="140"/>
              <w:bottom w:type="dxa" w:w="100"/>
              <w:right w:type="dxa" w:w="140"/>
            </w:tcMar>
            <w:vAlign w:val="center"/>
          </w:tcPr>
          <w:p>
            <w:pPr>
              <w:spacing w:before="60" w:after="60"/>
              <w:jc w:val="left"/>
            </w:pPr>
            <w:r>
              <w:rPr>
                <w:rFonts w:ascii="Arial" w:cs="Arial" w:eastAsia="Arial" w:hAnsi="Arial"/>
                <w:b/>
                <w:bCs/>
                <w:i w:val="false"/>
                <w:iCs w:val="false"/>
                <w:color w:val="1B3A6B"/>
                <w:sz w:val="20"/>
                <w:szCs w:val="20"/>
              </w:rPr>
              <w:t xml:space="preserve">Sub-limit</w:t>
            </w:r>
          </w:p>
        </w:tc>
        <w:tc>
          <w:tcPr>
            <w:tcW w:type="dxa" w:w="6560"/>
            <w:tcBorders>
              <w:top w:val="single" w:color="DDDDDD" w:sz="1"/>
              <w:left w:val="single" w:color="DDDDDD" w:sz="1"/>
              <w:bottom w:val="single" w:color="DDDDDD" w:sz="1"/>
              <w:right w:val="single" w:color="DDDDDD" w:sz="1"/>
            </w:tcBorders>
            <w:shd w:fill="F3F4F6" w:val="clear"/>
            <w:tcMar>
              <w:top w:type="dxa" w:w="100"/>
              <w:left w:type="dxa" w:w="140"/>
              <w:bottom w:type="dxa" w:w="100"/>
              <w:right w:type="dxa" w:w="140"/>
            </w:tcMar>
            <w:vAlign w:val="center"/>
          </w:tcPr>
          <w:p>
            <w:pPr>
              <w:spacing w:before="60" w:after="60"/>
              <w:jc w:val="left"/>
            </w:pPr>
            <w:r>
              <w:rPr>
                <w:rFonts w:ascii="Arial" w:cs="Arial" w:eastAsia="Arial" w:hAnsi="Arial"/>
                <w:b w:val="false"/>
                <w:bCs w:val="false"/>
                <w:i w:val="false"/>
                <w:iCs w:val="false"/>
                <w:color w:val="111827"/>
                <w:sz w:val="20"/>
                <w:szCs w:val="20"/>
              </w:rPr>
              <w:t xml:space="preserve">Cap on specific types of expenses (e.g., room rent capped at 1% of SI per day).</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60" w:after="60"/>
              <w:jc w:val="left"/>
            </w:pPr>
            <w:r>
              <w:rPr>
                <w:rFonts w:ascii="Arial" w:cs="Arial" w:eastAsia="Arial" w:hAnsi="Arial"/>
                <w:b/>
                <w:bCs/>
                <w:i w:val="false"/>
                <w:iCs w:val="false"/>
                <w:color w:val="1B3A6B"/>
                <w:sz w:val="20"/>
                <w:szCs w:val="20"/>
              </w:rPr>
              <w:t xml:space="preserve">TPA (Third Party Administrator)</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60" w:after="60"/>
              <w:jc w:val="left"/>
            </w:pPr>
            <w:r>
              <w:rPr>
                <w:rFonts w:ascii="Arial" w:cs="Arial" w:eastAsia="Arial" w:hAnsi="Arial"/>
                <w:b w:val="false"/>
                <w:bCs w:val="false"/>
                <w:i w:val="false"/>
                <w:iCs w:val="false"/>
                <w:color w:val="111827"/>
                <w:sz w:val="20"/>
                <w:szCs w:val="20"/>
              </w:rPr>
              <w:t xml:space="preserve">An IRDAI-licensed intermediary that processes health insurance claims on behalf of the insurer.</w:t>
            </w:r>
          </w:p>
        </w:tc>
      </w:tr>
      <w:tr>
        <w:tc>
          <w:tcPr>
            <w:tcW w:type="dxa" w:w="2800"/>
            <w:tcBorders>
              <w:top w:val="single" w:color="DDDDDD" w:sz="1"/>
              <w:left w:val="single" w:color="DDDDDD" w:sz="1"/>
              <w:bottom w:val="single" w:color="DDDDDD" w:sz="1"/>
              <w:right w:val="single" w:color="DDDDDD" w:sz="1"/>
            </w:tcBorders>
            <w:shd w:fill="DBEAFE" w:val="clear"/>
            <w:tcMar>
              <w:top w:type="dxa" w:w="100"/>
              <w:left w:type="dxa" w:w="140"/>
              <w:bottom w:type="dxa" w:w="100"/>
              <w:right w:type="dxa" w:w="140"/>
            </w:tcMar>
            <w:vAlign w:val="center"/>
          </w:tcPr>
          <w:p>
            <w:pPr>
              <w:spacing w:before="60" w:after="60"/>
              <w:jc w:val="left"/>
            </w:pPr>
            <w:r>
              <w:rPr>
                <w:rFonts w:ascii="Arial" w:cs="Arial" w:eastAsia="Arial" w:hAnsi="Arial"/>
                <w:b/>
                <w:bCs/>
                <w:i w:val="false"/>
                <w:iCs w:val="false"/>
                <w:color w:val="1B3A6B"/>
                <w:sz w:val="20"/>
                <w:szCs w:val="20"/>
              </w:rPr>
              <w:t xml:space="preserve">Underwriting</w:t>
            </w:r>
          </w:p>
        </w:tc>
        <w:tc>
          <w:tcPr>
            <w:tcW w:type="dxa" w:w="6560"/>
            <w:tcBorders>
              <w:top w:val="single" w:color="DDDDDD" w:sz="1"/>
              <w:left w:val="single" w:color="DDDDDD" w:sz="1"/>
              <w:bottom w:val="single" w:color="DDDDDD" w:sz="1"/>
              <w:right w:val="single" w:color="DDDDDD" w:sz="1"/>
            </w:tcBorders>
            <w:shd w:fill="F3F4F6" w:val="clear"/>
            <w:tcMar>
              <w:top w:type="dxa" w:w="100"/>
              <w:left w:type="dxa" w:w="140"/>
              <w:bottom w:type="dxa" w:w="100"/>
              <w:right w:type="dxa" w:w="140"/>
            </w:tcMar>
            <w:vAlign w:val="center"/>
          </w:tcPr>
          <w:p>
            <w:pPr>
              <w:spacing w:before="60" w:after="60"/>
              <w:jc w:val="left"/>
            </w:pPr>
            <w:r>
              <w:rPr>
                <w:rFonts w:ascii="Arial" w:cs="Arial" w:eastAsia="Arial" w:hAnsi="Arial"/>
                <w:b w:val="false"/>
                <w:bCs w:val="false"/>
                <w:i w:val="false"/>
                <w:iCs w:val="false"/>
                <w:color w:val="111827"/>
                <w:sz w:val="20"/>
                <w:szCs w:val="20"/>
              </w:rPr>
              <w:t xml:space="preserve">Process of evaluating a risk and deciding whether to insure it, and at what premium.</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60" w:after="60"/>
              <w:jc w:val="left"/>
            </w:pPr>
            <w:r>
              <w:rPr>
                <w:rFonts w:ascii="Arial" w:cs="Arial" w:eastAsia="Arial" w:hAnsi="Arial"/>
                <w:b/>
                <w:bCs/>
                <w:i w:val="false"/>
                <w:iCs w:val="false"/>
                <w:color w:val="1B3A6B"/>
                <w:sz w:val="20"/>
                <w:szCs w:val="20"/>
              </w:rPr>
              <w:t xml:space="preserve">Waiting Period</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spacing w:before="60" w:after="60"/>
              <w:jc w:val="left"/>
            </w:pPr>
            <w:r>
              <w:rPr>
                <w:rFonts w:ascii="Arial" w:cs="Arial" w:eastAsia="Arial" w:hAnsi="Arial"/>
                <w:b w:val="false"/>
                <w:bCs w:val="false"/>
                <w:i w:val="false"/>
                <w:iCs w:val="false"/>
                <w:color w:val="111827"/>
                <w:sz w:val="20"/>
                <w:szCs w:val="20"/>
              </w:rPr>
              <w:t xml:space="preserve">Time after policy start before certain claims can be made (30 days general; 2–4 years PED; 9 months maternity).</w:t>
            </w:r>
          </w:p>
        </w:tc>
      </w:tr>
    </w:tbl>
    <w:p>
      <w:pPr>
        <w:spacing w:before="0" w:after="0"/>
      </w:pPr>
      <w:r>
        <w:rPr>
          <w:rFonts w:ascii="Arial" w:cs="Arial" w:eastAsia="Arial" w:hAnsi="Arial"/>
          <w:b w:val="false"/>
          <w:bCs w:val="false"/>
          <w:i w:val="false"/>
          <w:iCs w:val="false"/>
          <w:color w:val="111827"/>
          <w:sz w:val="22"/>
          <w:szCs w:val="22"/>
        </w:rPr>
        <w:t xml:space="preserve"/>
      </w:r>
    </w:p>
    <w:p>
      <w:pPr>
        <w:spacing w:before="0" w:after="0"/>
      </w:pPr>
      <w:r>
        <w:rPr>
          <w:rFonts w:ascii="Arial" w:cs="Arial" w:eastAsia="Arial" w:hAnsi="Arial"/>
          <w:b w:val="false"/>
          <w:bCs w:val="false"/>
          <w:i w:val="false"/>
          <w:iCs w:val="false"/>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DBEAFE" w:val="clear"/>
            <w:tcMar>
              <w:top w:type="dxa" w:w="100"/>
              <w:left w:type="dxa" w:w="140"/>
              <w:bottom w:type="dxa" w:w="100"/>
              <w:right w:type="dxa" w:w="140"/>
            </w:tcMar>
            <w:vAlign w:val="center"/>
          </w:tcPr>
          <w:p>
            <w:pPr>
              <w:spacing w:before="60" w:after="80"/>
              <w:jc w:val="left"/>
            </w:pPr>
            <w:r>
              <w:rPr>
                <w:rFonts w:ascii="Arial" w:cs="Arial" w:eastAsia="Arial" w:hAnsi="Arial"/>
                <w:b/>
                <w:bCs/>
                <w:i w:val="false"/>
                <w:iCs w:val="false"/>
                <w:color w:val="1B3A6B"/>
                <w:sz w:val="22"/>
                <w:szCs w:val="22"/>
              </w:rPr>
              <w:t xml:space="preserve">📌  Admin Upload Note</w:t>
            </w:r>
          </w:p>
          <w:p>
            <w:pPr>
              <w:spacing w:before="60" w:after="60"/>
              <w:jc w:val="left"/>
            </w:pPr>
            <w:r>
              <w:rPr>
                <w:rFonts w:ascii="Arial" w:cs="Arial" w:eastAsia="Arial" w:hAnsi="Arial"/>
                <w:b w:val="false"/>
                <w:bCs w:val="false"/>
                <w:i w:val="false"/>
                <w:iCs w:val="false"/>
                <w:color w:val="111827"/>
                <w:sz w:val="20"/>
                <w:szCs w:val="20"/>
              </w:rPr>
              <w:t xml:space="preserve">This document is intended to be uploaded to the PolicyBot AI Admin Panel as the primary RAG knowledge source. Once uploaded, PolicyBot will use this data to recommend insurance plans, explain coverage details, answer premium queries, and guide users through the insurance selection process accurately.</w:t>
            </w:r>
          </w:p>
          <w:p>
            <w:pPr>
              <w:spacing w:before="60" w:after="60"/>
              <w:jc w:val="left"/>
            </w:pPr>
            <w:r>
              <w:rPr>
                <w:rFonts w:ascii="Arial" w:cs="Arial" w:eastAsia="Arial" w:hAnsi="Arial"/>
                <w:b w:val="false"/>
                <w:bCs w:val="false"/>
                <w:i/>
                <w:iCs/>
                <w:color w:val="6B7280"/>
                <w:sz w:val="18"/>
                <w:szCs w:val="18"/>
              </w:rPr>
              <w:t xml:space="preserve">Last Updated: February 2026  |  Source: IRDAI, Insurer Websites, Industry Reports  |  Use for: RAG Knowledge Base, AI Training, Customer Q&amp;A</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6B" w:sz="4" w:space="1"/>
      </w:pBdr>
      <w:spacing w:before="120" w:after="0"/>
      <w:jc w:val="center"/>
    </w:pPr>
    <w:r>
      <w:rPr>
        <w:rFonts w:ascii="Arial" w:cs="Arial" w:eastAsia="Arial" w:hAnsi="Arial"/>
        <w:color w:val="6B7280"/>
        <w:sz w:val="18"/>
        <w:szCs w:val="18"/>
      </w:rPr>
      <w:t xml:space="preserve">PolicyBot AI Insurance Reference  •  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of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4" w:space="1"/>
      </w:pBdr>
      <w:spacing w:before="0" w:after="120"/>
    </w:pPr>
    <w:r>
      <w:rPr>
        <w:rFonts w:ascii="Arial" w:cs="Arial" w:eastAsia="Arial" w:hAnsi="Arial"/>
        <w:b/>
        <w:bCs/>
        <w:color w:val="1B3A6B"/>
        <w:sz w:val="20"/>
        <w:szCs w:val="20"/>
      </w:rPr>
      <w:t xml:space="preserve">PolicyBot AI — Insurance Master Reference Document</w:t>
    </w:r>
    <w:r>
      <w:rPr>
        <w:rFonts w:ascii="Arial" w:cs="Arial" w:eastAsia="Arial" w:hAnsi="Arial"/>
        <w:color w:val="6B7280"/>
        <w:sz w:val="18"/>
        <w:szCs w:val="18"/>
      </w:rPr>
      <w:t xml:space="preserve">  |  Confidential — Admin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bullet"/>
      <w:lvlText w:val="–"/>
      <w:lvlJc w:val="left"/>
      <w:pPr>
        <w:ind w:left="900" w:hanging="260"/>
      </w:pPr>
    </w:lvl>
  </w:abstractNum>
  <w:abstractNum w:abstractNumId="4"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sz w:val="36"/>
      <w:szCs w:val="36"/>
    </w:rPr>
  </w:style>
  <w:style w:type="paragraph" w:styleId="Heading2">
    <w:name w:val="Heading 2"/>
    <w:basedOn w:val="Normal"/>
    <w:next w:val="Normal"/>
    <w:qFormat/>
    <w:pPr>
      <w:spacing w:before="240" w:after="120"/>
      <w:outlineLvl w:val="1"/>
    </w:pPr>
    <w:rPr>
      <w:rFonts w:ascii="Arial" w:cs="Arial" w:eastAsia="Arial" w:hAnsi="Arial"/>
      <w:b/>
      <w:bCs/>
      <w:sz w:val="28"/>
      <w:szCs w:val="28"/>
    </w:rPr>
  </w:style>
  <w:style w:type="paragraph" w:styleId="Heading3">
    <w:name w:val="Heading 3"/>
    <w:basedOn w:val="Normal"/>
    <w:next w:val="Normal"/>
    <w:qFormat/>
    <w:pPr>
      <w:spacing w:before="180" w:after="8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2026-02-27T08:29:01.759Z</dcterms:created>
  <dcterms:modified xsi:type="dcterms:W3CDTF">2026-02-27T08:29:01.793Z</dcterms:modified>
</cp:coreProperties>
</file>

<file path=docProps/custom.xml><?xml version="1.0" encoding="utf-8"?>
<Properties xmlns="http://schemas.openxmlformats.org/officeDocument/2006/custom-properties" xmlns:vt="http://schemas.openxmlformats.org/officeDocument/2006/docPropsVTypes"/>
</file>