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F30" w:rsidRPr="002F3F30" w:rsidRDefault="002F3F30" w:rsidP="002F3F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ml-IN"/>
        </w:rPr>
      </w:pPr>
      <w:bookmarkStart w:id="0" w:name="_GoBack"/>
      <w:r w:rsidRPr="002F3F30">
        <w:rPr>
          <w:rFonts w:ascii="Arial" w:eastAsia="Times New Roman" w:hAnsi="Arial" w:cs="Arial"/>
          <w:b/>
          <w:bCs/>
          <w:sz w:val="32"/>
          <w:szCs w:val="32"/>
          <w:lang w:eastAsia="en-IN" w:bidi="ml-IN"/>
        </w:rPr>
        <w:t>1. Top Revenue Months – Transaction Details</w:t>
      </w:r>
    </w:p>
    <w:bookmarkEnd w:id="0"/>
    <w:p w:rsidR="002F3F30" w:rsidRPr="002F3F30" w:rsidRDefault="002F3F30" w:rsidP="002F3F3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ml-IN"/>
        </w:rPr>
      </w:pPr>
      <w:r w:rsidRPr="002F3F30">
        <w:rPr>
          <w:rFonts w:ascii="Arial" w:eastAsia="Times New Roman" w:hAnsi="Arial" w:cs="Arial"/>
          <w:sz w:val="24"/>
          <w:szCs w:val="24"/>
          <w:lang w:eastAsia="en-IN" w:bidi="ml-IN"/>
        </w:rPr>
        <w:t>The analysis successfully extracted detailed transaction records for the top 3 revenue-generating months.</w:t>
      </w:r>
      <w:r w:rsidRPr="002F3F30">
        <w:rPr>
          <w:rFonts w:ascii="Arial" w:eastAsia="Times New Roman" w:hAnsi="Arial" w:cs="Arial"/>
          <w:sz w:val="24"/>
          <w:szCs w:val="24"/>
          <w:lang w:eastAsia="en-IN" w:bidi="ml-IN"/>
        </w:rPr>
        <w:br/>
        <w:t>For example, in April 2024, transactions included strong performance across Electronics, Sports, and Home Appliances, with individual transaction revenues ranging up to $3,899.99.</w:t>
      </w:r>
      <w:r w:rsidRPr="002F3F30">
        <w:rPr>
          <w:rFonts w:ascii="Arial" w:eastAsia="Times New Roman" w:hAnsi="Arial" w:cs="Arial"/>
          <w:sz w:val="24"/>
          <w:szCs w:val="24"/>
          <w:lang w:eastAsia="en-IN" w:bidi="ml-IN"/>
        </w:rPr>
        <w:br/>
        <w:t>A total of 92 transactions were identified across these high-performing months, reflecting healthy sales activity and strong customer demand across categories.</w:t>
      </w:r>
    </w:p>
    <w:p w:rsidR="002F3F30" w:rsidRPr="002F3F30" w:rsidRDefault="002F3F30" w:rsidP="002F3F3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ml-IN"/>
        </w:rPr>
      </w:pPr>
      <w:r w:rsidRPr="002F3F30">
        <w:rPr>
          <w:rFonts w:ascii="Arial" w:eastAsia="Times New Roman" w:hAnsi="Arial" w:cs="Arial"/>
          <w:b/>
          <w:bCs/>
          <w:sz w:val="32"/>
          <w:szCs w:val="32"/>
          <w:lang w:eastAsia="en-IN" w:bidi="ml-IN"/>
        </w:rPr>
        <w:t>2. Sales Performance by Region</w:t>
      </w:r>
    </w:p>
    <w:p w:rsidR="002F3F30" w:rsidRPr="002F3F30" w:rsidRDefault="002F3F30" w:rsidP="002F3F3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ml-IN"/>
        </w:rPr>
      </w:pPr>
      <w:r w:rsidRPr="002F3F30">
        <w:rPr>
          <w:rFonts w:ascii="Arial" w:eastAsia="Times New Roman" w:hAnsi="Arial" w:cs="Arial"/>
          <w:sz w:val="24"/>
          <w:szCs w:val="24"/>
          <w:lang w:eastAsia="en-IN" w:bidi="ml-IN"/>
        </w:rPr>
        <w:t>Sales revenue distribution shows notable geographic imbalance, highlighting opportunities for targeted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621"/>
        <w:gridCol w:w="1434"/>
        <w:gridCol w:w="2557"/>
      </w:tblGrid>
      <w:tr w:rsidR="002F3F30" w:rsidRPr="002F3F30" w:rsidTr="002F3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Avg. Transaction Value</w:t>
            </w:r>
          </w:p>
        </w:tc>
      </w:tr>
      <w:tr w:rsidR="002F3F30" w:rsidRPr="002F3F30" w:rsidTr="002F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North America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$36,844.34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$460.55</w:t>
            </w:r>
          </w:p>
        </w:tc>
      </w:tr>
      <w:tr w:rsidR="002F3F30" w:rsidRPr="002F3F30" w:rsidTr="002F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$22,455.45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$280.69</w:t>
            </w:r>
          </w:p>
        </w:tc>
      </w:tr>
      <w:tr w:rsidR="002F3F30" w:rsidRPr="002F3F30" w:rsidTr="002F3F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$21,268.06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2F3F30" w:rsidRPr="002F3F30" w:rsidRDefault="002F3F30" w:rsidP="002F3F3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</w:pPr>
            <w:r w:rsidRPr="002F3F30">
              <w:rPr>
                <w:rFonts w:ascii="Arial" w:eastAsia="Times New Roman" w:hAnsi="Arial" w:cs="Arial"/>
                <w:sz w:val="24"/>
                <w:szCs w:val="24"/>
                <w:lang w:eastAsia="en-IN" w:bidi="ml-IN"/>
              </w:rPr>
              <w:t>$265.85</w:t>
            </w:r>
          </w:p>
        </w:tc>
      </w:tr>
    </w:tbl>
    <w:p w:rsidR="002F3F30" w:rsidRPr="002F3F30" w:rsidRDefault="002F3F30" w:rsidP="002F3F3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 w:bidi="ml-IN"/>
        </w:rPr>
      </w:pPr>
    </w:p>
    <w:p w:rsidR="002F3F30" w:rsidRPr="002F3F30" w:rsidRDefault="002F3F30" w:rsidP="002F3F30">
      <w:pPr>
        <w:pStyle w:val="NormalWeb"/>
        <w:rPr>
          <w:rFonts w:ascii="Arial" w:hAnsi="Arial" w:cs="Arial"/>
        </w:rPr>
      </w:pPr>
      <w:r w:rsidRPr="002F3F30">
        <w:rPr>
          <w:rStyle w:val="Strong"/>
          <w:rFonts w:ascii="Arial" w:hAnsi="Arial" w:cs="Arial"/>
        </w:rPr>
        <w:t>Key Insights:</w:t>
      </w:r>
    </w:p>
    <w:p w:rsidR="002F3F30" w:rsidRPr="002F3F30" w:rsidRDefault="002F3F30" w:rsidP="002F3F3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2F3F30">
        <w:rPr>
          <w:rStyle w:val="Strong"/>
          <w:rFonts w:ascii="Arial" w:hAnsi="Arial" w:cs="Arial"/>
        </w:rPr>
        <w:t>North America leads</w:t>
      </w:r>
      <w:r w:rsidRPr="002F3F30">
        <w:rPr>
          <w:rFonts w:ascii="Arial" w:hAnsi="Arial" w:cs="Arial"/>
        </w:rPr>
        <w:t xml:space="preserve"> in total revenue and average transaction value, indicating stronger purchase </w:t>
      </w:r>
      <w:r w:rsidRPr="002F3F30">
        <w:rPr>
          <w:rFonts w:ascii="Arial" w:hAnsi="Arial" w:cs="Arial"/>
        </w:rPr>
        <w:t>behaviour</w:t>
      </w:r>
      <w:r w:rsidRPr="002F3F30">
        <w:rPr>
          <w:rFonts w:ascii="Arial" w:hAnsi="Arial" w:cs="Arial"/>
        </w:rPr>
        <w:t xml:space="preserve"> despite a similar transaction count to other regions.</w:t>
      </w:r>
    </w:p>
    <w:p w:rsidR="002F3F30" w:rsidRPr="002F3F30" w:rsidRDefault="002F3F30" w:rsidP="002F3F30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2F3F30">
        <w:rPr>
          <w:rStyle w:val="Strong"/>
          <w:rFonts w:ascii="Arial" w:hAnsi="Arial" w:cs="Arial"/>
        </w:rPr>
        <w:t>Asia and Europe</w:t>
      </w:r>
      <w:r w:rsidRPr="002F3F30">
        <w:rPr>
          <w:rFonts w:ascii="Arial" w:hAnsi="Arial" w:cs="Arial"/>
        </w:rPr>
        <w:t xml:space="preserve"> have comparable revenue and transaction counts, but lower individual transaction values, suggesting potential upsell opportunities.</w:t>
      </w:r>
    </w:p>
    <w:p w:rsidR="002F3F30" w:rsidRPr="002F3F30" w:rsidRDefault="002F3F30" w:rsidP="002F3F3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 w:bidi="ml-IN"/>
        </w:rPr>
      </w:pPr>
      <w:r w:rsidRPr="002F3F30">
        <w:rPr>
          <w:rFonts w:ascii="Arial" w:eastAsia="Times New Roman" w:hAnsi="Arial" w:cs="Arial"/>
          <w:b/>
          <w:bCs/>
          <w:kern w:val="36"/>
          <w:sz w:val="48"/>
          <w:szCs w:val="48"/>
          <w:lang w:eastAsia="en-IN" w:bidi="ml-IN"/>
        </w:rPr>
        <w:t>Overall Takeaways</w:t>
      </w:r>
    </w:p>
    <w:p w:rsidR="002F3F30" w:rsidRPr="002F3F30" w:rsidRDefault="002F3F30" w:rsidP="002F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ml-IN"/>
        </w:rPr>
      </w:pPr>
      <w:r w:rsidRPr="002F3F30">
        <w:rPr>
          <w:rFonts w:ascii="Arial" w:eastAsia="Times New Roman" w:hAnsi="Arial" w:cs="Arial"/>
          <w:b/>
          <w:bCs/>
          <w:sz w:val="24"/>
          <w:szCs w:val="24"/>
          <w:lang w:eastAsia="en-IN" w:bidi="ml-IN"/>
        </w:rPr>
        <w:t>April 2024 is a standout month</w:t>
      </w:r>
      <w:r w:rsidRPr="002F3F30">
        <w:rPr>
          <w:rFonts w:ascii="Arial" w:eastAsia="Times New Roman" w:hAnsi="Arial" w:cs="Arial"/>
          <w:sz w:val="24"/>
          <w:szCs w:val="24"/>
          <w:lang w:eastAsia="en-IN" w:bidi="ml-IN"/>
        </w:rPr>
        <w:t xml:space="preserve"> with high-value transactions across multiple product categories.</w:t>
      </w:r>
    </w:p>
    <w:p w:rsidR="002F3F30" w:rsidRPr="002F3F30" w:rsidRDefault="002F3F30" w:rsidP="002F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ml-IN"/>
        </w:rPr>
      </w:pPr>
      <w:r w:rsidRPr="002F3F30">
        <w:rPr>
          <w:rFonts w:ascii="Arial" w:eastAsia="Times New Roman" w:hAnsi="Arial" w:cs="Arial"/>
          <w:b/>
          <w:bCs/>
          <w:sz w:val="24"/>
          <w:szCs w:val="24"/>
          <w:lang w:eastAsia="en-IN" w:bidi="ml-IN"/>
        </w:rPr>
        <w:t>North America is the most profitable region</w:t>
      </w:r>
      <w:r w:rsidRPr="002F3F30">
        <w:rPr>
          <w:rFonts w:ascii="Arial" w:eastAsia="Times New Roman" w:hAnsi="Arial" w:cs="Arial"/>
          <w:sz w:val="24"/>
          <w:szCs w:val="24"/>
          <w:lang w:eastAsia="en-IN" w:bidi="ml-IN"/>
        </w:rPr>
        <w:t>, driven by higher transaction values rather than transaction count.</w:t>
      </w:r>
    </w:p>
    <w:p w:rsidR="002F3F30" w:rsidRPr="002F3F30" w:rsidRDefault="002F3F30" w:rsidP="002F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ml-IN"/>
        </w:rPr>
      </w:pPr>
      <w:r w:rsidRPr="002F3F30">
        <w:rPr>
          <w:rFonts w:ascii="Arial" w:eastAsia="Times New Roman" w:hAnsi="Arial" w:cs="Arial"/>
          <w:b/>
          <w:bCs/>
          <w:sz w:val="24"/>
          <w:szCs w:val="24"/>
          <w:lang w:eastAsia="en-IN" w:bidi="ml-IN"/>
        </w:rPr>
        <w:t>Credit cards remain the preferred method</w:t>
      </w:r>
      <w:r w:rsidRPr="002F3F30">
        <w:rPr>
          <w:rFonts w:ascii="Arial" w:eastAsia="Times New Roman" w:hAnsi="Arial" w:cs="Arial"/>
          <w:sz w:val="24"/>
          <w:szCs w:val="24"/>
          <w:lang w:eastAsia="en-IN" w:bidi="ml-IN"/>
        </w:rPr>
        <w:t>, generating more than twice the revenue of PayPal and six times that of debit cards.</w:t>
      </w:r>
    </w:p>
    <w:p w:rsidR="002F3F30" w:rsidRPr="002F3F30" w:rsidRDefault="002F3F30" w:rsidP="002F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 w:bidi="ml-IN"/>
        </w:rPr>
      </w:pPr>
      <w:r w:rsidRPr="002F3F30">
        <w:rPr>
          <w:rFonts w:ascii="Arial" w:eastAsia="Times New Roman" w:hAnsi="Arial" w:cs="Arial"/>
          <w:sz w:val="24"/>
          <w:szCs w:val="24"/>
          <w:lang w:eastAsia="en-IN" w:bidi="ml-IN"/>
        </w:rPr>
        <w:t>Opportunities exist to:</w:t>
      </w:r>
    </w:p>
    <w:p w:rsidR="00BE5392" w:rsidRPr="002F3F30" w:rsidRDefault="00BE5392">
      <w:pPr>
        <w:rPr>
          <w:rFonts w:ascii="Arial" w:hAnsi="Arial" w:cs="Arial"/>
          <w:sz w:val="24"/>
          <w:szCs w:val="24"/>
        </w:rPr>
      </w:pPr>
    </w:p>
    <w:sectPr w:rsidR="00BE5392" w:rsidRPr="002F3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D453F"/>
    <w:multiLevelType w:val="multilevel"/>
    <w:tmpl w:val="9A1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E224D"/>
    <w:multiLevelType w:val="multilevel"/>
    <w:tmpl w:val="2CFE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F30"/>
    <w:rsid w:val="002F3F30"/>
    <w:rsid w:val="00BE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96886"/>
  <w15:chartTrackingRefBased/>
  <w15:docId w15:val="{13BCC98C-5A60-457B-BD66-8A49263A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3F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2F3F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F3F3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2025-11-21T10:20:00Z</dcterms:created>
  <dcterms:modified xsi:type="dcterms:W3CDTF">2025-11-21T10:25:00Z</dcterms:modified>
</cp:coreProperties>
</file>