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B2B45"/>
          <w:sz w:val="60"/>
        </w:rPr>
        <w:t>Agentforce Enhancement Proposal</w:t>
      </w:r>
    </w:p>
    <w:p>
      <w:pPr>
        <w:jc w:val="center"/>
      </w:pPr>
      <w:r>
        <w:rPr>
          <w:color w:val="006DCC"/>
          <w:sz w:val="28"/>
        </w:rPr>
        <w:t>From CRM Record Assistant to Governed AI Sales Coworker</w:t>
      </w:r>
    </w:p>
    <w:p>
      <w:pPr>
        <w:jc w:val="center"/>
      </w:pPr>
      <w:r>
        <w:rPr>
          <w:b/>
          <w:sz w:val="24"/>
        </w:rPr>
        <w:t>Prepared for LEAK (LEK)</w:t>
      </w:r>
    </w:p>
    <w:p/>
    <w:p/>
    <w:p/>
    <w:p/>
    <w:p/>
    <w:p/>
    <w:tbl>
      <w:tblPr>
        <w:tblStyle w:val="TableGrid"/>
        <w:tblW w:type="auto" w:w="0"/>
        <w:jc w:val="center"/>
        <w:tblLayout w:type="fixed"/>
        <w:tblLook w:firstColumn="1" w:firstRow="1" w:lastColumn="0" w:lastRow="0" w:noHBand="0" w:noVBand="1" w:val="04A0"/>
      </w:tblPr>
      <w:tblGrid>
        <w:gridCol w:w="4824"/>
        <w:gridCol w:w="4824"/>
      </w:tblGrid>
      <w:tr>
        <w:tc>
          <w:tcPr>
            <w:tcW w:type="dxa" w:w="3168"/>
            <w:shd w:val="clear" w:fill="0B2B45"/>
          </w:tcPr>
          <w:p>
            <w:r/>
            <w:r>
              <w:rPr>
                <w:b/>
                <w:color w:val="FFFFFF"/>
                <w:sz w:val="19"/>
              </w:rPr>
              <w:t>Proposal detail</w:t>
            </w:r>
          </w:p>
        </w:tc>
        <w:tc>
          <w:tcPr>
            <w:tcW w:type="dxa" w:w="6192"/>
            <w:shd w:val="clear" w:fill="0B2B45"/>
          </w:tcPr>
          <w:p>
            <w:r/>
            <w:r>
              <w:rPr>
                <w:b/>
                <w:color w:val="FFFFFF"/>
                <w:sz w:val="19"/>
              </w:rPr>
              <w:t>Value</w:t>
            </w:r>
          </w:p>
        </w:tc>
      </w:tr>
      <w:tr>
        <w:tc>
          <w:tcPr>
            <w:tcW w:type="dxa" w:w="3168"/>
          </w:tcPr>
          <w:p>
            <w:pPr>
              <w:spacing w:after="40"/>
            </w:pPr>
            <w:r/>
            <w:r>
              <w:rPr>
                <w:b/>
                <w:sz w:val="19"/>
              </w:rPr>
              <w:t>Client</w:t>
            </w:r>
          </w:p>
        </w:tc>
        <w:tc>
          <w:tcPr>
            <w:tcW w:type="dxa" w:w="6192"/>
          </w:tcPr>
          <w:p>
            <w:pPr>
              <w:spacing w:after="40"/>
            </w:pPr>
            <w:r/>
            <w:r>
              <w:rPr>
                <w:sz w:val="19"/>
              </w:rPr>
              <w:t>LEAK (LEK)</w:t>
            </w:r>
          </w:p>
        </w:tc>
      </w:tr>
      <w:tr>
        <w:tc>
          <w:tcPr>
            <w:tcW w:type="dxa" w:w="3168"/>
            <w:shd w:val="clear" w:fill="EEF3F8"/>
          </w:tcPr>
          <w:p>
            <w:pPr>
              <w:spacing w:after="40"/>
            </w:pPr>
            <w:r/>
            <w:r>
              <w:rPr>
                <w:b/>
                <w:sz w:val="19"/>
              </w:rPr>
              <w:t>Prepared by</w:t>
            </w:r>
          </w:p>
        </w:tc>
        <w:tc>
          <w:tcPr>
            <w:tcW w:type="dxa" w:w="6192"/>
            <w:shd w:val="clear" w:fill="EEF3F8"/>
          </w:tcPr>
          <w:p>
            <w:pPr>
              <w:spacing w:after="40"/>
            </w:pPr>
            <w:r/>
            <w:r>
              <w:rPr>
                <w:sz w:val="19"/>
              </w:rPr>
              <w:t>Salesforce Architecture Practice</w:t>
            </w:r>
          </w:p>
        </w:tc>
      </w:tr>
      <w:tr>
        <w:tc>
          <w:tcPr>
            <w:tcW w:type="dxa" w:w="3168"/>
          </w:tcPr>
          <w:p>
            <w:pPr>
              <w:spacing w:after="40"/>
            </w:pPr>
            <w:r/>
            <w:r>
              <w:rPr>
                <w:b/>
                <w:sz w:val="19"/>
              </w:rPr>
              <w:t>Document</w:t>
            </w:r>
          </w:p>
        </w:tc>
        <w:tc>
          <w:tcPr>
            <w:tcW w:type="dxa" w:w="6192"/>
          </w:tcPr>
          <w:p>
            <w:pPr>
              <w:spacing w:after="40"/>
            </w:pPr>
            <w:r/>
            <w:r>
              <w:rPr>
                <w:sz w:val="19"/>
              </w:rPr>
              <w:t>Agentforce Enhancement Proposal — Version 1.0</w:t>
            </w:r>
          </w:p>
        </w:tc>
      </w:tr>
      <w:tr>
        <w:tc>
          <w:tcPr>
            <w:tcW w:type="dxa" w:w="3168"/>
            <w:shd w:val="clear" w:fill="EEF3F8"/>
          </w:tcPr>
          <w:p>
            <w:pPr>
              <w:spacing w:after="40"/>
            </w:pPr>
            <w:r/>
            <w:r>
              <w:rPr>
                <w:b/>
                <w:sz w:val="19"/>
              </w:rPr>
              <w:t>Current baseline</w:t>
            </w:r>
          </w:p>
        </w:tc>
        <w:tc>
          <w:tcPr>
            <w:tcW w:type="dxa" w:w="6192"/>
            <w:shd w:val="clear" w:fill="EEF3F8"/>
          </w:tcPr>
          <w:p>
            <w:pPr>
              <w:spacing w:after="40"/>
            </w:pPr>
            <w:r/>
            <w:r>
              <w:rPr>
                <w:sz w:val="19"/>
              </w:rPr>
              <w:t>Agentforce implemented mid-2025</w:t>
            </w:r>
          </w:p>
        </w:tc>
      </w:tr>
      <w:tr>
        <w:tc>
          <w:tcPr>
            <w:tcW w:type="dxa" w:w="3168"/>
          </w:tcPr>
          <w:p>
            <w:pPr>
              <w:spacing w:after="40"/>
            </w:pPr>
            <w:r/>
            <w:r>
              <w:rPr>
                <w:b/>
                <w:sz w:val="19"/>
              </w:rPr>
              <w:t>Comparison platform</w:t>
            </w:r>
          </w:p>
        </w:tc>
        <w:tc>
          <w:tcPr>
            <w:tcW w:type="dxa" w:w="6192"/>
          </w:tcPr>
          <w:p>
            <w:pPr>
              <w:spacing w:after="40"/>
            </w:pPr>
            <w:r/>
            <w:r>
              <w:rPr>
                <w:sz w:val="19"/>
              </w:rPr>
              <w:t>Agentforce 360 (current release family)</w:t>
            </w:r>
          </w:p>
        </w:tc>
      </w:tr>
      <w:tr>
        <w:tc>
          <w:tcPr>
            <w:tcW w:type="dxa" w:w="3168"/>
            <w:shd w:val="clear" w:fill="EEF3F8"/>
          </w:tcPr>
          <w:p>
            <w:pPr>
              <w:spacing w:after="40"/>
            </w:pPr>
            <w:r/>
            <w:r>
              <w:rPr>
                <w:b/>
                <w:sz w:val="19"/>
              </w:rPr>
              <w:t>Scope in place today</w:t>
            </w:r>
          </w:p>
        </w:tc>
        <w:tc>
          <w:tcPr>
            <w:tcW w:type="dxa" w:w="6192"/>
            <w:shd w:val="clear" w:fill="EEF3F8"/>
          </w:tcPr>
          <w:p>
            <w:pPr>
              <w:spacing w:after="40"/>
            </w:pPr>
            <w:r/>
            <w:r>
              <w:rPr>
                <w:sz w:val="19"/>
              </w:rPr>
              <w:t>Account, Contact, Opportunity creation; record identification and querying</w:t>
            </w:r>
          </w:p>
        </w:tc>
      </w:tr>
      <w:tr>
        <w:tc>
          <w:tcPr>
            <w:tcW w:type="dxa" w:w="3168"/>
          </w:tcPr>
          <w:p>
            <w:pPr>
              <w:spacing w:after="40"/>
            </w:pPr>
            <w:r/>
            <w:r>
              <w:rPr>
                <w:b/>
                <w:sz w:val="19"/>
              </w:rPr>
              <w:t>Proposed outcome</w:t>
            </w:r>
          </w:p>
        </w:tc>
        <w:tc>
          <w:tcPr>
            <w:tcW w:type="dxa" w:w="6192"/>
          </w:tcPr>
          <w:p>
            <w:pPr>
              <w:spacing w:after="40"/>
            </w:pPr>
            <w:r/>
            <w:r>
              <w:rPr>
                <w:sz w:val="19"/>
              </w:rPr>
              <w:t>Governed sales agent that researches, briefs, updates, and follows up</w:t>
            </w:r>
          </w:p>
        </w:tc>
      </w:tr>
    </w:tbl>
    <w:p>
      <w:pPr>
        <w:spacing w:after="80"/>
      </w:pPr>
    </w:p>
    <w:p>
      <w:pPr>
        <w:jc w:val="center"/>
      </w:pPr>
      <w:r>
        <w:rPr>
          <w:i/>
          <w:color w:val="5A636A"/>
          <w:sz w:val="17"/>
        </w:rPr>
        <w:t>Confidential. Feature availability and licensing must be validated in the LEAK production org before build.</w:t>
      </w:r>
    </w:p>
    <w:p>
      <w:r>
        <w:br w:type="page"/>
      </w:r>
    </w:p>
    <w:p>
      <w:pPr>
        <w:pStyle w:val="Heading1"/>
      </w:pPr>
      <w:r>
        <w:t>1. Executive Summary</w:t>
      </w:r>
    </w:p>
    <w:p>
      <w:pPr>
        <w:spacing w:after="120"/>
      </w:pPr>
      <w:r>
        <w:rPr>
          <w:i w:val="0"/>
          <w:sz w:val="21"/>
        </w:rPr>
        <w:t>LEAK implemented Agentforce in mid-2025 and proved the core value case: an employee agent that identifies Salesforce records, answers questions about CRM data, and creates Account, Contact, and Opportunity records from conversation. That was the right first release for the platform capabilities available at the time.</w:t>
      </w:r>
    </w:p>
    <w:p>
      <w:pPr>
        <w:spacing w:after="120"/>
      </w:pPr>
      <w:r>
        <w:rPr>
          <w:i w:val="0"/>
          <w:sz w:val="21"/>
        </w:rPr>
        <w:t>Agentforce has advanced substantially since then. Current releases deliver hybrid reasoning with deterministic control, prebuilt sales research, grounding in unstructured firm content, automated testing, and production observability. The practical effect is that an Agentforce agent is no longer limited to creating records — it can prepare partners for meetings, keep pipeline current, draft grounded outreach, and answer from LEAK methodology content, all under human approval where commercial risk exists.</w:t>
      </w:r>
    </w:p>
    <w:tbl>
      <w:tblPr>
        <w:tblStyle w:val="TableGrid"/>
        <w:tblW w:type="auto" w:w="0"/>
        <w:tblLook w:firstColumn="1" w:firstRow="1" w:lastColumn="0" w:lastRow="0" w:noHBand="0" w:noVBand="1" w:val="04A0"/>
      </w:tblPr>
      <w:tblGrid>
        <w:gridCol w:w="9648"/>
      </w:tblGrid>
      <w:tr>
        <w:tc>
          <w:tcPr>
            <w:tcW w:type="dxa" w:w="9648"/>
            <w:shd w:val="clear" w:fill="EEF3F8"/>
          </w:tcPr>
          <w:p>
            <w:r/>
            <w:r>
              <w:rPr>
                <w:b/>
                <w:color w:val="0B2B45"/>
                <w:sz w:val="21"/>
              </w:rPr>
              <w:t>Proposal in one sentence</w:t>
            </w:r>
          </w:p>
          <w:p>
            <w:r>
              <w:rPr>
                <w:sz w:val="20"/>
              </w:rPr>
              <w:t>Extend LEAK's existing Agentforce investment from a CRM record assistant into a governed AI sales coworker by completing the Account / Contact / Opportunity lifecycle, adding research and knowledge grounding, and introducing deterministic control with testing and observability.</w:t>
            </w:r>
          </w:p>
        </w:tc>
      </w:tr>
    </w:tbl>
    <w:p>
      <w:pPr>
        <w:spacing w:after="80"/>
      </w:pPr>
    </w:p>
    <w:p>
      <w:pPr>
        <w:spacing w:after="120"/>
      </w:pPr>
      <w:r>
        <w:rPr>
          <w:i w:val="0"/>
          <w:sz w:val="21"/>
        </w:rPr>
        <w:t>We propose a three-phase programme:</w:t>
      </w:r>
    </w:p>
    <w:p>
      <w:pPr>
        <w:pStyle w:val="ListBullet"/>
        <w:spacing w:after="60"/>
      </w:pPr>
      <w:r>
        <w:rPr>
          <w:b/>
        </w:rPr>
        <w:t xml:space="preserve">Phase 1 — Trusted CRM coworker: </w:t>
      </w:r>
      <w:r>
        <w:t>summarize, update, and task actions on the objects LEAK already creates, protected by Agent Script, confirmations, and automated tests.</w:t>
      </w:r>
    </w:p>
    <w:p>
      <w:pPr>
        <w:pStyle w:val="ListBullet"/>
        <w:spacing w:after="60"/>
      </w:pPr>
      <w:r>
        <w:rPr>
          <w:b/>
        </w:rPr>
        <w:t xml:space="preserve">Phase 2 — Research and knowledge: </w:t>
      </w:r>
      <w:r>
        <w:t>account research briefings, an Agentforce Data Library of LEAK playbooks and templates, grounded email drafting, and Slack access.</w:t>
      </w:r>
    </w:p>
    <w:p>
      <w:pPr>
        <w:pStyle w:val="ListBullet"/>
        <w:spacing w:after="60"/>
      </w:pPr>
      <w:r>
        <w:rPr>
          <w:b/>
        </w:rPr>
        <w:t xml:space="preserve">Phase 3 — Growth: </w:t>
      </w:r>
      <w:r>
        <w:t>prospecting signals, Sales Workspace visibility, multi-agent handoffs, and longer-running business development goals where justified.</w:t>
      </w:r>
    </w:p>
    <w:p>
      <w:pPr>
        <w:pStyle w:val="Heading1"/>
      </w:pPr>
      <w:r>
        <w:t>2. Current State — What LEAK Has Today</w:t>
      </w:r>
    </w:p>
    <w:p>
      <w:pPr>
        <w:spacing w:after="120"/>
      </w:pPr>
      <w:r>
        <w:rPr>
          <w:i w:val="0"/>
          <w:sz w:val="21"/>
        </w:rPr>
        <w:t>The existing implementation is a single employee-facing agent operating inside Salesforce with the mid-2025 topic-and-action model.</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736"/>
            <w:shd w:val="clear" w:fill="0B2B45"/>
          </w:tcPr>
          <w:p>
            <w:r/>
            <w:r>
              <w:rPr>
                <w:b/>
                <w:color w:val="FFFFFF"/>
                <w:sz w:val="19"/>
              </w:rPr>
              <w:t>Capability</w:t>
            </w:r>
          </w:p>
        </w:tc>
        <w:tc>
          <w:tcPr>
            <w:tcW w:type="dxa" w:w="2160"/>
            <w:shd w:val="clear" w:fill="0B2B45"/>
          </w:tcPr>
          <w:p>
            <w:r/>
            <w:r>
              <w:rPr>
                <w:b/>
                <w:color w:val="FFFFFF"/>
                <w:sz w:val="19"/>
              </w:rPr>
              <w:t>Status today</w:t>
            </w:r>
          </w:p>
        </w:tc>
        <w:tc>
          <w:tcPr>
            <w:tcW w:type="dxa" w:w="4752"/>
            <w:shd w:val="clear" w:fill="0B2B45"/>
          </w:tcPr>
          <w:p>
            <w:r/>
            <w:r>
              <w:rPr>
                <w:b/>
                <w:color w:val="FFFFFF"/>
                <w:sz w:val="19"/>
              </w:rPr>
              <w:t>Practical effect for users</w:t>
            </w:r>
          </w:p>
        </w:tc>
      </w:tr>
      <w:tr>
        <w:tc>
          <w:tcPr>
            <w:tcW w:type="dxa" w:w="2736"/>
          </w:tcPr>
          <w:p>
            <w:pPr>
              <w:spacing w:after="40"/>
            </w:pPr>
            <w:r/>
            <w:r>
              <w:rPr>
                <w:b/>
                <w:sz w:val="19"/>
              </w:rPr>
              <w:t>Identify record by name</w:t>
            </w:r>
          </w:p>
        </w:tc>
        <w:tc>
          <w:tcPr>
            <w:tcW w:type="dxa" w:w="2160"/>
          </w:tcPr>
          <w:p>
            <w:pPr>
              <w:spacing w:after="40"/>
            </w:pPr>
            <w:r/>
            <w:r>
              <w:rPr>
                <w:sz w:val="19"/>
              </w:rPr>
              <w:t>In place</w:t>
            </w:r>
          </w:p>
        </w:tc>
        <w:tc>
          <w:tcPr>
            <w:tcW w:type="dxa" w:w="4752"/>
          </w:tcPr>
          <w:p>
            <w:pPr>
              <w:spacing w:after="40"/>
            </w:pPr>
            <w:r/>
            <w:r>
              <w:rPr>
                <w:sz w:val="19"/>
              </w:rPr>
              <w:t>Resolves a named company or person to the correct record</w:t>
            </w:r>
          </w:p>
        </w:tc>
      </w:tr>
      <w:tr>
        <w:tc>
          <w:tcPr>
            <w:tcW w:type="dxa" w:w="2736"/>
            <w:shd w:val="clear" w:fill="EEF3F8"/>
          </w:tcPr>
          <w:p>
            <w:pPr>
              <w:spacing w:after="40"/>
            </w:pPr>
            <w:r/>
            <w:r>
              <w:rPr>
                <w:b/>
                <w:sz w:val="19"/>
              </w:rPr>
              <w:t>Query records</w:t>
            </w:r>
          </w:p>
        </w:tc>
        <w:tc>
          <w:tcPr>
            <w:tcW w:type="dxa" w:w="2160"/>
            <w:shd w:val="clear" w:fill="EEF3F8"/>
          </w:tcPr>
          <w:p>
            <w:pPr>
              <w:spacing w:after="40"/>
            </w:pPr>
            <w:r/>
            <w:r>
              <w:rPr>
                <w:sz w:val="19"/>
              </w:rPr>
              <w:t>In place</w:t>
            </w:r>
          </w:p>
        </w:tc>
        <w:tc>
          <w:tcPr>
            <w:tcW w:type="dxa" w:w="4752"/>
            <w:shd w:val="clear" w:fill="EEF3F8"/>
          </w:tcPr>
          <w:p>
            <w:pPr>
              <w:spacing w:after="40"/>
            </w:pPr>
            <w:r/>
            <w:r>
              <w:rPr>
                <w:sz w:val="19"/>
              </w:rPr>
              <w:t>Answers questions about data already held in CRM</w:t>
            </w:r>
          </w:p>
        </w:tc>
      </w:tr>
      <w:tr>
        <w:tc>
          <w:tcPr>
            <w:tcW w:type="dxa" w:w="2736"/>
          </w:tcPr>
          <w:p>
            <w:pPr>
              <w:spacing w:after="40"/>
            </w:pPr>
            <w:r/>
            <w:r>
              <w:rPr>
                <w:b/>
                <w:sz w:val="19"/>
              </w:rPr>
              <w:t>Create Account</w:t>
            </w:r>
          </w:p>
        </w:tc>
        <w:tc>
          <w:tcPr>
            <w:tcW w:type="dxa" w:w="2160"/>
          </w:tcPr>
          <w:p>
            <w:pPr>
              <w:spacing w:after="40"/>
            </w:pPr>
            <w:r/>
            <w:r>
              <w:rPr>
                <w:sz w:val="19"/>
              </w:rPr>
              <w:t>In place</w:t>
            </w:r>
          </w:p>
        </w:tc>
        <w:tc>
          <w:tcPr>
            <w:tcW w:type="dxa" w:w="4752"/>
          </w:tcPr>
          <w:p>
            <w:pPr>
              <w:spacing w:after="40"/>
            </w:pPr>
            <w:r/>
            <w:r>
              <w:rPr>
                <w:sz w:val="19"/>
              </w:rPr>
              <w:t>New client or target organisation created from conversation</w:t>
            </w:r>
          </w:p>
        </w:tc>
      </w:tr>
      <w:tr>
        <w:tc>
          <w:tcPr>
            <w:tcW w:type="dxa" w:w="2736"/>
            <w:shd w:val="clear" w:fill="EEF3F8"/>
          </w:tcPr>
          <w:p>
            <w:pPr>
              <w:spacing w:after="40"/>
            </w:pPr>
            <w:r/>
            <w:r>
              <w:rPr>
                <w:b/>
                <w:sz w:val="19"/>
              </w:rPr>
              <w:t>Create Contact</w:t>
            </w:r>
          </w:p>
        </w:tc>
        <w:tc>
          <w:tcPr>
            <w:tcW w:type="dxa" w:w="2160"/>
            <w:shd w:val="clear" w:fill="EEF3F8"/>
          </w:tcPr>
          <w:p>
            <w:pPr>
              <w:spacing w:after="40"/>
            </w:pPr>
            <w:r/>
            <w:r>
              <w:rPr>
                <w:sz w:val="19"/>
              </w:rPr>
              <w:t>In place</w:t>
            </w:r>
          </w:p>
        </w:tc>
        <w:tc>
          <w:tcPr>
            <w:tcW w:type="dxa" w:w="4752"/>
            <w:shd w:val="clear" w:fill="EEF3F8"/>
          </w:tcPr>
          <w:p>
            <w:pPr>
              <w:spacing w:after="40"/>
            </w:pPr>
            <w:r/>
            <w:r>
              <w:rPr>
                <w:sz w:val="19"/>
              </w:rPr>
              <w:t>Stakeholder captured against the account</w:t>
            </w:r>
          </w:p>
        </w:tc>
      </w:tr>
      <w:tr>
        <w:tc>
          <w:tcPr>
            <w:tcW w:type="dxa" w:w="2736"/>
          </w:tcPr>
          <w:p>
            <w:pPr>
              <w:spacing w:after="40"/>
            </w:pPr>
            <w:r/>
            <w:r>
              <w:rPr>
                <w:b/>
                <w:sz w:val="19"/>
              </w:rPr>
              <w:t>Create Opportunity</w:t>
            </w:r>
          </w:p>
        </w:tc>
        <w:tc>
          <w:tcPr>
            <w:tcW w:type="dxa" w:w="2160"/>
          </w:tcPr>
          <w:p>
            <w:pPr>
              <w:spacing w:after="40"/>
            </w:pPr>
            <w:r/>
            <w:r>
              <w:rPr>
                <w:sz w:val="19"/>
              </w:rPr>
              <w:t>In place</w:t>
            </w:r>
          </w:p>
        </w:tc>
        <w:tc>
          <w:tcPr>
            <w:tcW w:type="dxa" w:w="4752"/>
          </w:tcPr>
          <w:p>
            <w:pPr>
              <w:spacing w:after="40"/>
            </w:pPr>
            <w:r/>
            <w:r>
              <w:rPr>
                <w:sz w:val="19"/>
              </w:rPr>
              <w:t>New pursuit opened without navigating the UI</w:t>
            </w:r>
          </w:p>
        </w:tc>
      </w:tr>
      <w:tr>
        <w:tc>
          <w:tcPr>
            <w:tcW w:type="dxa" w:w="2736"/>
            <w:shd w:val="clear" w:fill="EEF3F8"/>
          </w:tcPr>
          <w:p>
            <w:pPr>
              <w:spacing w:after="40"/>
            </w:pPr>
            <w:r/>
            <w:r>
              <w:rPr>
                <w:b/>
                <w:sz w:val="19"/>
              </w:rPr>
              <w:t>Update existing records</w:t>
            </w:r>
          </w:p>
        </w:tc>
        <w:tc>
          <w:tcPr>
            <w:tcW w:type="dxa" w:w="2160"/>
            <w:shd w:val="clear" w:fill="EEF3F8"/>
          </w:tcPr>
          <w:p>
            <w:pPr>
              <w:spacing w:after="40"/>
            </w:pPr>
            <w:r/>
            <w:r>
              <w:rPr>
                <w:sz w:val="19"/>
              </w:rPr>
              <w:t>Not in scope</w:t>
            </w:r>
          </w:p>
        </w:tc>
        <w:tc>
          <w:tcPr>
            <w:tcW w:type="dxa" w:w="4752"/>
            <w:shd w:val="clear" w:fill="EEF3F8"/>
          </w:tcPr>
          <w:p>
            <w:pPr>
              <w:spacing w:after="40"/>
            </w:pPr>
            <w:r/>
            <w:r>
              <w:rPr>
                <w:sz w:val="19"/>
              </w:rPr>
              <w:t>Stage, close date, and next step still maintained manually</w:t>
            </w:r>
          </w:p>
        </w:tc>
      </w:tr>
      <w:tr>
        <w:tc>
          <w:tcPr>
            <w:tcW w:type="dxa" w:w="2736"/>
          </w:tcPr>
          <w:p>
            <w:pPr>
              <w:spacing w:after="40"/>
            </w:pPr>
            <w:r/>
            <w:r>
              <w:rPr>
                <w:b/>
                <w:sz w:val="19"/>
              </w:rPr>
              <w:t>Account research and summaries</w:t>
            </w:r>
          </w:p>
        </w:tc>
        <w:tc>
          <w:tcPr>
            <w:tcW w:type="dxa" w:w="2160"/>
          </w:tcPr>
          <w:p>
            <w:pPr>
              <w:spacing w:after="40"/>
            </w:pPr>
            <w:r/>
            <w:r>
              <w:rPr>
                <w:sz w:val="19"/>
              </w:rPr>
              <w:t>Not in scope</w:t>
            </w:r>
          </w:p>
        </w:tc>
        <w:tc>
          <w:tcPr>
            <w:tcW w:type="dxa" w:w="4752"/>
          </w:tcPr>
          <w:p>
            <w:pPr>
              <w:spacing w:after="40"/>
            </w:pPr>
            <w:r/>
            <w:r>
              <w:rPr>
                <w:sz w:val="19"/>
              </w:rPr>
              <w:t>Partners prepare for meetings outside the agent</w:t>
            </w:r>
          </w:p>
        </w:tc>
      </w:tr>
      <w:tr>
        <w:tc>
          <w:tcPr>
            <w:tcW w:type="dxa" w:w="2736"/>
            <w:shd w:val="clear" w:fill="EEF3F8"/>
          </w:tcPr>
          <w:p>
            <w:pPr>
              <w:spacing w:after="40"/>
            </w:pPr>
            <w:r/>
            <w:r>
              <w:rPr>
                <w:b/>
                <w:sz w:val="19"/>
              </w:rPr>
              <w:t>Knowledge and playbook answers</w:t>
            </w:r>
          </w:p>
        </w:tc>
        <w:tc>
          <w:tcPr>
            <w:tcW w:type="dxa" w:w="2160"/>
            <w:shd w:val="clear" w:fill="EEF3F8"/>
          </w:tcPr>
          <w:p>
            <w:pPr>
              <w:spacing w:after="40"/>
            </w:pPr>
            <w:r/>
            <w:r>
              <w:rPr>
                <w:sz w:val="19"/>
              </w:rPr>
              <w:t>Not in scope</w:t>
            </w:r>
          </w:p>
        </w:tc>
        <w:tc>
          <w:tcPr>
            <w:tcW w:type="dxa" w:w="4752"/>
            <w:shd w:val="clear" w:fill="EEF3F8"/>
          </w:tcPr>
          <w:p>
            <w:pPr>
              <w:spacing w:after="40"/>
            </w:pPr>
            <w:r/>
            <w:r>
              <w:rPr>
                <w:sz w:val="19"/>
              </w:rPr>
              <w:t>Firm methodology content is not available to the agent</w:t>
            </w:r>
          </w:p>
        </w:tc>
      </w:tr>
      <w:tr>
        <w:tc>
          <w:tcPr>
            <w:tcW w:type="dxa" w:w="2736"/>
          </w:tcPr>
          <w:p>
            <w:pPr>
              <w:spacing w:after="40"/>
            </w:pPr>
            <w:r/>
            <w:r>
              <w:rPr>
                <w:b/>
                <w:sz w:val="19"/>
              </w:rPr>
              <w:t>Email drafting and activity logging</w:t>
            </w:r>
          </w:p>
        </w:tc>
        <w:tc>
          <w:tcPr>
            <w:tcW w:type="dxa" w:w="2160"/>
          </w:tcPr>
          <w:p>
            <w:pPr>
              <w:spacing w:after="40"/>
            </w:pPr>
            <w:r/>
            <w:r>
              <w:rPr>
                <w:sz w:val="19"/>
              </w:rPr>
              <w:t>Not in scope</w:t>
            </w:r>
          </w:p>
        </w:tc>
        <w:tc>
          <w:tcPr>
            <w:tcW w:type="dxa" w:w="4752"/>
          </w:tcPr>
          <w:p>
            <w:pPr>
              <w:spacing w:after="40"/>
            </w:pPr>
            <w:r/>
            <w:r>
              <w:rPr>
                <w:sz w:val="19"/>
              </w:rPr>
              <w:t>Outreach and follow-up remain fully manual</w:t>
            </w:r>
          </w:p>
        </w:tc>
      </w:tr>
      <w:tr>
        <w:tc>
          <w:tcPr>
            <w:tcW w:type="dxa" w:w="2736"/>
            <w:shd w:val="clear" w:fill="EEF3F8"/>
          </w:tcPr>
          <w:p>
            <w:pPr>
              <w:spacing w:after="40"/>
            </w:pPr>
            <w:r/>
            <w:r>
              <w:rPr>
                <w:b/>
                <w:sz w:val="19"/>
              </w:rPr>
              <w:t>Deterministic process control</w:t>
            </w:r>
          </w:p>
        </w:tc>
        <w:tc>
          <w:tcPr>
            <w:tcW w:type="dxa" w:w="2160"/>
            <w:shd w:val="clear" w:fill="EEF3F8"/>
          </w:tcPr>
          <w:p>
            <w:pPr>
              <w:spacing w:after="40"/>
            </w:pPr>
            <w:r/>
            <w:r>
              <w:rPr>
                <w:sz w:val="19"/>
              </w:rPr>
              <w:t>Not available in 2025 design</w:t>
            </w:r>
          </w:p>
        </w:tc>
        <w:tc>
          <w:tcPr>
            <w:tcW w:type="dxa" w:w="4752"/>
            <w:shd w:val="clear" w:fill="EEF3F8"/>
          </w:tcPr>
          <w:p>
            <w:pPr>
              <w:spacing w:after="40"/>
            </w:pPr>
            <w:r/>
            <w:r>
              <w:rPr>
                <w:sz w:val="19"/>
              </w:rPr>
              <w:t>Behaviour depends on prompt instructions alone</w:t>
            </w:r>
          </w:p>
        </w:tc>
      </w:tr>
      <w:tr>
        <w:tc>
          <w:tcPr>
            <w:tcW w:type="dxa" w:w="2736"/>
          </w:tcPr>
          <w:p>
            <w:pPr>
              <w:spacing w:after="40"/>
            </w:pPr>
            <w:r/>
            <w:r>
              <w:rPr>
                <w:b/>
                <w:sz w:val="19"/>
              </w:rPr>
              <w:t>Automated testing and observability</w:t>
            </w:r>
          </w:p>
        </w:tc>
        <w:tc>
          <w:tcPr>
            <w:tcW w:type="dxa" w:w="2160"/>
          </w:tcPr>
          <w:p>
            <w:pPr>
              <w:spacing w:after="40"/>
            </w:pPr>
            <w:r/>
            <w:r>
              <w:rPr>
                <w:sz w:val="19"/>
              </w:rPr>
              <w:t>Limited</w:t>
            </w:r>
          </w:p>
        </w:tc>
        <w:tc>
          <w:tcPr>
            <w:tcW w:type="dxa" w:w="4752"/>
          </w:tcPr>
          <w:p>
            <w:pPr>
              <w:spacing w:after="40"/>
            </w:pPr>
            <w:r/>
            <w:r>
              <w:rPr>
                <w:sz w:val="19"/>
              </w:rPr>
              <w:t>Difficult to measure quality or safely widen write access</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EEF3F8"/>
          </w:tcPr>
          <w:p>
            <w:r/>
            <w:r>
              <w:rPr>
                <w:b/>
                <w:color w:val="0B2B45"/>
                <w:sz w:val="21"/>
              </w:rPr>
              <w:t>Architectural assessment</w:t>
            </w:r>
          </w:p>
          <w:p>
            <w:r>
              <w:rPr>
                <w:sz w:val="20"/>
              </w:rPr>
              <w:t>The agent is a data-entry and lookup assistant. Creation is solved; the remainder of the sales cycle — preparation, judgement, hygiene, and follow-up — is still entirely human. Most of the available value from the existing licence is therefore unrealised.</w:t>
            </w:r>
          </w:p>
        </w:tc>
      </w:tr>
    </w:tbl>
    <w:p>
      <w:pPr>
        <w:spacing w:after="80"/>
      </w:pPr>
    </w:p>
    <w:p>
      <w:r>
        <w:br w:type="page"/>
      </w:r>
    </w:p>
    <w:p>
      <w:pPr>
        <w:pStyle w:val="Heading1"/>
      </w:pPr>
      <w:r>
        <w:t>3. What Has Changed in Agentforce Since Mid-2025</w:t>
      </w:r>
    </w:p>
    <w:p>
      <w:pPr>
        <w:spacing w:after="120"/>
      </w:pPr>
      <w:r>
        <w:rPr>
          <w:i w:val="0"/>
          <w:sz w:val="21"/>
        </w:rPr>
        <w:t>The following table summarises publicly announced Salesforce capability waves relevant to LEAK. Availability under LEAK's specific licence set must be confirmed during discovery.</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16"/>
            <w:shd w:val="clear" w:fill="0B2B45"/>
          </w:tcPr>
          <w:p>
            <w:r/>
            <w:r>
              <w:rPr>
                <w:b/>
                <w:color w:val="FFFFFF"/>
                <w:sz w:val="19"/>
              </w:rPr>
              <w:t>Release wave</w:t>
            </w:r>
          </w:p>
        </w:tc>
        <w:tc>
          <w:tcPr>
            <w:tcW w:type="dxa" w:w="1584"/>
            <w:shd w:val="clear" w:fill="0B2B45"/>
          </w:tcPr>
          <w:p>
            <w:r/>
            <w:r>
              <w:rPr>
                <w:b/>
                <w:color w:val="FFFFFF"/>
                <w:sz w:val="19"/>
              </w:rPr>
              <w:t>Timing</w:t>
            </w:r>
          </w:p>
        </w:tc>
        <w:tc>
          <w:tcPr>
            <w:tcW w:type="dxa" w:w="6048"/>
            <w:shd w:val="clear" w:fill="0B2B45"/>
          </w:tcPr>
          <w:p>
            <w:r/>
            <w:r>
              <w:rPr>
                <w:b/>
                <w:color w:val="FFFFFF"/>
                <w:sz w:val="19"/>
              </w:rPr>
              <w:t>Capabilities relevant to LEAK</w:t>
            </w:r>
          </w:p>
        </w:tc>
      </w:tr>
      <w:tr>
        <w:tc>
          <w:tcPr>
            <w:tcW w:type="dxa" w:w="2016"/>
          </w:tcPr>
          <w:p>
            <w:pPr>
              <w:spacing w:after="40"/>
            </w:pPr>
            <w:r/>
            <w:r>
              <w:rPr>
                <w:b/>
                <w:sz w:val="19"/>
              </w:rPr>
              <w:t>Agentforce 3</w:t>
            </w:r>
          </w:p>
        </w:tc>
        <w:tc>
          <w:tcPr>
            <w:tcW w:type="dxa" w:w="1584"/>
          </w:tcPr>
          <w:p>
            <w:pPr>
              <w:spacing w:after="40"/>
            </w:pPr>
            <w:r/>
            <w:r>
              <w:rPr>
                <w:sz w:val="19"/>
              </w:rPr>
              <w:t>June 2025</w:t>
            </w:r>
          </w:p>
        </w:tc>
        <w:tc>
          <w:tcPr>
            <w:tcW w:type="dxa" w:w="6048"/>
          </w:tcPr>
          <w:p>
            <w:pPr>
              <w:spacing w:after="40"/>
            </w:pPr>
            <w:r/>
            <w:r>
              <w:rPr>
                <w:sz w:val="19"/>
              </w:rPr>
              <w:t>Command Center observability, Testing Center enhancements, 100+ additional prebuilt actions, MCP interoperability, web search in data libraries</w:t>
            </w:r>
          </w:p>
        </w:tc>
      </w:tr>
      <w:tr>
        <w:tc>
          <w:tcPr>
            <w:tcW w:type="dxa" w:w="2016"/>
            <w:shd w:val="clear" w:fill="EEF3F8"/>
          </w:tcPr>
          <w:p>
            <w:pPr>
              <w:spacing w:after="40"/>
            </w:pPr>
            <w:r/>
            <w:r>
              <w:rPr>
                <w:b/>
                <w:sz w:val="19"/>
              </w:rPr>
              <w:t>Agentforce 360</w:t>
            </w:r>
          </w:p>
        </w:tc>
        <w:tc>
          <w:tcPr>
            <w:tcW w:type="dxa" w:w="1584"/>
            <w:shd w:val="clear" w:fill="EEF3F8"/>
          </w:tcPr>
          <w:p>
            <w:pPr>
              <w:spacing w:after="40"/>
            </w:pPr>
            <w:r/>
            <w:r>
              <w:rPr>
                <w:sz w:val="19"/>
              </w:rPr>
              <w:t>October 2025</w:t>
            </w:r>
          </w:p>
        </w:tc>
        <w:tc>
          <w:tcPr>
            <w:tcW w:type="dxa" w:w="6048"/>
            <w:shd w:val="clear" w:fill="EEF3F8"/>
          </w:tcPr>
          <w:p>
            <w:pPr>
              <w:spacing w:after="40"/>
            </w:pPr>
            <w:r/>
            <w:r>
              <w:rPr>
                <w:sz w:val="19"/>
              </w:rPr>
              <w:t>New Agentforce Builder, Agent Script hybrid reasoning, Agentforce Voice, Intelligent Context for unstructured documents, Data 360 grounding</w:t>
            </w:r>
          </w:p>
        </w:tc>
      </w:tr>
      <w:tr>
        <w:tc>
          <w:tcPr>
            <w:tcW w:type="dxa" w:w="2016"/>
          </w:tcPr>
          <w:p>
            <w:pPr>
              <w:spacing w:after="40"/>
            </w:pPr>
            <w:r/>
            <w:r>
              <w:rPr>
                <w:b/>
                <w:sz w:val="19"/>
              </w:rPr>
              <w:t>Winter '26</w:t>
            </w:r>
          </w:p>
        </w:tc>
        <w:tc>
          <w:tcPr>
            <w:tcW w:type="dxa" w:w="1584"/>
          </w:tcPr>
          <w:p>
            <w:pPr>
              <w:spacing w:after="40"/>
            </w:pPr>
            <w:r/>
            <w:r>
              <w:rPr>
                <w:sz w:val="19"/>
              </w:rPr>
              <w:t>October 2025</w:t>
            </w:r>
          </w:p>
        </w:tc>
        <w:tc>
          <w:tcPr>
            <w:tcW w:type="dxa" w:w="6048"/>
          </w:tcPr>
          <w:p>
            <w:pPr>
              <w:spacing w:after="40"/>
            </w:pPr>
            <w:r/>
            <w:r>
              <w:rPr>
                <w:sz w:val="19"/>
              </w:rPr>
              <w:t>Agentforce Grid for bulk prompt and action experimentation, pipeline management enhancements, built-in observability</w:t>
            </w:r>
          </w:p>
        </w:tc>
      </w:tr>
      <w:tr>
        <w:tc>
          <w:tcPr>
            <w:tcW w:type="dxa" w:w="2016"/>
            <w:shd w:val="clear" w:fill="EEF3F8"/>
          </w:tcPr>
          <w:p>
            <w:pPr>
              <w:spacing w:after="40"/>
            </w:pPr>
            <w:r/>
            <w:r>
              <w:rPr>
                <w:b/>
                <w:sz w:val="19"/>
              </w:rPr>
              <w:t>Spring '26</w:t>
            </w:r>
          </w:p>
        </w:tc>
        <w:tc>
          <w:tcPr>
            <w:tcW w:type="dxa" w:w="1584"/>
            <w:shd w:val="clear" w:fill="EEF3F8"/>
          </w:tcPr>
          <w:p>
            <w:pPr>
              <w:spacing w:after="40"/>
            </w:pPr>
            <w:r/>
            <w:r>
              <w:rPr>
                <w:sz w:val="19"/>
              </w:rPr>
              <w:t>February 2026</w:t>
            </w:r>
          </w:p>
        </w:tc>
        <w:tc>
          <w:tcPr>
            <w:tcW w:type="dxa" w:w="6048"/>
            <w:shd w:val="clear" w:fill="EEF3F8"/>
          </w:tcPr>
          <w:p>
            <w:pPr>
              <w:spacing w:after="40"/>
            </w:pPr>
            <w:r/>
            <w:r>
              <w:rPr>
                <w:sz w:val="19"/>
              </w:rPr>
              <w:t>Sales Workspace, Account Management with automated research, always-on prospecting, conversational email</w:t>
            </w:r>
          </w:p>
        </w:tc>
      </w:tr>
      <w:tr>
        <w:tc>
          <w:tcPr>
            <w:tcW w:type="dxa" w:w="2016"/>
          </w:tcPr>
          <w:p>
            <w:pPr>
              <w:spacing w:after="40"/>
            </w:pPr>
            <w:r/>
            <w:r>
              <w:rPr>
                <w:b/>
                <w:sz w:val="19"/>
              </w:rPr>
              <w:t>Terminology change</w:t>
            </w:r>
          </w:p>
        </w:tc>
        <w:tc>
          <w:tcPr>
            <w:tcW w:type="dxa" w:w="1584"/>
          </w:tcPr>
          <w:p>
            <w:pPr>
              <w:spacing w:after="40"/>
            </w:pPr>
            <w:r/>
            <w:r>
              <w:rPr>
                <w:sz w:val="19"/>
              </w:rPr>
              <w:t>April 2026</w:t>
            </w:r>
          </w:p>
        </w:tc>
        <w:tc>
          <w:tcPr>
            <w:tcW w:type="dxa" w:w="6048"/>
          </w:tcPr>
          <w:p>
            <w:pPr>
              <w:spacing w:after="40"/>
            </w:pPr>
            <w:r/>
            <w:r>
              <w:rPr>
                <w:sz w:val="19"/>
              </w:rPr>
              <w:t>Topics are now called subagents, reflecting a clearer multi-skill agent design</w:t>
            </w:r>
          </w:p>
        </w:tc>
      </w:tr>
      <w:tr>
        <w:tc>
          <w:tcPr>
            <w:tcW w:type="dxa" w:w="2016"/>
            <w:shd w:val="clear" w:fill="EEF3F8"/>
          </w:tcPr>
          <w:p>
            <w:pPr>
              <w:spacing w:after="40"/>
            </w:pPr>
            <w:r/>
            <w:r>
              <w:rPr>
                <w:b/>
                <w:sz w:val="19"/>
              </w:rPr>
              <w:t>Summer '26</w:t>
            </w:r>
          </w:p>
        </w:tc>
        <w:tc>
          <w:tcPr>
            <w:tcW w:type="dxa" w:w="1584"/>
            <w:shd w:val="clear" w:fill="EEF3F8"/>
          </w:tcPr>
          <w:p>
            <w:pPr>
              <w:spacing w:after="40"/>
            </w:pPr>
            <w:r/>
            <w:r>
              <w:rPr>
                <w:sz w:val="19"/>
              </w:rPr>
              <w:t>June 2026</w:t>
            </w:r>
          </w:p>
        </w:tc>
        <w:tc>
          <w:tcPr>
            <w:tcW w:type="dxa" w:w="6048"/>
            <w:shd w:val="clear" w:fill="EEF3F8"/>
          </w:tcPr>
          <w:p>
            <w:pPr>
              <w:spacing w:after="40"/>
            </w:pPr>
            <w:r/>
            <w:r>
              <w:rPr>
                <w:sz w:val="19"/>
              </w:rPr>
              <w:t>Multi-agent orchestration with shared context, Slack-first agentic workflows, agentic data management</w:t>
            </w:r>
          </w:p>
        </w:tc>
      </w:tr>
      <w:tr>
        <w:tc>
          <w:tcPr>
            <w:tcW w:type="dxa" w:w="2016"/>
          </w:tcPr>
          <w:p>
            <w:pPr>
              <w:spacing w:after="40"/>
            </w:pPr>
            <w:r/>
            <w:r>
              <w:rPr>
                <w:b/>
                <w:sz w:val="19"/>
              </w:rPr>
              <w:t>Long-horizon agents</w:t>
            </w:r>
          </w:p>
        </w:tc>
        <w:tc>
          <w:tcPr>
            <w:tcW w:type="dxa" w:w="1584"/>
          </w:tcPr>
          <w:p>
            <w:pPr>
              <w:spacing w:after="40"/>
            </w:pPr>
            <w:r/>
            <w:r>
              <w:rPr>
                <w:sz w:val="19"/>
              </w:rPr>
              <w:t>2026 announcements</w:t>
            </w:r>
          </w:p>
        </w:tc>
        <w:tc>
          <w:tcPr>
            <w:tcW w:type="dxa" w:w="6048"/>
          </w:tcPr>
          <w:p>
            <w:pPr>
              <w:spacing w:after="40"/>
            </w:pPr>
            <w:r/>
            <w:r>
              <w:rPr>
                <w:sz w:val="19"/>
              </w:rPr>
              <w:t>Goal-oriented agents with memory and durable execution across days or weeks, plus Agent Optimizer for trace-driven tuning</w:t>
            </w:r>
          </w:p>
        </w:tc>
      </w:tr>
    </w:tbl>
    <w:p>
      <w:pPr>
        <w:spacing w:after="80"/>
      </w:pPr>
    </w:p>
    <w:p>
      <w:pPr>
        <w:spacing w:after="120"/>
      </w:pPr>
      <w:r>
        <w:rPr>
          <w:i w:val="0"/>
          <w:sz w:val="21"/>
        </w:rPr>
        <w:t>The net shift is architectural. Mid-2025 agents were conversational interfaces over CRM. Current Agentforce is a controlled execution layer over Customer 360 and Data 360, with deterministic scripting, automated testing, and production monitoring.</w:t>
      </w:r>
    </w:p>
    <w:p>
      <w:pPr>
        <w:pStyle w:val="Heading1"/>
      </w:pPr>
      <w:r>
        <w:t>4. Gap Analysis — Current Scope Against Current Platform</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584"/>
            <w:shd w:val="clear" w:fill="0B2B45"/>
          </w:tcPr>
          <w:p>
            <w:r/>
            <w:r>
              <w:rPr>
                <w:b/>
                <w:color w:val="FFFFFF"/>
                <w:sz w:val="19"/>
              </w:rPr>
              <w:t>Domain</w:t>
            </w:r>
          </w:p>
        </w:tc>
        <w:tc>
          <w:tcPr>
            <w:tcW w:type="dxa" w:w="1872"/>
            <w:shd w:val="clear" w:fill="0B2B45"/>
          </w:tcPr>
          <w:p>
            <w:r/>
            <w:r>
              <w:rPr>
                <w:b/>
                <w:color w:val="FFFFFF"/>
                <w:sz w:val="19"/>
              </w:rPr>
              <w:t>LEAK today</w:t>
            </w:r>
          </w:p>
        </w:tc>
        <w:tc>
          <w:tcPr>
            <w:tcW w:type="dxa" w:w="3456"/>
            <w:shd w:val="clear" w:fill="0B2B45"/>
          </w:tcPr>
          <w:p>
            <w:r/>
            <w:r>
              <w:rPr>
                <w:b/>
                <w:color w:val="FFFFFF"/>
                <w:sz w:val="19"/>
              </w:rPr>
              <w:t>Available now</w:t>
            </w:r>
          </w:p>
        </w:tc>
        <w:tc>
          <w:tcPr>
            <w:tcW w:type="dxa" w:w="2736"/>
            <w:shd w:val="clear" w:fill="0B2B45"/>
          </w:tcPr>
          <w:p>
            <w:r/>
            <w:r>
              <w:rPr>
                <w:b/>
                <w:color w:val="FFFFFF"/>
                <w:sz w:val="19"/>
              </w:rPr>
              <w:t>Business benefit</w:t>
            </w:r>
          </w:p>
        </w:tc>
      </w:tr>
      <w:tr>
        <w:tc>
          <w:tcPr>
            <w:tcW w:type="dxa" w:w="1584"/>
          </w:tcPr>
          <w:p>
            <w:pPr>
              <w:spacing w:after="40"/>
            </w:pPr>
            <w:r/>
            <w:r>
              <w:rPr>
                <w:b/>
                <w:sz w:val="19"/>
              </w:rPr>
              <w:t>CRM lifecycle</w:t>
            </w:r>
          </w:p>
        </w:tc>
        <w:tc>
          <w:tcPr>
            <w:tcW w:type="dxa" w:w="1872"/>
          </w:tcPr>
          <w:p>
            <w:pPr>
              <w:spacing w:after="40"/>
            </w:pPr>
            <w:r/>
            <w:r>
              <w:rPr>
                <w:sz w:val="19"/>
              </w:rPr>
              <w:t>Create only</w:t>
            </w:r>
          </w:p>
        </w:tc>
        <w:tc>
          <w:tcPr>
            <w:tcW w:type="dxa" w:w="3456"/>
          </w:tcPr>
          <w:p>
            <w:pPr>
              <w:spacing w:after="40"/>
            </w:pPr>
            <w:r/>
            <w:r>
              <w:rPr>
                <w:sz w:val="19"/>
              </w:rPr>
              <w:t>Get details, summarize, update, aggregate queries, field extraction</w:t>
            </w:r>
          </w:p>
        </w:tc>
        <w:tc>
          <w:tcPr>
            <w:tcW w:type="dxa" w:w="2736"/>
          </w:tcPr>
          <w:p>
            <w:pPr>
              <w:spacing w:after="40"/>
            </w:pPr>
            <w:r/>
            <w:r>
              <w:rPr>
                <w:sz w:val="19"/>
              </w:rPr>
              <w:t>Pipeline stays current without leaving the agent</w:t>
            </w:r>
          </w:p>
        </w:tc>
      </w:tr>
      <w:tr>
        <w:tc>
          <w:tcPr>
            <w:tcW w:type="dxa" w:w="1584"/>
            <w:shd w:val="clear" w:fill="EEF3F8"/>
          </w:tcPr>
          <w:p>
            <w:pPr>
              <w:spacing w:after="40"/>
            </w:pPr>
            <w:r/>
            <w:r>
              <w:rPr>
                <w:b/>
                <w:sz w:val="19"/>
              </w:rPr>
              <w:t>Account research</w:t>
            </w:r>
          </w:p>
        </w:tc>
        <w:tc>
          <w:tcPr>
            <w:tcW w:type="dxa" w:w="1872"/>
            <w:shd w:val="clear" w:fill="EEF3F8"/>
          </w:tcPr>
          <w:p>
            <w:pPr>
              <w:spacing w:after="40"/>
            </w:pPr>
            <w:r/>
            <w:r>
              <w:rPr>
                <w:sz w:val="19"/>
              </w:rPr>
              <w:t>Manual preparation</w:t>
            </w:r>
          </w:p>
        </w:tc>
        <w:tc>
          <w:tcPr>
            <w:tcW w:type="dxa" w:w="3456"/>
            <w:shd w:val="clear" w:fill="EEF3F8"/>
          </w:tcPr>
          <w:p>
            <w:pPr>
              <w:spacing w:after="40"/>
            </w:pPr>
            <w:r/>
            <w:r>
              <w:rPr>
                <w:sz w:val="19"/>
              </w:rPr>
              <w:t>Sales Research subagent: activities, notes, emails, account plan, governed web search</w:t>
            </w:r>
          </w:p>
        </w:tc>
        <w:tc>
          <w:tcPr>
            <w:tcW w:type="dxa" w:w="2736"/>
            <w:shd w:val="clear" w:fill="EEF3F8"/>
          </w:tcPr>
          <w:p>
            <w:pPr>
              <w:spacing w:after="40"/>
            </w:pPr>
            <w:r/>
            <w:r>
              <w:rPr>
                <w:sz w:val="19"/>
              </w:rPr>
              <w:t>Meeting preparation reduced from hours to minutes</w:t>
            </w:r>
          </w:p>
        </w:tc>
      </w:tr>
      <w:tr>
        <w:tc>
          <w:tcPr>
            <w:tcW w:type="dxa" w:w="1584"/>
          </w:tcPr>
          <w:p>
            <w:pPr>
              <w:spacing w:after="40"/>
            </w:pPr>
            <w:r/>
            <w:r>
              <w:rPr>
                <w:b/>
                <w:sz w:val="19"/>
              </w:rPr>
              <w:t>Firm knowledge</w:t>
            </w:r>
          </w:p>
        </w:tc>
        <w:tc>
          <w:tcPr>
            <w:tcW w:type="dxa" w:w="1872"/>
          </w:tcPr>
          <w:p>
            <w:pPr>
              <w:spacing w:after="40"/>
            </w:pPr>
            <w:r/>
            <w:r>
              <w:rPr>
                <w:sz w:val="19"/>
              </w:rPr>
              <w:t>CRM fields only</w:t>
            </w:r>
          </w:p>
        </w:tc>
        <w:tc>
          <w:tcPr>
            <w:tcW w:type="dxa" w:w="3456"/>
          </w:tcPr>
          <w:p>
            <w:pPr>
              <w:spacing w:after="40"/>
            </w:pPr>
            <w:r/>
            <w:r>
              <w:rPr>
                <w:sz w:val="19"/>
              </w:rPr>
              <w:t>Agentforce Data Libraries, Intelligent Context for documents and decks</w:t>
            </w:r>
          </w:p>
        </w:tc>
        <w:tc>
          <w:tcPr>
            <w:tcW w:type="dxa" w:w="2736"/>
          </w:tcPr>
          <w:p>
            <w:pPr>
              <w:spacing w:after="40"/>
            </w:pPr>
            <w:r/>
            <w:r>
              <w:rPr>
                <w:sz w:val="19"/>
              </w:rPr>
              <w:t>Consistent answers from LEAK playbooks and templates</w:t>
            </w:r>
          </w:p>
        </w:tc>
      </w:tr>
      <w:tr>
        <w:tc>
          <w:tcPr>
            <w:tcW w:type="dxa" w:w="1584"/>
            <w:shd w:val="clear" w:fill="EEF3F8"/>
          </w:tcPr>
          <w:p>
            <w:pPr>
              <w:spacing w:after="40"/>
            </w:pPr>
            <w:r/>
            <w:r>
              <w:rPr>
                <w:b/>
                <w:sz w:val="19"/>
              </w:rPr>
              <w:t>Communication</w:t>
            </w:r>
          </w:p>
        </w:tc>
        <w:tc>
          <w:tcPr>
            <w:tcW w:type="dxa" w:w="1872"/>
            <w:shd w:val="clear" w:fill="EEF3F8"/>
          </w:tcPr>
          <w:p>
            <w:pPr>
              <w:spacing w:after="40"/>
            </w:pPr>
            <w:r/>
            <w:r>
              <w:rPr>
                <w:sz w:val="19"/>
              </w:rPr>
              <w:t>Not enabled</w:t>
            </w:r>
          </w:p>
        </w:tc>
        <w:tc>
          <w:tcPr>
            <w:tcW w:type="dxa" w:w="3456"/>
            <w:shd w:val="clear" w:fill="EEF3F8"/>
          </w:tcPr>
          <w:p>
            <w:pPr>
              <w:spacing w:after="40"/>
            </w:pPr>
            <w:r/>
            <w:r>
              <w:rPr>
                <w:sz w:val="19"/>
              </w:rPr>
              <w:t>Grounded email drafting and revision, in-record recommended actions</w:t>
            </w:r>
          </w:p>
        </w:tc>
        <w:tc>
          <w:tcPr>
            <w:tcW w:type="dxa" w:w="2736"/>
            <w:shd w:val="clear" w:fill="EEF3F8"/>
          </w:tcPr>
          <w:p>
            <w:pPr>
              <w:spacing w:after="40"/>
            </w:pPr>
            <w:r/>
            <w:r>
              <w:rPr>
                <w:sz w:val="19"/>
              </w:rPr>
              <w:t>Faster, on-brand client outreach</w:t>
            </w:r>
          </w:p>
        </w:tc>
      </w:tr>
      <w:tr>
        <w:tc>
          <w:tcPr>
            <w:tcW w:type="dxa" w:w="1584"/>
          </w:tcPr>
          <w:p>
            <w:pPr>
              <w:spacing w:after="40"/>
            </w:pPr>
            <w:r/>
            <w:r>
              <w:rPr>
                <w:b/>
                <w:sz w:val="19"/>
              </w:rPr>
              <w:t>Activity capture</w:t>
            </w:r>
          </w:p>
        </w:tc>
        <w:tc>
          <w:tcPr>
            <w:tcW w:type="dxa" w:w="1872"/>
          </w:tcPr>
          <w:p>
            <w:pPr>
              <w:spacing w:after="40"/>
            </w:pPr>
            <w:r/>
            <w:r>
              <w:rPr>
                <w:sz w:val="19"/>
              </w:rPr>
              <w:t>Not enabled</w:t>
            </w:r>
          </w:p>
        </w:tc>
        <w:tc>
          <w:tcPr>
            <w:tcW w:type="dxa" w:w="3456"/>
          </w:tcPr>
          <w:p>
            <w:pPr>
              <w:spacing w:after="40"/>
            </w:pPr>
            <w:r/>
            <w:r>
              <w:rPr>
                <w:sz w:val="19"/>
              </w:rPr>
              <w:t>Activity timelines and task or event creation via Flow</w:t>
            </w:r>
          </w:p>
        </w:tc>
        <w:tc>
          <w:tcPr>
            <w:tcW w:type="dxa" w:w="2736"/>
          </w:tcPr>
          <w:p>
            <w:pPr>
              <w:spacing w:after="40"/>
            </w:pPr>
            <w:r/>
            <w:r>
              <w:rPr>
                <w:sz w:val="19"/>
              </w:rPr>
              <w:t>Follow-ups are actually recorded</w:t>
            </w:r>
          </w:p>
        </w:tc>
      </w:tr>
      <w:tr>
        <w:tc>
          <w:tcPr>
            <w:tcW w:type="dxa" w:w="1584"/>
            <w:shd w:val="clear" w:fill="EEF3F8"/>
          </w:tcPr>
          <w:p>
            <w:pPr>
              <w:spacing w:after="40"/>
            </w:pPr>
            <w:r/>
            <w:r>
              <w:rPr>
                <w:b/>
                <w:sz w:val="19"/>
              </w:rPr>
              <w:t>Process control</w:t>
            </w:r>
          </w:p>
        </w:tc>
        <w:tc>
          <w:tcPr>
            <w:tcW w:type="dxa" w:w="1872"/>
            <w:shd w:val="clear" w:fill="EEF3F8"/>
          </w:tcPr>
          <w:p>
            <w:pPr>
              <w:spacing w:after="40"/>
            </w:pPr>
            <w:r/>
            <w:r>
              <w:rPr>
                <w:sz w:val="19"/>
              </w:rPr>
              <w:t>Prompt instructions</w:t>
            </w:r>
          </w:p>
        </w:tc>
        <w:tc>
          <w:tcPr>
            <w:tcW w:type="dxa" w:w="3456"/>
            <w:shd w:val="clear" w:fill="EEF3F8"/>
          </w:tcPr>
          <w:p>
            <w:pPr>
              <w:spacing w:after="40"/>
            </w:pPr>
            <w:r/>
            <w:r>
              <w:rPr>
                <w:sz w:val="19"/>
              </w:rPr>
              <w:t>Agent Script with conditions, variables, and action chaining</w:t>
            </w:r>
          </w:p>
        </w:tc>
        <w:tc>
          <w:tcPr>
            <w:tcW w:type="dxa" w:w="2736"/>
            <w:shd w:val="clear" w:fill="EEF3F8"/>
          </w:tcPr>
          <w:p>
            <w:pPr>
              <w:spacing w:after="40"/>
            </w:pPr>
            <w:r/>
            <w:r>
              <w:rPr>
                <w:sz w:val="19"/>
              </w:rPr>
              <w:t>Duplicate checks and approvals enforced, not suggested</w:t>
            </w:r>
          </w:p>
        </w:tc>
      </w:tr>
      <w:tr>
        <w:tc>
          <w:tcPr>
            <w:tcW w:type="dxa" w:w="1584"/>
          </w:tcPr>
          <w:p>
            <w:pPr>
              <w:spacing w:after="40"/>
            </w:pPr>
            <w:r/>
            <w:r>
              <w:rPr>
                <w:b/>
                <w:sz w:val="19"/>
              </w:rPr>
              <w:t>Quality assurance</w:t>
            </w:r>
          </w:p>
        </w:tc>
        <w:tc>
          <w:tcPr>
            <w:tcW w:type="dxa" w:w="1872"/>
          </w:tcPr>
          <w:p>
            <w:pPr>
              <w:spacing w:after="40"/>
            </w:pPr>
            <w:r/>
            <w:r>
              <w:rPr>
                <w:sz w:val="19"/>
              </w:rPr>
              <w:t>Manual testing</w:t>
            </w:r>
          </w:p>
        </w:tc>
        <w:tc>
          <w:tcPr>
            <w:tcW w:type="dxa" w:w="3456"/>
          </w:tcPr>
          <w:p>
            <w:pPr>
              <w:spacing w:after="40"/>
            </w:pPr>
            <w:r/>
            <w:r>
              <w:rPr>
                <w:sz w:val="19"/>
              </w:rPr>
              <w:t>Testing Center, session traces, Command Center observability</w:t>
            </w:r>
          </w:p>
        </w:tc>
        <w:tc>
          <w:tcPr>
            <w:tcW w:type="dxa" w:w="2736"/>
          </w:tcPr>
          <w:p>
            <w:pPr>
              <w:spacing w:after="40"/>
            </w:pPr>
            <w:r/>
            <w:r>
              <w:rPr>
                <w:sz w:val="19"/>
              </w:rPr>
              <w:t>Write access can be widened safely</w:t>
            </w:r>
          </w:p>
        </w:tc>
      </w:tr>
      <w:tr>
        <w:tc>
          <w:tcPr>
            <w:tcW w:type="dxa" w:w="1584"/>
            <w:shd w:val="clear" w:fill="EEF3F8"/>
          </w:tcPr>
          <w:p>
            <w:pPr>
              <w:spacing w:after="40"/>
            </w:pPr>
            <w:r/>
            <w:r>
              <w:rPr>
                <w:b/>
                <w:sz w:val="19"/>
              </w:rPr>
              <w:t>Channels</w:t>
            </w:r>
          </w:p>
        </w:tc>
        <w:tc>
          <w:tcPr>
            <w:tcW w:type="dxa" w:w="1872"/>
            <w:shd w:val="clear" w:fill="EEF3F8"/>
          </w:tcPr>
          <w:p>
            <w:pPr>
              <w:spacing w:after="40"/>
            </w:pPr>
            <w:r/>
            <w:r>
              <w:rPr>
                <w:sz w:val="19"/>
              </w:rPr>
              <w:t>Salesforce only</w:t>
            </w:r>
          </w:p>
        </w:tc>
        <w:tc>
          <w:tcPr>
            <w:tcW w:type="dxa" w:w="3456"/>
            <w:shd w:val="clear" w:fill="EEF3F8"/>
          </w:tcPr>
          <w:p>
            <w:pPr>
              <w:spacing w:after="40"/>
            </w:pPr>
            <w:r/>
            <w:r>
              <w:rPr>
                <w:sz w:val="19"/>
              </w:rPr>
              <w:t>Slack, mobile, Sales Workspace, optional voice</w:t>
            </w:r>
          </w:p>
        </w:tc>
        <w:tc>
          <w:tcPr>
            <w:tcW w:type="dxa" w:w="2736"/>
            <w:shd w:val="clear" w:fill="EEF3F8"/>
          </w:tcPr>
          <w:p>
            <w:pPr>
              <w:spacing w:after="40"/>
            </w:pPr>
            <w:r/>
            <w:r>
              <w:rPr>
                <w:sz w:val="19"/>
              </w:rPr>
              <w:t>Adoption where partners already work</w:t>
            </w:r>
          </w:p>
        </w:tc>
      </w:tr>
      <w:tr>
        <w:tc>
          <w:tcPr>
            <w:tcW w:type="dxa" w:w="1584"/>
          </w:tcPr>
          <w:p>
            <w:pPr>
              <w:spacing w:after="40"/>
            </w:pPr>
            <w:r/>
            <w:r>
              <w:rPr>
                <w:b/>
                <w:sz w:val="19"/>
              </w:rPr>
              <w:t>Scope of a request</w:t>
            </w:r>
          </w:p>
        </w:tc>
        <w:tc>
          <w:tcPr>
            <w:tcW w:type="dxa" w:w="1872"/>
          </w:tcPr>
          <w:p>
            <w:pPr>
              <w:spacing w:after="40"/>
            </w:pPr>
            <w:r/>
            <w:r>
              <w:rPr>
                <w:sz w:val="19"/>
              </w:rPr>
              <w:t>Single turn</w:t>
            </w:r>
          </w:p>
        </w:tc>
        <w:tc>
          <w:tcPr>
            <w:tcW w:type="dxa" w:w="3456"/>
          </w:tcPr>
          <w:p>
            <w:pPr>
              <w:spacing w:after="40"/>
            </w:pPr>
            <w:r/>
            <w:r>
              <w:rPr>
                <w:sz w:val="19"/>
              </w:rPr>
              <w:t>Multi-step plans, bulk operations, long-horizon goals</w:t>
            </w:r>
          </w:p>
        </w:tc>
        <w:tc>
          <w:tcPr>
            <w:tcW w:type="dxa" w:w="2736"/>
          </w:tcPr>
          <w:p>
            <w:pPr>
              <w:spacing w:after="40"/>
            </w:pPr>
            <w:r/>
            <w:r>
              <w:rPr>
                <w:sz w:val="19"/>
              </w:rPr>
              <w:t>Larger outcomes per interaction</w:t>
            </w:r>
          </w:p>
        </w:tc>
      </w:tr>
      <w:tr>
        <w:tc>
          <w:tcPr>
            <w:tcW w:type="dxa" w:w="1584"/>
            <w:shd w:val="clear" w:fill="EEF3F8"/>
          </w:tcPr>
          <w:p>
            <w:pPr>
              <w:spacing w:after="40"/>
            </w:pPr>
            <w:r/>
            <w:r>
              <w:rPr>
                <w:b/>
                <w:sz w:val="19"/>
              </w:rPr>
              <w:t>Integration</w:t>
            </w:r>
          </w:p>
        </w:tc>
        <w:tc>
          <w:tcPr>
            <w:tcW w:type="dxa" w:w="1872"/>
            <w:shd w:val="clear" w:fill="EEF3F8"/>
          </w:tcPr>
          <w:p>
            <w:pPr>
              <w:spacing w:after="40"/>
            </w:pPr>
            <w:r/>
            <w:r>
              <w:rPr>
                <w:sz w:val="19"/>
              </w:rPr>
              <w:t>Salesforce only</w:t>
            </w:r>
          </w:p>
        </w:tc>
        <w:tc>
          <w:tcPr>
            <w:tcW w:type="dxa" w:w="3456"/>
            <w:shd w:val="clear" w:fill="EEF3F8"/>
          </w:tcPr>
          <w:p>
            <w:pPr>
              <w:spacing w:after="40"/>
            </w:pPr>
            <w:r/>
            <w:r>
              <w:rPr>
                <w:sz w:val="19"/>
              </w:rPr>
              <w:t>MCP, MuleSoft, external services</w:t>
            </w:r>
          </w:p>
        </w:tc>
        <w:tc>
          <w:tcPr>
            <w:tcW w:type="dxa" w:w="2736"/>
            <w:shd w:val="clear" w:fill="EEF3F8"/>
          </w:tcPr>
          <w:p>
            <w:pPr>
              <w:spacing w:after="40"/>
            </w:pPr>
            <w:r/>
            <w:r>
              <w:rPr>
                <w:sz w:val="19"/>
              </w:rPr>
              <w:t>Enrichment and downstream systems in the loop</w:t>
            </w:r>
          </w:p>
        </w:tc>
      </w:tr>
    </w:tbl>
    <w:p>
      <w:pPr>
        <w:spacing w:after="80"/>
      </w:pPr>
    </w:p>
    <w:p>
      <w:r>
        <w:br w:type="page"/>
      </w:r>
    </w:p>
    <w:p>
      <w:pPr>
        <w:pStyle w:val="Heading1"/>
      </w:pPr>
      <w:r>
        <w:t>5. Proposed Solution</w:t>
      </w:r>
    </w:p>
    <w:p>
      <w:pPr>
        <w:spacing w:after="120"/>
      </w:pPr>
      <w:r>
        <w:rPr>
          <w:i w:val="0"/>
          <w:sz w:val="21"/>
        </w:rPr>
        <w:t>We recommend retaining a single employee-facing agent as the user experience and structuring capability behind it as purpose-built subagents. This preserves a simple front door for partners while allowing each job to be instructed, tested, and governed independently.</w:t>
      </w:r>
    </w:p>
    <w:p>
      <w:pPr>
        <w:pStyle w:val="Heading2"/>
      </w:pPr>
      <w:r>
        <w:t>5.1 Proposed subagent design</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72"/>
            <w:shd w:val="clear" w:fill="0B2B45"/>
          </w:tcPr>
          <w:p>
            <w:r/>
            <w:r>
              <w:rPr>
                <w:b/>
                <w:color w:val="FFFFFF"/>
                <w:sz w:val="19"/>
              </w:rPr>
              <w:t>Subagent</w:t>
            </w:r>
          </w:p>
        </w:tc>
        <w:tc>
          <w:tcPr>
            <w:tcW w:type="dxa" w:w="2880"/>
            <w:shd w:val="clear" w:fill="0B2B45"/>
          </w:tcPr>
          <w:p>
            <w:r/>
            <w:r>
              <w:rPr>
                <w:b/>
                <w:color w:val="FFFFFF"/>
                <w:sz w:val="19"/>
              </w:rPr>
              <w:t>Purpose</w:t>
            </w:r>
          </w:p>
        </w:tc>
        <w:tc>
          <w:tcPr>
            <w:tcW w:type="dxa" w:w="4896"/>
            <w:shd w:val="clear" w:fill="0B2B45"/>
          </w:tcPr>
          <w:p>
            <w:r/>
            <w:r>
              <w:rPr>
                <w:b/>
                <w:color w:val="FFFFFF"/>
                <w:sz w:val="19"/>
              </w:rPr>
              <w:t>Representative actions</w:t>
            </w:r>
          </w:p>
        </w:tc>
      </w:tr>
      <w:tr>
        <w:tc>
          <w:tcPr>
            <w:tcW w:type="dxa" w:w="1872"/>
          </w:tcPr>
          <w:p>
            <w:pPr>
              <w:spacing w:after="40"/>
            </w:pPr>
            <w:r/>
            <w:r>
              <w:rPr>
                <w:b/>
                <w:sz w:val="19"/>
              </w:rPr>
              <w:t>Record management</w:t>
            </w:r>
          </w:p>
        </w:tc>
        <w:tc>
          <w:tcPr>
            <w:tcW w:type="dxa" w:w="2880"/>
          </w:tcPr>
          <w:p>
            <w:pPr>
              <w:spacing w:after="40"/>
            </w:pPr>
            <w:r/>
            <w:r>
              <w:rPr>
                <w:sz w:val="19"/>
              </w:rPr>
              <w:t>Create and maintain core CRM records</w:t>
            </w:r>
          </w:p>
        </w:tc>
        <w:tc>
          <w:tcPr>
            <w:tcW w:type="dxa" w:w="4896"/>
          </w:tcPr>
          <w:p>
            <w:pPr>
              <w:spacing w:after="40"/>
            </w:pPr>
            <w:r/>
            <w:r>
              <w:rPr>
                <w:sz w:val="19"/>
              </w:rPr>
              <w:t>Identify, query, create (existing), update, extract fields and values</w:t>
            </w:r>
          </w:p>
        </w:tc>
      </w:tr>
      <w:tr>
        <w:tc>
          <w:tcPr>
            <w:tcW w:type="dxa" w:w="1872"/>
            <w:shd w:val="clear" w:fill="EEF3F8"/>
          </w:tcPr>
          <w:p>
            <w:pPr>
              <w:spacing w:after="40"/>
            </w:pPr>
            <w:r/>
            <w:r>
              <w:rPr>
                <w:b/>
                <w:sz w:val="19"/>
              </w:rPr>
              <w:t>Sales research</w:t>
            </w:r>
          </w:p>
        </w:tc>
        <w:tc>
          <w:tcPr>
            <w:tcW w:type="dxa" w:w="2880"/>
            <w:shd w:val="clear" w:fill="EEF3F8"/>
          </w:tcPr>
          <w:p>
            <w:pPr>
              <w:spacing w:after="40"/>
            </w:pPr>
            <w:r/>
            <w:r>
              <w:rPr>
                <w:sz w:val="19"/>
              </w:rPr>
              <w:t>Brief partners on an account or pursuit</w:t>
            </w:r>
          </w:p>
        </w:tc>
        <w:tc>
          <w:tcPr>
            <w:tcW w:type="dxa" w:w="4896"/>
            <w:shd w:val="clear" w:fill="EEF3F8"/>
          </w:tcPr>
          <w:p>
            <w:pPr>
              <w:spacing w:after="40"/>
            </w:pPr>
            <w:r/>
            <w:r>
              <w:rPr>
                <w:sz w:val="19"/>
              </w:rPr>
              <w:t>Record details, activity timeline, related notes and emails, account plan, governed web search, summarize</w:t>
            </w:r>
          </w:p>
        </w:tc>
      </w:tr>
      <w:tr>
        <w:tc>
          <w:tcPr>
            <w:tcW w:type="dxa" w:w="1872"/>
          </w:tcPr>
          <w:p>
            <w:pPr>
              <w:spacing w:after="40"/>
            </w:pPr>
            <w:r/>
            <w:r>
              <w:rPr>
                <w:b/>
                <w:sz w:val="19"/>
              </w:rPr>
              <w:t>Knowledge</w:t>
            </w:r>
          </w:p>
        </w:tc>
        <w:tc>
          <w:tcPr>
            <w:tcW w:type="dxa" w:w="2880"/>
          </w:tcPr>
          <w:p>
            <w:pPr>
              <w:spacing w:after="40"/>
            </w:pPr>
            <w:r/>
            <w:r>
              <w:rPr>
                <w:sz w:val="19"/>
              </w:rPr>
              <w:t>Answer questions from LEAK content</w:t>
            </w:r>
          </w:p>
        </w:tc>
        <w:tc>
          <w:tcPr>
            <w:tcW w:type="dxa" w:w="4896"/>
          </w:tcPr>
          <w:p>
            <w:pPr>
              <w:spacing w:after="40"/>
            </w:pPr>
            <w:r/>
            <w:r>
              <w:rPr>
                <w:sz w:val="19"/>
              </w:rPr>
              <w:t>Answer questions with knowledge, with citations to source material</w:t>
            </w:r>
          </w:p>
        </w:tc>
      </w:tr>
      <w:tr>
        <w:tc>
          <w:tcPr>
            <w:tcW w:type="dxa" w:w="1872"/>
            <w:shd w:val="clear" w:fill="EEF3F8"/>
          </w:tcPr>
          <w:p>
            <w:pPr>
              <w:spacing w:after="40"/>
            </w:pPr>
            <w:r/>
            <w:r>
              <w:rPr>
                <w:b/>
                <w:sz w:val="19"/>
              </w:rPr>
              <w:t>Outreach</w:t>
            </w:r>
          </w:p>
        </w:tc>
        <w:tc>
          <w:tcPr>
            <w:tcW w:type="dxa" w:w="2880"/>
            <w:shd w:val="clear" w:fill="EEF3F8"/>
          </w:tcPr>
          <w:p>
            <w:pPr>
              <w:spacing w:after="40"/>
            </w:pPr>
            <w:r/>
            <w:r>
              <w:rPr>
                <w:sz w:val="19"/>
              </w:rPr>
              <w:t>Support client communication and follow-up</w:t>
            </w:r>
          </w:p>
        </w:tc>
        <w:tc>
          <w:tcPr>
            <w:tcW w:type="dxa" w:w="4896"/>
            <w:shd w:val="clear" w:fill="EEF3F8"/>
          </w:tcPr>
          <w:p>
            <w:pPr>
              <w:spacing w:after="40"/>
            </w:pPr>
            <w:r/>
            <w:r>
              <w:rPr>
                <w:sz w:val="19"/>
              </w:rPr>
              <w:t>Draft or revise email, create task or event</w:t>
            </w:r>
          </w:p>
        </w:tc>
      </w:tr>
      <w:tr>
        <w:tc>
          <w:tcPr>
            <w:tcW w:type="dxa" w:w="1872"/>
          </w:tcPr>
          <w:p>
            <w:pPr>
              <w:spacing w:after="40"/>
            </w:pPr>
            <w:r/>
            <w:r>
              <w:rPr>
                <w:b/>
                <w:sz w:val="19"/>
              </w:rPr>
              <w:t>Pipeline insight</w:t>
            </w:r>
          </w:p>
        </w:tc>
        <w:tc>
          <w:tcPr>
            <w:tcW w:type="dxa" w:w="2880"/>
          </w:tcPr>
          <w:p>
            <w:pPr>
              <w:spacing w:after="40"/>
            </w:pPr>
            <w:r/>
            <w:r>
              <w:rPr>
                <w:sz w:val="19"/>
              </w:rPr>
              <w:t>Report on pursuit health</w:t>
            </w:r>
          </w:p>
        </w:tc>
        <w:tc>
          <w:tcPr>
            <w:tcW w:type="dxa" w:w="4896"/>
          </w:tcPr>
          <w:p>
            <w:pPr>
              <w:spacing w:after="40"/>
            </w:pPr>
            <w:r/>
            <w:r>
              <w:rPr>
                <w:sz w:val="19"/>
              </w:rPr>
              <w:t>Aggregate queries, at-risk and stale pipeline summaries</w:t>
            </w:r>
          </w:p>
        </w:tc>
      </w:tr>
    </w:tbl>
    <w:p>
      <w:pPr>
        <w:spacing w:after="80"/>
      </w:pPr>
    </w:p>
    <w:p>
      <w:pPr>
        <w:pStyle w:val="Heading2"/>
      </w:pPr>
      <w:r>
        <w:t>5.2 Design principles</w:t>
      </w:r>
    </w:p>
    <w:p>
      <w:pPr>
        <w:pStyle w:val="ListBullet"/>
        <w:spacing w:after="60"/>
      </w:pPr>
      <w:r>
        <w:rPr>
          <w:b/>
        </w:rPr>
        <w:t xml:space="preserve">Least privilege. </w:t>
      </w:r>
      <w:r>
        <w:t>The agent operates with the same sharing, field-level security, and validation rules as the human user it serves.</w:t>
      </w:r>
    </w:p>
    <w:p>
      <w:pPr>
        <w:pStyle w:val="ListBullet"/>
        <w:spacing w:after="60"/>
      </w:pPr>
      <w:r>
        <w:rPr>
          <w:b/>
        </w:rPr>
        <w:t xml:space="preserve">Read freely, write with confirmation. </w:t>
      </w:r>
      <w:r>
        <w:t>Explicit user approval is required for new opportunities, stage changes to closed, amounts above a threshold, and ownership changes.</w:t>
      </w:r>
    </w:p>
    <w:p>
      <w:pPr>
        <w:pStyle w:val="ListBullet"/>
        <w:spacing w:after="60"/>
      </w:pPr>
      <w:r>
        <w:rPr>
          <w:b/>
        </w:rPr>
        <w:t xml:space="preserve">Duplicate prevention before creation. </w:t>
      </w:r>
      <w:r>
        <w:t>Identification and matching run deterministically in Agent Script before any record is created.</w:t>
      </w:r>
    </w:p>
    <w:p>
      <w:pPr>
        <w:pStyle w:val="ListBullet"/>
        <w:spacing w:after="60"/>
      </w:pPr>
      <w:r>
        <w:rPr>
          <w:b/>
        </w:rPr>
        <w:t xml:space="preserve">Ground every generative response. </w:t>
      </w:r>
      <w:r>
        <w:t>Summaries, briefings, and email drafts must draw on CRM records and approved library content; no unsupported commercial claims.</w:t>
      </w:r>
    </w:p>
    <w:p>
      <w:pPr>
        <w:pStyle w:val="ListBullet"/>
        <w:spacing w:after="60"/>
      </w:pPr>
      <w:r>
        <w:rPr>
          <w:b/>
        </w:rPr>
        <w:t xml:space="preserve">One job per subagent. </w:t>
      </w:r>
      <w:r>
        <w:t>Research, record maintenance, and knowledge are separated so each can be instructed and tested precisely.</w:t>
      </w:r>
    </w:p>
    <w:p>
      <w:pPr>
        <w:pStyle w:val="ListBullet"/>
        <w:spacing w:after="60"/>
      </w:pPr>
      <w:r>
        <w:rPr>
          <w:b/>
        </w:rPr>
        <w:t xml:space="preserve">Treat retrieved text as data. </w:t>
      </w:r>
      <w:r>
        <w:t>Notes, emails, and web content are inputs to reasoning, never instructions to the agent.</w:t>
      </w:r>
    </w:p>
    <w:p>
      <w:pPr>
        <w:pStyle w:val="Heading2"/>
      </w:pPr>
      <w:r>
        <w:t>5.3 Guardrails proposed for write actions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872"/>
            <w:shd w:val="clear" w:fill="0B2B45"/>
          </w:tcPr>
          <w:p>
            <w:r/>
            <w:r>
              <w:rPr>
                <w:b/>
                <w:color w:val="FFFFFF"/>
                <w:sz w:val="19"/>
              </w:rPr>
              <w:t>Control</w:t>
            </w:r>
          </w:p>
        </w:tc>
        <w:tc>
          <w:tcPr>
            <w:tcW w:type="dxa" w:w="3456"/>
            <w:shd w:val="clear" w:fill="0B2B45"/>
          </w:tcPr>
          <w:p>
            <w:r/>
            <w:r>
              <w:rPr>
                <w:b/>
                <w:color w:val="FFFFFF"/>
                <w:sz w:val="19"/>
              </w:rPr>
              <w:t>Applies to</w:t>
            </w:r>
          </w:p>
        </w:tc>
        <w:tc>
          <w:tcPr>
            <w:tcW w:type="dxa" w:w="4320"/>
            <w:shd w:val="clear" w:fill="0B2B45"/>
          </w:tcPr>
          <w:p>
            <w:r/>
            <w:r>
              <w:rPr>
                <w:b/>
                <w:color w:val="FFFFFF"/>
                <w:sz w:val="19"/>
              </w:rPr>
              <w:t>Mechanism</w:t>
            </w:r>
          </w:p>
        </w:tc>
      </w:tr>
      <w:tr>
        <w:tc>
          <w:tcPr>
            <w:tcW w:type="dxa" w:w="1872"/>
          </w:tcPr>
          <w:p>
            <w:pPr>
              <w:spacing w:after="40"/>
            </w:pPr>
            <w:r/>
            <w:r>
              <w:rPr>
                <w:b/>
                <w:sz w:val="19"/>
              </w:rPr>
              <w:t>User confirmation</w:t>
            </w:r>
          </w:p>
        </w:tc>
        <w:tc>
          <w:tcPr>
            <w:tcW w:type="dxa" w:w="3456"/>
          </w:tcPr>
          <w:p>
            <w:pPr>
              <w:spacing w:after="40"/>
            </w:pPr>
            <w:r/>
            <w:r>
              <w:rPr>
                <w:sz w:val="19"/>
              </w:rPr>
              <w:t>Create opportunity, stage change, amount change, owner change</w:t>
            </w:r>
          </w:p>
        </w:tc>
        <w:tc>
          <w:tcPr>
            <w:tcW w:type="dxa" w:w="4320"/>
          </w:tcPr>
          <w:p>
            <w:pPr>
              <w:spacing w:after="40"/>
            </w:pPr>
            <w:r/>
            <w:r>
              <w:rPr>
                <w:sz w:val="19"/>
              </w:rPr>
              <w:t>Standard action confirmation plus Agent Script conditions</w:t>
            </w:r>
          </w:p>
        </w:tc>
      </w:tr>
      <w:tr>
        <w:tc>
          <w:tcPr>
            <w:tcW w:type="dxa" w:w="1872"/>
            <w:shd w:val="clear" w:fill="EEF3F8"/>
          </w:tcPr>
          <w:p>
            <w:pPr>
              <w:spacing w:after="40"/>
            </w:pPr>
            <w:r/>
            <w:r>
              <w:rPr>
                <w:b/>
                <w:sz w:val="19"/>
              </w:rPr>
              <w:t>Duplicate check</w:t>
            </w:r>
          </w:p>
        </w:tc>
        <w:tc>
          <w:tcPr>
            <w:tcW w:type="dxa" w:w="3456"/>
            <w:shd w:val="clear" w:fill="EEF3F8"/>
          </w:tcPr>
          <w:p>
            <w:pPr>
              <w:spacing w:after="40"/>
            </w:pPr>
            <w:r/>
            <w:r>
              <w:rPr>
                <w:sz w:val="19"/>
              </w:rPr>
              <w:t>All create actions</w:t>
            </w:r>
          </w:p>
        </w:tc>
        <w:tc>
          <w:tcPr>
            <w:tcW w:type="dxa" w:w="4320"/>
            <w:shd w:val="clear" w:fill="EEF3F8"/>
          </w:tcPr>
          <w:p>
            <w:pPr>
              <w:spacing w:after="40"/>
            </w:pPr>
            <w:r/>
            <w:r>
              <w:rPr>
                <w:sz w:val="19"/>
              </w:rPr>
              <w:t>Identify and query chain executed before data manipulation</w:t>
            </w:r>
          </w:p>
        </w:tc>
      </w:tr>
      <w:tr>
        <w:tc>
          <w:tcPr>
            <w:tcW w:type="dxa" w:w="1872"/>
          </w:tcPr>
          <w:p>
            <w:pPr>
              <w:spacing w:after="40"/>
            </w:pPr>
            <w:r/>
            <w:r>
              <w:rPr>
                <w:b/>
                <w:sz w:val="19"/>
              </w:rPr>
              <w:t>Required fields</w:t>
            </w:r>
          </w:p>
        </w:tc>
        <w:tc>
          <w:tcPr>
            <w:tcW w:type="dxa" w:w="3456"/>
          </w:tcPr>
          <w:p>
            <w:pPr>
              <w:spacing w:after="40"/>
            </w:pPr>
            <w:r/>
            <w:r>
              <w:rPr>
                <w:sz w:val="19"/>
              </w:rPr>
              <w:t>Opportunity and account creation</w:t>
            </w:r>
          </w:p>
        </w:tc>
        <w:tc>
          <w:tcPr>
            <w:tcW w:type="dxa" w:w="4320"/>
          </w:tcPr>
          <w:p>
            <w:pPr>
              <w:spacing w:after="40"/>
            </w:pPr>
            <w:r/>
            <w:r>
              <w:rPr>
                <w:sz w:val="19"/>
              </w:rPr>
              <w:t>Flow-enforced validation rather than prompt guidance</w:t>
            </w:r>
          </w:p>
        </w:tc>
      </w:tr>
      <w:tr>
        <w:tc>
          <w:tcPr>
            <w:tcW w:type="dxa" w:w="1872"/>
            <w:shd w:val="clear" w:fill="EEF3F8"/>
          </w:tcPr>
          <w:p>
            <w:pPr>
              <w:spacing w:after="40"/>
            </w:pPr>
            <w:r/>
            <w:r>
              <w:rPr>
                <w:b/>
                <w:sz w:val="19"/>
              </w:rPr>
              <w:t>Prohibited operations</w:t>
            </w:r>
          </w:p>
        </w:tc>
        <w:tc>
          <w:tcPr>
            <w:tcW w:type="dxa" w:w="3456"/>
            <w:shd w:val="clear" w:fill="EEF3F8"/>
          </w:tcPr>
          <w:p>
            <w:pPr>
              <w:spacing w:after="40"/>
            </w:pPr>
            <w:r/>
            <w:r>
              <w:rPr>
                <w:sz w:val="19"/>
              </w:rPr>
              <w:t>Delete and merge</w:t>
            </w:r>
          </w:p>
        </w:tc>
        <w:tc>
          <w:tcPr>
            <w:tcW w:type="dxa" w:w="4320"/>
            <w:shd w:val="clear" w:fill="EEF3F8"/>
          </w:tcPr>
          <w:p>
            <w:pPr>
              <w:spacing w:after="40"/>
            </w:pPr>
            <w:r/>
            <w:r>
              <w:rPr>
                <w:sz w:val="19"/>
              </w:rPr>
              <w:t>Excluded from the agent; retained in data stewardship process</w:t>
            </w:r>
          </w:p>
        </w:tc>
      </w:tr>
      <w:tr>
        <w:tc>
          <w:tcPr>
            <w:tcW w:type="dxa" w:w="1872"/>
          </w:tcPr>
          <w:p>
            <w:pPr>
              <w:spacing w:after="40"/>
            </w:pPr>
            <w:r/>
            <w:r>
              <w:rPr>
                <w:b/>
                <w:sz w:val="19"/>
              </w:rPr>
              <w:t>Auditability</w:t>
            </w:r>
          </w:p>
        </w:tc>
        <w:tc>
          <w:tcPr>
            <w:tcW w:type="dxa" w:w="3456"/>
          </w:tcPr>
          <w:p>
            <w:pPr>
              <w:spacing w:after="40"/>
            </w:pPr>
            <w:r/>
            <w:r>
              <w:rPr>
                <w:sz w:val="19"/>
              </w:rPr>
              <w:t>All actions</w:t>
            </w:r>
          </w:p>
        </w:tc>
        <w:tc>
          <w:tcPr>
            <w:tcW w:type="dxa" w:w="4320"/>
          </w:tcPr>
          <w:p>
            <w:pPr>
              <w:spacing w:after="40"/>
            </w:pPr>
            <w:r/>
            <w:r>
              <w:rPr>
                <w:sz w:val="19"/>
              </w:rPr>
              <w:t>Einstein Trust Layer and Command Center session traces</w:t>
            </w:r>
          </w:p>
        </w:tc>
      </w:tr>
    </w:tbl>
    <w:p>
      <w:pPr>
        <w:spacing w:after="80"/>
      </w:pPr>
    </w:p>
    <w:p>
      <w:r>
        <w:br w:type="page"/>
      </w:r>
    </w:p>
    <w:p>
      <w:pPr>
        <w:pStyle w:val="Heading1"/>
      </w:pPr>
      <w:r>
        <w:t>6. Advantages to LEAK</w:t>
      </w:r>
    </w:p>
    <w:p>
      <w:pPr>
        <w:pStyle w:val="Heading2"/>
      </w:pPr>
      <w:r>
        <w:t>6.1 For partners and business development</w:t>
      </w:r>
    </w:p>
    <w:tbl>
      <w:tblPr>
        <w:tblStyle w:val="TableGrid"/>
        <w:tblW w:type="auto" w:w="0"/>
        <w:jc w:val="center"/>
        <w:tblLayout w:type="fixed"/>
        <w:tblLook w:firstColumn="1" w:firstRow="1" w:lastColumn="0" w:lastRow="0" w:noHBand="0" w:noVBand="1" w:val="04A0"/>
      </w:tblPr>
      <w:tblGrid>
        <w:gridCol w:w="4824"/>
        <w:gridCol w:w="4824"/>
      </w:tblGrid>
      <w:tr>
        <w:tc>
          <w:tcPr>
            <w:tcW w:type="dxa" w:w="3168"/>
            <w:shd w:val="clear" w:fill="0B2B45"/>
          </w:tcPr>
          <w:p>
            <w:r/>
            <w:r>
              <w:rPr>
                <w:b/>
                <w:color w:val="FFFFFF"/>
                <w:sz w:val="19"/>
              </w:rPr>
              <w:t>Advantage</w:t>
            </w:r>
          </w:p>
        </w:tc>
        <w:tc>
          <w:tcPr>
            <w:tcW w:type="dxa" w:w="6336"/>
            <w:shd w:val="clear" w:fill="0B2B45"/>
          </w:tcPr>
          <w:p>
            <w:r/>
            <w:r>
              <w:rPr>
                <w:b/>
                <w:color w:val="FFFFFF"/>
                <w:sz w:val="19"/>
              </w:rPr>
              <w:t>Why it matters</w:t>
            </w:r>
          </w:p>
        </w:tc>
      </w:tr>
      <w:tr>
        <w:tc>
          <w:tcPr>
            <w:tcW w:type="dxa" w:w="3168"/>
          </w:tcPr>
          <w:p>
            <w:pPr>
              <w:spacing w:after="40"/>
            </w:pPr>
            <w:r/>
            <w:r>
              <w:rPr>
                <w:b/>
                <w:sz w:val="19"/>
              </w:rPr>
              <w:t>Faster meeting preparation</w:t>
            </w:r>
          </w:p>
        </w:tc>
        <w:tc>
          <w:tcPr>
            <w:tcW w:type="dxa" w:w="6336"/>
          </w:tcPr>
          <w:p>
            <w:pPr>
              <w:spacing w:after="40"/>
            </w:pPr>
            <w:r/>
            <w:r>
              <w:rPr>
                <w:sz w:val="19"/>
              </w:rPr>
              <w:t>A single request produces an account briefing drawn from records, activity, and notes</w:t>
            </w:r>
          </w:p>
        </w:tc>
      </w:tr>
      <w:tr>
        <w:tc>
          <w:tcPr>
            <w:tcW w:type="dxa" w:w="3168"/>
            <w:shd w:val="clear" w:fill="EEF3F8"/>
          </w:tcPr>
          <w:p>
            <w:pPr>
              <w:spacing w:after="40"/>
            </w:pPr>
            <w:r/>
            <w:r>
              <w:rPr>
                <w:b/>
                <w:sz w:val="19"/>
              </w:rPr>
              <w:t>Reduced CRM administration</w:t>
            </w:r>
          </w:p>
        </w:tc>
        <w:tc>
          <w:tcPr>
            <w:tcW w:type="dxa" w:w="6336"/>
            <w:shd w:val="clear" w:fill="EEF3F8"/>
          </w:tcPr>
          <w:p>
            <w:pPr>
              <w:spacing w:after="40"/>
            </w:pPr>
            <w:r/>
            <w:r>
              <w:rPr>
                <w:sz w:val="19"/>
              </w:rPr>
              <w:t>Stage, next step, and follow-up tasks maintained conversationally</w:t>
            </w:r>
          </w:p>
        </w:tc>
      </w:tr>
      <w:tr>
        <w:tc>
          <w:tcPr>
            <w:tcW w:type="dxa" w:w="3168"/>
          </w:tcPr>
          <w:p>
            <w:pPr>
              <w:spacing w:after="40"/>
            </w:pPr>
            <w:r/>
            <w:r>
              <w:rPr>
                <w:b/>
                <w:sz w:val="19"/>
              </w:rPr>
              <w:t>Better client outreach</w:t>
            </w:r>
          </w:p>
        </w:tc>
        <w:tc>
          <w:tcPr>
            <w:tcW w:type="dxa" w:w="6336"/>
          </w:tcPr>
          <w:p>
            <w:pPr>
              <w:spacing w:after="40"/>
            </w:pPr>
            <w:r/>
            <w:r>
              <w:rPr>
                <w:sz w:val="19"/>
              </w:rPr>
              <w:t>Email drafts grounded in the specific opportunity and stakeholder context</w:t>
            </w:r>
          </w:p>
        </w:tc>
      </w:tr>
      <w:tr>
        <w:tc>
          <w:tcPr>
            <w:tcW w:type="dxa" w:w="3168"/>
            <w:shd w:val="clear" w:fill="EEF3F8"/>
          </w:tcPr>
          <w:p>
            <w:pPr>
              <w:spacing w:after="40"/>
            </w:pPr>
            <w:r/>
            <w:r>
              <w:rPr>
                <w:b/>
                <w:sz w:val="19"/>
              </w:rPr>
              <w:t>Access to firm intellectual property</w:t>
            </w:r>
          </w:p>
        </w:tc>
        <w:tc>
          <w:tcPr>
            <w:tcW w:type="dxa" w:w="6336"/>
            <w:shd w:val="clear" w:fill="EEF3F8"/>
          </w:tcPr>
          <w:p>
            <w:pPr>
              <w:spacing w:after="40"/>
            </w:pPr>
            <w:r/>
            <w:r>
              <w:rPr>
                <w:sz w:val="19"/>
              </w:rPr>
              <w:t>Playbooks, scope language, and templates answerable in the flow of work</w:t>
            </w:r>
          </w:p>
        </w:tc>
      </w:tr>
      <w:tr>
        <w:tc>
          <w:tcPr>
            <w:tcW w:type="dxa" w:w="3168"/>
          </w:tcPr>
          <w:p>
            <w:pPr>
              <w:spacing w:after="40"/>
            </w:pPr>
            <w:r/>
            <w:r>
              <w:rPr>
                <w:b/>
                <w:sz w:val="19"/>
              </w:rPr>
              <w:t>Available where work happens</w:t>
            </w:r>
          </w:p>
        </w:tc>
        <w:tc>
          <w:tcPr>
            <w:tcW w:type="dxa" w:w="6336"/>
          </w:tcPr>
          <w:p>
            <w:pPr>
              <w:spacing w:after="40"/>
            </w:pPr>
            <w:r/>
            <w:r>
              <w:rPr>
                <w:sz w:val="19"/>
              </w:rPr>
              <w:t>Salesforce, Slack, and mobile rather than a single interface</w:t>
            </w:r>
          </w:p>
        </w:tc>
      </w:tr>
    </w:tbl>
    <w:p>
      <w:pPr>
        <w:spacing w:after="80"/>
      </w:pPr>
    </w:p>
    <w:p>
      <w:pPr>
        <w:pStyle w:val="Heading2"/>
      </w:pPr>
      <w:r>
        <w:t>6.2 For CRM and data quality</w:t>
      </w:r>
    </w:p>
    <w:tbl>
      <w:tblPr>
        <w:tblStyle w:val="TableGrid"/>
        <w:tblW w:type="auto" w:w="0"/>
        <w:jc w:val="center"/>
        <w:tblLayout w:type="fixed"/>
        <w:tblLook w:firstColumn="1" w:firstRow="1" w:lastColumn="0" w:lastRow="0" w:noHBand="0" w:noVBand="1" w:val="04A0"/>
      </w:tblPr>
      <w:tblGrid>
        <w:gridCol w:w="4824"/>
        <w:gridCol w:w="4824"/>
      </w:tblGrid>
      <w:tr>
        <w:tc>
          <w:tcPr>
            <w:tcW w:type="dxa" w:w="3168"/>
            <w:shd w:val="clear" w:fill="0B2B45"/>
          </w:tcPr>
          <w:p>
            <w:r/>
            <w:r>
              <w:rPr>
                <w:b/>
                <w:color w:val="FFFFFF"/>
                <w:sz w:val="19"/>
              </w:rPr>
              <w:t>Advantage</w:t>
            </w:r>
          </w:p>
        </w:tc>
        <w:tc>
          <w:tcPr>
            <w:tcW w:type="dxa" w:w="6336"/>
            <w:shd w:val="clear" w:fill="0B2B45"/>
          </w:tcPr>
          <w:p>
            <w:r/>
            <w:r>
              <w:rPr>
                <w:b/>
                <w:color w:val="FFFFFF"/>
                <w:sz w:val="19"/>
              </w:rPr>
              <w:t>Why it matters</w:t>
            </w:r>
          </w:p>
        </w:tc>
      </w:tr>
      <w:tr>
        <w:tc>
          <w:tcPr>
            <w:tcW w:type="dxa" w:w="3168"/>
          </w:tcPr>
          <w:p>
            <w:pPr>
              <w:spacing w:after="40"/>
            </w:pPr>
            <w:r/>
            <w:r>
              <w:rPr>
                <w:b/>
                <w:sz w:val="19"/>
              </w:rPr>
              <w:t>Fewer duplicate records</w:t>
            </w:r>
          </w:p>
        </w:tc>
        <w:tc>
          <w:tcPr>
            <w:tcW w:type="dxa" w:w="6336"/>
          </w:tcPr>
          <w:p>
            <w:pPr>
              <w:spacing w:after="40"/>
            </w:pPr>
            <w:r/>
            <w:r>
              <w:rPr>
                <w:sz w:val="19"/>
              </w:rPr>
              <w:t>Identification and matching enforced deterministically before creation</w:t>
            </w:r>
          </w:p>
        </w:tc>
      </w:tr>
      <w:tr>
        <w:tc>
          <w:tcPr>
            <w:tcW w:type="dxa" w:w="3168"/>
            <w:shd w:val="clear" w:fill="EEF3F8"/>
          </w:tcPr>
          <w:p>
            <w:pPr>
              <w:spacing w:after="40"/>
            </w:pPr>
            <w:r/>
            <w:r>
              <w:rPr>
                <w:b/>
                <w:sz w:val="19"/>
              </w:rPr>
              <w:t>More complete opportunities</w:t>
            </w:r>
          </w:p>
        </w:tc>
        <w:tc>
          <w:tcPr>
            <w:tcW w:type="dxa" w:w="6336"/>
            <w:shd w:val="clear" w:fill="EEF3F8"/>
          </w:tcPr>
          <w:p>
            <w:pPr>
              <w:spacing w:after="40"/>
            </w:pPr>
            <w:r/>
            <w:r>
              <w:rPr>
                <w:sz w:val="19"/>
              </w:rPr>
              <w:t>Update and task actions close the gap left by create-only scope</w:t>
            </w:r>
          </w:p>
        </w:tc>
      </w:tr>
      <w:tr>
        <w:tc>
          <w:tcPr>
            <w:tcW w:type="dxa" w:w="3168"/>
          </w:tcPr>
          <w:p>
            <w:pPr>
              <w:spacing w:after="40"/>
            </w:pPr>
            <w:r/>
            <w:r>
              <w:rPr>
                <w:b/>
                <w:sz w:val="19"/>
              </w:rPr>
              <w:t>Traceable agent activity</w:t>
            </w:r>
          </w:p>
        </w:tc>
        <w:tc>
          <w:tcPr>
            <w:tcW w:type="dxa" w:w="6336"/>
          </w:tcPr>
          <w:p>
            <w:pPr>
              <w:spacing w:after="40"/>
            </w:pPr>
            <w:r/>
            <w:r>
              <w:rPr>
                <w:sz w:val="19"/>
              </w:rPr>
              <w:t>Every action visible through observability and the trust layer</w:t>
            </w:r>
          </w:p>
        </w:tc>
      </w:tr>
      <w:tr>
        <w:tc>
          <w:tcPr>
            <w:tcW w:type="dxa" w:w="3168"/>
            <w:shd w:val="clear" w:fill="EEF3F8"/>
          </w:tcPr>
          <w:p>
            <w:pPr>
              <w:spacing w:after="40"/>
            </w:pPr>
            <w:r/>
            <w:r>
              <w:rPr>
                <w:b/>
                <w:sz w:val="19"/>
              </w:rPr>
              <w:t>Controlled commercial writes</w:t>
            </w:r>
          </w:p>
        </w:tc>
        <w:tc>
          <w:tcPr>
            <w:tcW w:type="dxa" w:w="6336"/>
            <w:shd w:val="clear" w:fill="EEF3F8"/>
          </w:tcPr>
          <w:p>
            <w:pPr>
              <w:spacing w:after="40"/>
            </w:pPr>
            <w:r/>
            <w:r>
              <w:rPr>
                <w:sz w:val="19"/>
              </w:rPr>
              <w:t>Confirmation required on the fields that affect reported pipeline</w:t>
            </w:r>
          </w:p>
        </w:tc>
      </w:tr>
    </w:tbl>
    <w:p>
      <w:pPr>
        <w:spacing w:after="80"/>
      </w:pPr>
    </w:p>
    <w:p>
      <w:pPr>
        <w:pStyle w:val="Heading2"/>
      </w:pPr>
      <w:r>
        <w:t>6.3 For IT and platform ownership</w:t>
      </w:r>
    </w:p>
    <w:tbl>
      <w:tblPr>
        <w:tblStyle w:val="TableGrid"/>
        <w:tblW w:type="auto" w:w="0"/>
        <w:jc w:val="center"/>
        <w:tblLayout w:type="fixed"/>
        <w:tblLook w:firstColumn="1" w:firstRow="1" w:lastColumn="0" w:lastRow="0" w:noHBand="0" w:noVBand="1" w:val="04A0"/>
      </w:tblPr>
      <w:tblGrid>
        <w:gridCol w:w="4824"/>
        <w:gridCol w:w="4824"/>
      </w:tblGrid>
      <w:tr>
        <w:tc>
          <w:tcPr>
            <w:tcW w:type="dxa" w:w="3168"/>
            <w:shd w:val="clear" w:fill="0B2B45"/>
          </w:tcPr>
          <w:p>
            <w:r/>
            <w:r>
              <w:rPr>
                <w:b/>
                <w:color w:val="FFFFFF"/>
                <w:sz w:val="19"/>
              </w:rPr>
              <w:t>Advantage</w:t>
            </w:r>
          </w:p>
        </w:tc>
        <w:tc>
          <w:tcPr>
            <w:tcW w:type="dxa" w:w="6336"/>
            <w:shd w:val="clear" w:fill="0B2B45"/>
          </w:tcPr>
          <w:p>
            <w:r/>
            <w:r>
              <w:rPr>
                <w:b/>
                <w:color w:val="FFFFFF"/>
                <w:sz w:val="19"/>
              </w:rPr>
              <w:t>Why it matters</w:t>
            </w:r>
          </w:p>
        </w:tc>
      </w:tr>
      <w:tr>
        <w:tc>
          <w:tcPr>
            <w:tcW w:type="dxa" w:w="3168"/>
          </w:tcPr>
          <w:p>
            <w:pPr>
              <w:spacing w:after="40"/>
            </w:pPr>
            <w:r/>
            <w:r>
              <w:rPr>
                <w:b/>
                <w:sz w:val="19"/>
              </w:rPr>
              <w:t>Predictable behaviour</w:t>
            </w:r>
          </w:p>
        </w:tc>
        <w:tc>
          <w:tcPr>
            <w:tcW w:type="dxa" w:w="6336"/>
          </w:tcPr>
          <w:p>
            <w:pPr>
              <w:spacing w:after="40"/>
            </w:pPr>
            <w:r/>
            <w:r>
              <w:rPr>
                <w:sz w:val="19"/>
              </w:rPr>
              <w:t>Agent Script provides deterministic logic without abandoning generative flexibility</w:t>
            </w:r>
          </w:p>
        </w:tc>
      </w:tr>
      <w:tr>
        <w:tc>
          <w:tcPr>
            <w:tcW w:type="dxa" w:w="3168"/>
            <w:shd w:val="clear" w:fill="EEF3F8"/>
          </w:tcPr>
          <w:p>
            <w:pPr>
              <w:spacing w:after="40"/>
            </w:pPr>
            <w:r/>
            <w:r>
              <w:rPr>
                <w:b/>
                <w:sz w:val="19"/>
              </w:rPr>
              <w:t>Less custom build</w:t>
            </w:r>
          </w:p>
        </w:tc>
        <w:tc>
          <w:tcPr>
            <w:tcW w:type="dxa" w:w="6336"/>
            <w:shd w:val="clear" w:fill="EEF3F8"/>
          </w:tcPr>
          <w:p>
            <w:pPr>
              <w:spacing w:after="40"/>
            </w:pPr>
            <w:r/>
            <w:r>
              <w:rPr>
                <w:sz w:val="19"/>
              </w:rPr>
              <w:t>Prebuilt research and account management capability replaces bespoke development</w:t>
            </w:r>
          </w:p>
        </w:tc>
      </w:tr>
      <w:tr>
        <w:tc>
          <w:tcPr>
            <w:tcW w:type="dxa" w:w="3168"/>
          </w:tcPr>
          <w:p>
            <w:pPr>
              <w:spacing w:after="40"/>
            </w:pPr>
            <w:r/>
            <w:r>
              <w:rPr>
                <w:b/>
                <w:sz w:val="19"/>
              </w:rPr>
              <w:t>Safe change management</w:t>
            </w:r>
          </w:p>
        </w:tc>
        <w:tc>
          <w:tcPr>
            <w:tcW w:type="dxa" w:w="6336"/>
          </w:tcPr>
          <w:p>
            <w:pPr>
              <w:spacing w:after="40"/>
            </w:pPr>
            <w:r/>
            <w:r>
              <w:rPr>
                <w:sz w:val="19"/>
              </w:rPr>
              <w:t>Testing Center supports regression testing before production release</w:t>
            </w:r>
          </w:p>
        </w:tc>
      </w:tr>
      <w:tr>
        <w:tc>
          <w:tcPr>
            <w:tcW w:type="dxa" w:w="3168"/>
            <w:shd w:val="clear" w:fill="EEF3F8"/>
          </w:tcPr>
          <w:p>
            <w:pPr>
              <w:spacing w:after="40"/>
            </w:pPr>
            <w:r/>
            <w:r>
              <w:rPr>
                <w:b/>
                <w:sz w:val="19"/>
              </w:rPr>
              <w:t>Operational visibility</w:t>
            </w:r>
          </w:p>
        </w:tc>
        <w:tc>
          <w:tcPr>
            <w:tcW w:type="dxa" w:w="6336"/>
            <w:shd w:val="clear" w:fill="EEF3F8"/>
          </w:tcPr>
          <w:p>
            <w:pPr>
              <w:spacing w:after="40"/>
            </w:pPr>
            <w:r/>
            <w:r>
              <w:rPr>
                <w:sz w:val="19"/>
              </w:rPr>
              <w:t>Command Center exposes adoption, failure patterns, latency, and cost</w:t>
            </w:r>
          </w:p>
        </w:tc>
      </w:tr>
      <w:tr>
        <w:tc>
          <w:tcPr>
            <w:tcW w:type="dxa" w:w="3168"/>
          </w:tcPr>
          <w:p>
            <w:pPr>
              <w:spacing w:after="40"/>
            </w:pPr>
            <w:r/>
            <w:r>
              <w:rPr>
                <w:b/>
                <w:sz w:val="19"/>
              </w:rPr>
              <w:t>Controlled extensibility</w:t>
            </w:r>
          </w:p>
        </w:tc>
        <w:tc>
          <w:tcPr>
            <w:tcW w:type="dxa" w:w="6336"/>
          </w:tcPr>
          <w:p>
            <w:pPr>
              <w:spacing w:after="40"/>
            </w:pPr>
            <w:r/>
            <w:r>
              <w:rPr>
                <w:sz w:val="19"/>
              </w:rPr>
              <w:t>MCP and MuleSoft used only where native Salesforce actions are insufficient</w:t>
            </w:r>
          </w:p>
        </w:tc>
      </w:tr>
    </w:tbl>
    <w:p>
      <w:pPr>
        <w:spacing w:after="80"/>
      </w:pPr>
    </w:p>
    <w:p>
      <w:pPr>
        <w:pStyle w:val="Heading2"/>
      </w:pPr>
      <w:r>
        <w:t>6.4 For LEAK leadership</w:t>
      </w:r>
    </w:p>
    <w:tbl>
      <w:tblPr>
        <w:tblStyle w:val="TableGrid"/>
        <w:tblW w:type="auto" w:w="0"/>
        <w:jc w:val="center"/>
        <w:tblLayout w:type="fixed"/>
        <w:tblLook w:firstColumn="1" w:firstRow="1" w:lastColumn="0" w:lastRow="0" w:noHBand="0" w:noVBand="1" w:val="04A0"/>
      </w:tblPr>
      <w:tblGrid>
        <w:gridCol w:w="4824"/>
        <w:gridCol w:w="4824"/>
      </w:tblGrid>
      <w:tr>
        <w:tc>
          <w:tcPr>
            <w:tcW w:type="dxa" w:w="3168"/>
            <w:shd w:val="clear" w:fill="0B2B45"/>
          </w:tcPr>
          <w:p>
            <w:r/>
            <w:r>
              <w:rPr>
                <w:b/>
                <w:color w:val="FFFFFF"/>
                <w:sz w:val="19"/>
              </w:rPr>
              <w:t>Advantage</w:t>
            </w:r>
          </w:p>
        </w:tc>
        <w:tc>
          <w:tcPr>
            <w:tcW w:type="dxa" w:w="6336"/>
            <w:shd w:val="clear" w:fill="0B2B45"/>
          </w:tcPr>
          <w:p>
            <w:r/>
            <w:r>
              <w:rPr>
                <w:b/>
                <w:color w:val="FFFFFF"/>
                <w:sz w:val="19"/>
              </w:rPr>
              <w:t>Why it matters</w:t>
            </w:r>
          </w:p>
        </w:tc>
      </w:tr>
      <w:tr>
        <w:tc>
          <w:tcPr>
            <w:tcW w:type="dxa" w:w="3168"/>
          </w:tcPr>
          <w:p>
            <w:pPr>
              <w:spacing w:after="40"/>
            </w:pPr>
            <w:r/>
            <w:r>
              <w:rPr>
                <w:b/>
                <w:sz w:val="19"/>
              </w:rPr>
              <w:t>Higher return on existing investment</w:t>
            </w:r>
          </w:p>
        </w:tc>
        <w:tc>
          <w:tcPr>
            <w:tcW w:type="dxa" w:w="6336"/>
          </w:tcPr>
          <w:p>
            <w:pPr>
              <w:spacing w:after="40"/>
            </w:pPr>
            <w:r/>
            <w:r>
              <w:rPr>
                <w:sz w:val="19"/>
              </w:rPr>
              <w:t>The same platform licence covers research, hygiene, and outreach, not creation alone</w:t>
            </w:r>
          </w:p>
        </w:tc>
      </w:tr>
      <w:tr>
        <w:tc>
          <w:tcPr>
            <w:tcW w:type="dxa" w:w="3168"/>
            <w:shd w:val="clear" w:fill="EEF3F8"/>
          </w:tcPr>
          <w:p>
            <w:pPr>
              <w:spacing w:after="40"/>
            </w:pPr>
            <w:r/>
            <w:r>
              <w:rPr>
                <w:b/>
                <w:sz w:val="19"/>
              </w:rPr>
              <w:t>Measurable outcomes</w:t>
            </w:r>
          </w:p>
        </w:tc>
        <w:tc>
          <w:tcPr>
            <w:tcW w:type="dxa" w:w="6336"/>
            <w:shd w:val="clear" w:fill="EEF3F8"/>
          </w:tcPr>
          <w:p>
            <w:pPr>
              <w:spacing w:after="40"/>
            </w:pPr>
            <w:r/>
            <w:r>
              <w:rPr>
                <w:sz w:val="19"/>
              </w:rPr>
              <w:t>Preparation time, duplicate rate, pipeline completeness, and action success are all reportable</w:t>
            </w:r>
          </w:p>
        </w:tc>
      </w:tr>
      <w:tr>
        <w:tc>
          <w:tcPr>
            <w:tcW w:type="dxa" w:w="3168"/>
          </w:tcPr>
          <w:p>
            <w:pPr>
              <w:spacing w:after="40"/>
            </w:pPr>
            <w:r/>
            <w:r>
              <w:rPr>
                <w:b/>
                <w:sz w:val="19"/>
              </w:rPr>
              <w:t>Scalable growth path</w:t>
            </w:r>
          </w:p>
        </w:tc>
        <w:tc>
          <w:tcPr>
            <w:tcW w:type="dxa" w:w="6336"/>
          </w:tcPr>
          <w:p>
            <w:pPr>
              <w:spacing w:after="40"/>
            </w:pPr>
            <w:r/>
            <w:r>
              <w:rPr>
                <w:sz w:val="19"/>
              </w:rPr>
              <w:t>Prospecting and longer-running goals can be added without re-platforming</w:t>
            </w:r>
          </w:p>
        </w:tc>
      </w:tr>
      <w:tr>
        <w:tc>
          <w:tcPr>
            <w:tcW w:type="dxa" w:w="3168"/>
            <w:shd w:val="clear" w:fill="EEF3F8"/>
          </w:tcPr>
          <w:p>
            <w:pPr>
              <w:spacing w:after="40"/>
            </w:pPr>
            <w:r/>
            <w:r>
              <w:rPr>
                <w:b/>
                <w:sz w:val="19"/>
              </w:rPr>
              <w:t>Risk-managed autonomy</w:t>
            </w:r>
          </w:p>
        </w:tc>
        <w:tc>
          <w:tcPr>
            <w:tcW w:type="dxa" w:w="6336"/>
            <w:shd w:val="clear" w:fill="EEF3F8"/>
          </w:tcPr>
          <w:p>
            <w:pPr>
              <w:spacing w:after="40"/>
            </w:pPr>
            <w:r/>
            <w:r>
              <w:rPr>
                <w:sz w:val="19"/>
              </w:rPr>
              <w:t>Agent independence expands only where tests and confirmations demonstrate reliability</w:t>
            </w:r>
          </w:p>
        </w:tc>
      </w:tr>
    </w:tbl>
    <w:p>
      <w:pPr>
        <w:spacing w:after="80"/>
      </w:pPr>
    </w:p>
    <w:p>
      <w:pPr>
        <w:pStyle w:val="Heading1"/>
      </w:pPr>
      <w:r>
        <w:t>7. Proposed Delivery Roadmap</w:t>
      </w:r>
    </w:p>
    <w:p>
      <w:pPr>
        <w:spacing w:after="120"/>
      </w:pPr>
      <w:r>
        <w:rPr>
          <w:i w:val="0"/>
          <w:sz w:val="21"/>
        </w:rPr>
        <w:t>Phasing is sequenced by risk. Control and quality capability is introduced alongside the first functional expansion so that later phases can be delivered with confidence.</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16"/>
            <w:shd w:val="clear" w:fill="0B2B45"/>
          </w:tcPr>
          <w:p>
            <w:r/>
            <w:r>
              <w:rPr>
                <w:b/>
                <w:color w:val="FFFFFF"/>
                <w:sz w:val="19"/>
              </w:rPr>
              <w:t>Phase</w:t>
            </w:r>
          </w:p>
        </w:tc>
        <w:tc>
          <w:tcPr>
            <w:tcW w:type="dxa" w:w="3888"/>
            <w:shd w:val="clear" w:fill="0B2B45"/>
          </w:tcPr>
          <w:p>
            <w:r/>
            <w:r>
              <w:rPr>
                <w:b/>
                <w:color w:val="FFFFFF"/>
                <w:sz w:val="19"/>
              </w:rPr>
              <w:t>Scope</w:t>
            </w:r>
          </w:p>
        </w:tc>
        <w:tc>
          <w:tcPr>
            <w:tcW w:type="dxa" w:w="3600"/>
            <w:shd w:val="clear" w:fill="0B2B45"/>
          </w:tcPr>
          <w:p>
            <w:r/>
            <w:r>
              <w:rPr>
                <w:b/>
                <w:color w:val="FFFFFF"/>
                <w:sz w:val="19"/>
              </w:rPr>
              <w:t>Exit criteria</w:t>
            </w:r>
          </w:p>
        </w:tc>
      </w:tr>
      <w:tr>
        <w:tc>
          <w:tcPr>
            <w:tcW w:type="dxa" w:w="2016"/>
          </w:tcPr>
          <w:p>
            <w:pPr>
              <w:spacing w:after="40"/>
            </w:pPr>
            <w:r/>
            <w:r>
              <w:rPr>
                <w:b/>
                <w:sz w:val="19"/>
              </w:rPr>
              <w:t>Phase 0 — Discovery</w:t>
            </w:r>
          </w:p>
        </w:tc>
        <w:tc>
          <w:tcPr>
            <w:tcW w:type="dxa" w:w="3888"/>
          </w:tcPr>
          <w:p>
            <w:pPr>
              <w:spacing w:after="40"/>
            </w:pPr>
            <w:r/>
            <w:r>
              <w:rPr>
                <w:sz w:val="19"/>
              </w:rPr>
              <w:t>Inventory existing topics, actions, flows, and permissions; confirm licensing; establish baseline metrics</w:t>
            </w:r>
          </w:p>
        </w:tc>
        <w:tc>
          <w:tcPr>
            <w:tcW w:type="dxa" w:w="3600"/>
          </w:tcPr>
          <w:p>
            <w:pPr>
              <w:spacing w:after="40"/>
            </w:pPr>
            <w:r/>
            <w:r>
              <w:rPr>
                <w:sz w:val="19"/>
              </w:rPr>
              <w:t>Agreed scope, confirmed feature availability, measured starting position</w:t>
            </w:r>
          </w:p>
        </w:tc>
      </w:tr>
      <w:tr>
        <w:tc>
          <w:tcPr>
            <w:tcW w:type="dxa" w:w="2016"/>
            <w:shd w:val="clear" w:fill="EEF3F8"/>
          </w:tcPr>
          <w:p>
            <w:pPr>
              <w:spacing w:after="40"/>
            </w:pPr>
            <w:r/>
            <w:r>
              <w:rPr>
                <w:b/>
                <w:sz w:val="19"/>
              </w:rPr>
              <w:t>Phase 1 — Trusted CRM coworker</w:t>
            </w:r>
          </w:p>
        </w:tc>
        <w:tc>
          <w:tcPr>
            <w:tcW w:type="dxa" w:w="3888"/>
            <w:shd w:val="clear" w:fill="EEF3F8"/>
          </w:tcPr>
          <w:p>
            <w:pPr>
              <w:spacing w:after="40"/>
            </w:pPr>
            <w:r/>
            <w:r>
              <w:rPr>
                <w:sz w:val="19"/>
              </w:rPr>
              <w:t>Record details, summarize, confirmed update, activity timeline, task creation, Agent Script duplicate prevention, Testing Center, observability, record-page actions</w:t>
            </w:r>
          </w:p>
        </w:tc>
        <w:tc>
          <w:tcPr>
            <w:tcW w:type="dxa" w:w="3600"/>
            <w:shd w:val="clear" w:fill="EEF3F8"/>
          </w:tcPr>
          <w:p>
            <w:pPr>
              <w:spacing w:after="40"/>
            </w:pPr>
            <w:r/>
            <w:r>
              <w:rPr>
                <w:sz w:val="19"/>
              </w:rPr>
              <w:t>Partners can brief and update an opportunity in the agent; no unconfirmed closed-won changes; duplicate creation rate reduced</w:t>
            </w:r>
          </w:p>
        </w:tc>
      </w:tr>
      <w:tr>
        <w:tc>
          <w:tcPr>
            <w:tcW w:type="dxa" w:w="2016"/>
          </w:tcPr>
          <w:p>
            <w:pPr>
              <w:spacing w:after="40"/>
            </w:pPr>
            <w:r/>
            <w:r>
              <w:rPr>
                <w:b/>
                <w:sz w:val="19"/>
              </w:rPr>
              <w:t>Phase 2 — Research and knowledge</w:t>
            </w:r>
          </w:p>
        </w:tc>
        <w:tc>
          <w:tcPr>
            <w:tcW w:type="dxa" w:w="3888"/>
          </w:tcPr>
          <w:p>
            <w:pPr>
              <w:spacing w:after="40"/>
            </w:pPr>
            <w:r/>
            <w:r>
              <w:rPr>
                <w:sz w:val="19"/>
              </w:rPr>
              <w:t>Sales research subagent, Agentforce Data Library of playbooks and templates, grounded email drafting without automatic send, Slack channel</w:t>
            </w:r>
          </w:p>
        </w:tc>
        <w:tc>
          <w:tcPr>
            <w:tcW w:type="dxa" w:w="3600"/>
          </w:tcPr>
          <w:p>
            <w:pPr>
              <w:spacing w:after="40"/>
            </w:pPr>
            <w:r/>
            <w:r>
              <w:rPr>
                <w:sz w:val="19"/>
              </w:rPr>
              <w:t>Preparation time materially reduced; knowledge answers cited; email drafts accepted with light editing</w:t>
            </w:r>
          </w:p>
        </w:tc>
      </w:tr>
      <w:tr>
        <w:tc>
          <w:tcPr>
            <w:tcW w:type="dxa" w:w="2016"/>
            <w:shd w:val="clear" w:fill="EEF3F8"/>
          </w:tcPr>
          <w:p>
            <w:pPr>
              <w:spacing w:after="40"/>
            </w:pPr>
            <w:r/>
            <w:r>
              <w:rPr>
                <w:b/>
                <w:sz w:val="19"/>
              </w:rPr>
              <w:t>Phase 3 — Growth</w:t>
            </w:r>
          </w:p>
        </w:tc>
        <w:tc>
          <w:tcPr>
            <w:tcW w:type="dxa" w:w="3888"/>
            <w:shd w:val="clear" w:fill="EEF3F8"/>
          </w:tcPr>
          <w:p>
            <w:pPr>
              <w:spacing w:after="40"/>
            </w:pPr>
            <w:r/>
            <w:r>
              <w:rPr>
                <w:sz w:val="19"/>
              </w:rPr>
              <w:t>Prospecting signals, Sales Workspace, multi-agent handoff where a second domain exists, evaluation of long-horizon goals and Agent Optimizer</w:t>
            </w:r>
          </w:p>
        </w:tc>
        <w:tc>
          <w:tcPr>
            <w:tcW w:type="dxa" w:w="3600"/>
            <w:shd w:val="clear" w:fill="EEF3F8"/>
          </w:tcPr>
          <w:p>
            <w:pPr>
              <w:spacing w:after="40"/>
            </w:pPr>
            <w:r/>
            <w:r>
              <w:rPr>
                <w:sz w:val="19"/>
              </w:rPr>
              <w:t>Qualified pipeline supported proactively; leadership visibility of agent contribution</w:t>
            </w:r>
          </w:p>
        </w:tc>
      </w:tr>
    </w:tbl>
    <w:p>
      <w:pPr>
        <w:spacing w:after="80"/>
      </w:pPr>
    </w:p>
    <w:tbl>
      <w:tblPr>
        <w:tblStyle w:val="TableGrid"/>
        <w:tblW w:type="auto" w:w="0"/>
        <w:tblLook w:firstColumn="1" w:firstRow="1" w:lastColumn="0" w:lastRow="0" w:noHBand="0" w:noVBand="1" w:val="04A0"/>
      </w:tblPr>
      <w:tblGrid>
        <w:gridCol w:w="9648"/>
      </w:tblGrid>
      <w:tr>
        <w:tc>
          <w:tcPr>
            <w:tcW w:type="dxa" w:w="9648"/>
            <w:shd w:val="clear" w:fill="EEF3F8"/>
          </w:tcPr>
          <w:p>
            <w:r/>
            <w:r>
              <w:rPr>
                <w:b/>
                <w:color w:val="0B2B45"/>
                <w:sz w:val="21"/>
              </w:rPr>
              <w:t>Sequencing recommendation</w:t>
            </w:r>
          </w:p>
          <w:p>
            <w:r>
              <w:rPr>
                <w:sz w:val="20"/>
              </w:rPr>
              <w:t>Approve Phase 1 now and run Data Library scoping in parallel. Defer prospecting, voice, and multi-agent orchestration until Phase 1 quality metrics are green.</w:t>
            </w:r>
          </w:p>
        </w:tc>
      </w:tr>
    </w:tbl>
    <w:p>
      <w:pPr>
        <w:spacing w:after="80"/>
      </w:pPr>
    </w:p>
    <w:p>
      <w:pPr>
        <w:pStyle w:val="Heading1"/>
      </w:pPr>
      <w:r>
        <w:t>8. Success Measures</w:t>
      </w:r>
    </w:p>
    <w:tbl>
      <w:tblPr>
        <w:tblStyle w:val="TableGrid"/>
        <w:tblW w:type="auto" w:w="0"/>
        <w:jc w:val="center"/>
        <w:tblLayout w:type="fixed"/>
        <w:tblLook w:firstColumn="1" w:firstRow="1" w:lastColumn="0" w:lastRow="0" w:noHBand="0" w:noVBand="1" w:val="04A0"/>
      </w:tblPr>
      <w:tblGrid>
        <w:gridCol w:w="4824"/>
        <w:gridCol w:w="4824"/>
      </w:tblGrid>
      <w:tr>
        <w:tc>
          <w:tcPr>
            <w:tcW w:type="dxa" w:w="4032"/>
            <w:shd w:val="clear" w:fill="0B2B45"/>
          </w:tcPr>
          <w:p>
            <w:r/>
            <w:r>
              <w:rPr>
                <w:b/>
                <w:color w:val="FFFFFF"/>
                <w:sz w:val="19"/>
              </w:rPr>
              <w:t>Measure</w:t>
            </w:r>
          </w:p>
        </w:tc>
        <w:tc>
          <w:tcPr>
            <w:tcW w:type="dxa" w:w="5472"/>
            <w:shd w:val="clear" w:fill="0B2B45"/>
          </w:tcPr>
          <w:p>
            <w:r/>
            <w:r>
              <w:rPr>
                <w:b/>
                <w:color w:val="FFFFFF"/>
                <w:sz w:val="19"/>
              </w:rPr>
              <w:t>Purpose</w:t>
            </w:r>
          </w:p>
        </w:tc>
      </w:tr>
      <w:tr>
        <w:tc>
          <w:tcPr>
            <w:tcW w:type="dxa" w:w="4032"/>
          </w:tcPr>
          <w:p>
            <w:pPr>
              <w:spacing w:after="40"/>
            </w:pPr>
            <w:r/>
            <w:r>
              <w:rPr>
                <w:b/>
                <w:sz w:val="19"/>
              </w:rPr>
              <w:t>Weekly active agent users by role</w:t>
            </w:r>
          </w:p>
        </w:tc>
        <w:tc>
          <w:tcPr>
            <w:tcW w:type="dxa" w:w="5472"/>
          </w:tcPr>
          <w:p>
            <w:pPr>
              <w:spacing w:after="40"/>
            </w:pPr>
            <w:r/>
            <w:r>
              <w:rPr>
                <w:sz w:val="19"/>
              </w:rPr>
              <w:t>Adoption across partners and coordinators</w:t>
            </w:r>
          </w:p>
        </w:tc>
      </w:tr>
      <w:tr>
        <w:tc>
          <w:tcPr>
            <w:tcW w:type="dxa" w:w="4032"/>
            <w:shd w:val="clear" w:fill="EEF3F8"/>
          </w:tcPr>
          <w:p>
            <w:pPr>
              <w:spacing w:after="40"/>
            </w:pPr>
            <w:r/>
            <w:r>
              <w:rPr>
                <w:b/>
                <w:sz w:val="19"/>
              </w:rPr>
              <w:t>Time from new pursuit to complete opportunity record</w:t>
            </w:r>
          </w:p>
        </w:tc>
        <w:tc>
          <w:tcPr>
            <w:tcW w:type="dxa" w:w="5472"/>
            <w:shd w:val="clear" w:fill="EEF3F8"/>
          </w:tcPr>
          <w:p>
            <w:pPr>
              <w:spacing w:after="40"/>
            </w:pPr>
            <w:r/>
            <w:r>
              <w:rPr>
                <w:sz w:val="19"/>
              </w:rPr>
              <w:t>Process efficiency</w:t>
            </w:r>
          </w:p>
        </w:tc>
      </w:tr>
      <w:tr>
        <w:tc>
          <w:tcPr>
            <w:tcW w:type="dxa" w:w="4032"/>
          </w:tcPr>
          <w:p>
            <w:pPr>
              <w:spacing w:after="40"/>
            </w:pPr>
            <w:r/>
            <w:r>
              <w:rPr>
                <w:b/>
                <w:sz w:val="19"/>
              </w:rPr>
              <w:t>Duplicate account, contact, and opportunity rate</w:t>
            </w:r>
          </w:p>
        </w:tc>
        <w:tc>
          <w:tcPr>
            <w:tcW w:type="dxa" w:w="5472"/>
          </w:tcPr>
          <w:p>
            <w:pPr>
              <w:spacing w:after="40"/>
            </w:pPr>
            <w:r/>
            <w:r>
              <w:rPr>
                <w:sz w:val="19"/>
              </w:rPr>
              <w:t>Data quality</w:t>
            </w:r>
          </w:p>
        </w:tc>
      </w:tr>
      <w:tr>
        <w:tc>
          <w:tcPr>
            <w:tcW w:type="dxa" w:w="4032"/>
            <w:shd w:val="clear" w:fill="EEF3F8"/>
          </w:tcPr>
          <w:p>
            <w:pPr>
              <w:spacing w:after="40"/>
            </w:pPr>
            <w:r/>
            <w:r>
              <w:rPr>
                <w:b/>
                <w:sz w:val="19"/>
              </w:rPr>
              <w:t>Proportion of opportunities with a next step and future task</w:t>
            </w:r>
          </w:p>
        </w:tc>
        <w:tc>
          <w:tcPr>
            <w:tcW w:type="dxa" w:w="5472"/>
            <w:shd w:val="clear" w:fill="EEF3F8"/>
          </w:tcPr>
          <w:p>
            <w:pPr>
              <w:spacing w:after="40"/>
            </w:pPr>
            <w:r/>
            <w:r>
              <w:rPr>
                <w:sz w:val="19"/>
              </w:rPr>
              <w:t>Pipeline hygiene</w:t>
            </w:r>
          </w:p>
        </w:tc>
      </w:tr>
      <w:tr>
        <w:tc>
          <w:tcPr>
            <w:tcW w:type="dxa" w:w="4032"/>
          </w:tcPr>
          <w:p>
            <w:pPr>
              <w:spacing w:after="40"/>
            </w:pPr>
            <w:r/>
            <w:r>
              <w:rPr>
                <w:b/>
                <w:sz w:val="19"/>
              </w:rPr>
              <w:t>Knowledge citation rate and negative feedback rate</w:t>
            </w:r>
          </w:p>
        </w:tc>
        <w:tc>
          <w:tcPr>
            <w:tcW w:type="dxa" w:w="5472"/>
          </w:tcPr>
          <w:p>
            <w:pPr>
              <w:spacing w:after="40"/>
            </w:pPr>
            <w:r/>
            <w:r>
              <w:rPr>
                <w:sz w:val="19"/>
              </w:rPr>
              <w:t>Grounding quality</w:t>
            </w:r>
          </w:p>
        </w:tc>
      </w:tr>
      <w:tr>
        <w:tc>
          <w:tcPr>
            <w:tcW w:type="dxa" w:w="4032"/>
            <w:shd w:val="clear" w:fill="EEF3F8"/>
          </w:tcPr>
          <w:p>
            <w:pPr>
              <w:spacing w:after="40"/>
            </w:pPr>
            <w:r/>
            <w:r>
              <w:rPr>
                <w:b/>
                <w:sz w:val="19"/>
              </w:rPr>
              <w:t>Action success rate and escalation rate</w:t>
            </w:r>
          </w:p>
        </w:tc>
        <w:tc>
          <w:tcPr>
            <w:tcW w:type="dxa" w:w="5472"/>
            <w:shd w:val="clear" w:fill="EEF3F8"/>
          </w:tcPr>
          <w:p>
            <w:pPr>
              <w:spacing w:after="40"/>
            </w:pPr>
            <w:r/>
            <w:r>
              <w:rPr>
                <w:sz w:val="19"/>
              </w:rPr>
              <w:t>Reliability</w:t>
            </w:r>
          </w:p>
        </w:tc>
      </w:tr>
      <w:tr>
        <w:tc>
          <w:tcPr>
            <w:tcW w:type="dxa" w:w="4032"/>
          </w:tcPr>
          <w:p>
            <w:pPr>
              <w:spacing w:after="40"/>
            </w:pPr>
            <w:r/>
            <w:r>
              <w:rPr>
                <w:b/>
                <w:sz w:val="19"/>
              </w:rPr>
              <w:t>Human edit effort on drafted email</w:t>
            </w:r>
          </w:p>
        </w:tc>
        <w:tc>
          <w:tcPr>
            <w:tcW w:type="dxa" w:w="5472"/>
          </w:tcPr>
          <w:p>
            <w:pPr>
              <w:spacing w:after="40"/>
            </w:pPr>
            <w:r/>
            <w:r>
              <w:rPr>
                <w:sz w:val="19"/>
              </w:rPr>
              <w:t>Generative output quality</w:t>
            </w:r>
          </w:p>
        </w:tc>
      </w:tr>
    </w:tbl>
    <w:p>
      <w:pPr>
        <w:spacing w:after="80"/>
      </w:pPr>
    </w:p>
    <w:p>
      <w:pPr>
        <w:pStyle w:val="Heading1"/>
      </w:pPr>
      <w:r>
        <w:t>9. Prerequisites, Risks, and Mitigations</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016"/>
            <w:shd w:val="clear" w:fill="0B2B45"/>
          </w:tcPr>
          <w:p>
            <w:r/>
            <w:r>
              <w:rPr>
                <w:b/>
                <w:color w:val="FFFFFF"/>
                <w:sz w:val="19"/>
              </w:rPr>
              <w:t>Item</w:t>
            </w:r>
          </w:p>
        </w:tc>
        <w:tc>
          <w:tcPr>
            <w:tcW w:type="dxa" w:w="3744"/>
            <w:shd w:val="clear" w:fill="0B2B45"/>
          </w:tcPr>
          <w:p>
            <w:r/>
            <w:r>
              <w:rPr>
                <w:b/>
                <w:color w:val="FFFFFF"/>
                <w:sz w:val="19"/>
              </w:rPr>
              <w:t>Risk if unaddressed</w:t>
            </w:r>
          </w:p>
        </w:tc>
        <w:tc>
          <w:tcPr>
            <w:tcW w:type="dxa" w:w="3744"/>
            <w:shd w:val="clear" w:fill="0B2B45"/>
          </w:tcPr>
          <w:p>
            <w:r/>
            <w:r>
              <w:rPr>
                <w:b/>
                <w:color w:val="FFFFFF"/>
                <w:sz w:val="19"/>
              </w:rPr>
              <w:t>Mitigation</w:t>
            </w:r>
          </w:p>
        </w:tc>
      </w:tr>
      <w:tr>
        <w:tc>
          <w:tcPr>
            <w:tcW w:type="dxa" w:w="2016"/>
          </w:tcPr>
          <w:p>
            <w:pPr>
              <w:spacing w:after="40"/>
            </w:pPr>
            <w:r/>
            <w:r>
              <w:rPr>
                <w:b/>
                <w:sz w:val="19"/>
              </w:rPr>
              <w:t>CRM data quality</w:t>
            </w:r>
          </w:p>
        </w:tc>
        <w:tc>
          <w:tcPr>
            <w:tcW w:type="dxa" w:w="3744"/>
          </w:tcPr>
          <w:p>
            <w:pPr>
              <w:spacing w:after="40"/>
            </w:pPr>
            <w:r/>
            <w:r>
              <w:rPr>
                <w:sz w:val="19"/>
              </w:rPr>
              <w:t>The agent amplifies existing duplicates and incomplete records</w:t>
            </w:r>
          </w:p>
        </w:tc>
        <w:tc>
          <w:tcPr>
            <w:tcW w:type="dxa" w:w="3744"/>
          </w:tcPr>
          <w:p>
            <w:pPr>
              <w:spacing w:after="40"/>
            </w:pPr>
            <w:r/>
            <w:r>
              <w:rPr>
                <w:sz w:val="19"/>
              </w:rPr>
              <w:t>Data remediation and matching rules during Phase 0 and 1</w:t>
            </w:r>
          </w:p>
        </w:tc>
      </w:tr>
      <w:tr>
        <w:tc>
          <w:tcPr>
            <w:tcW w:type="dxa" w:w="2016"/>
            <w:shd w:val="clear" w:fill="EEF3F8"/>
          </w:tcPr>
          <w:p>
            <w:pPr>
              <w:spacing w:after="40"/>
            </w:pPr>
            <w:r/>
            <w:r>
              <w:rPr>
                <w:b/>
                <w:sz w:val="19"/>
              </w:rPr>
              <w:t>Licence coverage</w:t>
            </w:r>
          </w:p>
        </w:tc>
        <w:tc>
          <w:tcPr>
            <w:tcW w:type="dxa" w:w="3744"/>
            <w:shd w:val="clear" w:fill="EEF3F8"/>
          </w:tcPr>
          <w:p>
            <w:pPr>
              <w:spacing w:after="40"/>
            </w:pPr>
            <w:r/>
            <w:r>
              <w:rPr>
                <w:sz w:val="19"/>
              </w:rPr>
              <w:t>Design depends on capability that cannot be enabled</w:t>
            </w:r>
          </w:p>
        </w:tc>
        <w:tc>
          <w:tcPr>
            <w:tcW w:type="dxa" w:w="3744"/>
            <w:shd w:val="clear" w:fill="EEF3F8"/>
          </w:tcPr>
          <w:p>
            <w:pPr>
              <w:spacing w:after="40"/>
            </w:pPr>
            <w:r/>
            <w:r>
              <w:rPr>
                <w:sz w:val="19"/>
              </w:rPr>
              <w:t>Confirm entitlements in discovery before build commitment</w:t>
            </w:r>
          </w:p>
        </w:tc>
      </w:tr>
      <w:tr>
        <w:tc>
          <w:tcPr>
            <w:tcW w:type="dxa" w:w="2016"/>
          </w:tcPr>
          <w:p>
            <w:pPr>
              <w:spacing w:after="40"/>
            </w:pPr>
            <w:r/>
            <w:r>
              <w:rPr>
                <w:b/>
                <w:sz w:val="19"/>
              </w:rPr>
              <w:t>Sharing model</w:t>
            </w:r>
          </w:p>
        </w:tc>
        <w:tc>
          <w:tcPr>
            <w:tcW w:type="dxa" w:w="3744"/>
          </w:tcPr>
          <w:p>
            <w:pPr>
              <w:spacing w:after="40"/>
            </w:pPr>
            <w:r/>
            <w:r>
              <w:rPr>
                <w:sz w:val="19"/>
              </w:rPr>
              <w:t>Sensitive engagement data over-exposed through querying</w:t>
            </w:r>
          </w:p>
        </w:tc>
        <w:tc>
          <w:tcPr>
            <w:tcW w:type="dxa" w:w="3744"/>
          </w:tcPr>
          <w:p>
            <w:pPr>
              <w:spacing w:after="40"/>
            </w:pPr>
            <w:r/>
            <w:r>
              <w:rPr>
                <w:sz w:val="19"/>
              </w:rPr>
              <w:t>Least-privilege agent user and review of sharing rules</w:t>
            </w:r>
          </w:p>
        </w:tc>
      </w:tr>
      <w:tr>
        <w:tc>
          <w:tcPr>
            <w:tcW w:type="dxa" w:w="2016"/>
            <w:shd w:val="clear" w:fill="EEF3F8"/>
          </w:tcPr>
          <w:p>
            <w:pPr>
              <w:spacing w:after="40"/>
            </w:pPr>
            <w:r/>
            <w:r>
              <w:rPr>
                <w:b/>
                <w:sz w:val="19"/>
              </w:rPr>
              <w:t>Client confidentiality</w:t>
            </w:r>
          </w:p>
        </w:tc>
        <w:tc>
          <w:tcPr>
            <w:tcW w:type="dxa" w:w="3744"/>
            <w:shd w:val="clear" w:fill="EEF3F8"/>
          </w:tcPr>
          <w:p>
            <w:pPr>
              <w:spacing w:after="40"/>
            </w:pPr>
            <w:r/>
            <w:r>
              <w:rPr>
                <w:sz w:val="19"/>
              </w:rPr>
              <w:t>Restricted content indexed into a knowledge library</w:t>
            </w:r>
          </w:p>
        </w:tc>
        <w:tc>
          <w:tcPr>
            <w:tcW w:type="dxa" w:w="3744"/>
            <w:shd w:val="clear" w:fill="EEF3F8"/>
          </w:tcPr>
          <w:p>
            <w:pPr>
              <w:spacing w:after="40"/>
            </w:pPr>
            <w:r/>
            <w:r>
              <w:rPr>
                <w:sz w:val="19"/>
              </w:rPr>
              <w:t>Content classification and retention rules before library load</w:t>
            </w:r>
          </w:p>
        </w:tc>
      </w:tr>
      <w:tr>
        <w:tc>
          <w:tcPr>
            <w:tcW w:type="dxa" w:w="2016"/>
          </w:tcPr>
          <w:p>
            <w:pPr>
              <w:spacing w:after="40"/>
            </w:pPr>
            <w:r/>
            <w:r>
              <w:rPr>
                <w:b/>
                <w:sz w:val="19"/>
              </w:rPr>
              <w:t>Prompt injection through retrieved text</w:t>
            </w:r>
          </w:p>
        </w:tc>
        <w:tc>
          <w:tcPr>
            <w:tcW w:type="dxa" w:w="3744"/>
          </w:tcPr>
          <w:p>
            <w:pPr>
              <w:spacing w:after="40"/>
            </w:pPr>
            <w:r/>
            <w:r>
              <w:rPr>
                <w:sz w:val="19"/>
              </w:rPr>
              <w:t>Untrusted notes or web content influence agent behaviour</w:t>
            </w:r>
          </w:p>
        </w:tc>
        <w:tc>
          <w:tcPr>
            <w:tcW w:type="dxa" w:w="3744"/>
          </w:tcPr>
          <w:p>
            <w:pPr>
              <w:spacing w:after="40"/>
            </w:pPr>
            <w:r/>
            <w:r>
              <w:rPr>
                <w:sz w:val="19"/>
              </w:rPr>
              <w:t>Research subagent treats retrieved content strictly as data</w:t>
            </w:r>
          </w:p>
        </w:tc>
      </w:tr>
      <w:tr>
        <w:tc>
          <w:tcPr>
            <w:tcW w:type="dxa" w:w="2016"/>
            <w:shd w:val="clear" w:fill="EEF3F8"/>
          </w:tcPr>
          <w:p>
            <w:pPr>
              <w:spacing w:after="40"/>
            </w:pPr>
            <w:r/>
            <w:r>
              <w:rPr>
                <w:b/>
                <w:sz w:val="19"/>
              </w:rPr>
              <w:t>Change control</w:t>
            </w:r>
          </w:p>
        </w:tc>
        <w:tc>
          <w:tcPr>
            <w:tcW w:type="dxa" w:w="3744"/>
            <w:shd w:val="clear" w:fill="EEF3F8"/>
          </w:tcPr>
          <w:p>
            <w:pPr>
              <w:spacing w:after="40"/>
            </w:pPr>
            <w:r/>
            <w:r>
              <w:rPr>
                <w:sz w:val="19"/>
              </w:rPr>
              <w:t>Instruction drift degrades production behaviour</w:t>
            </w:r>
          </w:p>
        </w:tc>
        <w:tc>
          <w:tcPr>
            <w:tcW w:type="dxa" w:w="3744"/>
            <w:shd w:val="clear" w:fill="EEF3F8"/>
          </w:tcPr>
          <w:p>
            <w:pPr>
              <w:spacing w:after="40"/>
            </w:pPr>
            <w:r/>
            <w:r>
              <w:rPr>
                <w:sz w:val="19"/>
              </w:rPr>
              <w:t>Sandbox versioning and regression tests before release</w:t>
            </w:r>
          </w:p>
        </w:tc>
      </w:tr>
    </w:tbl>
    <w:p>
      <w:pPr>
        <w:spacing w:after="80"/>
      </w:pPr>
    </w:p>
    <w:p>
      <w:pPr>
        <w:pStyle w:val="Heading1"/>
      </w:pPr>
      <w:r>
        <w:t>10. Recommendation and Next Steps</w:t>
      </w:r>
    </w:p>
    <w:p>
      <w:pPr>
        <w:spacing w:after="120"/>
      </w:pPr>
      <w:r>
        <w:rPr>
          <w:i w:val="0"/>
          <w:sz w:val="21"/>
        </w:rPr>
        <w:t>LEAK's mid-2025 implementation proved that Agentforce can reliably create and retrieve CRM records. The current platform makes it realistic to operate a governed sales coworker that also researches accounts, maintains pipeline, drafts client communication, and answers from firm knowledge, while humans retain approval over commercial writes.</w:t>
      </w:r>
    </w:p>
    <w:p>
      <w:pPr>
        <w:spacing w:after="120"/>
      </w:pPr>
      <w:r>
        <w:rPr>
          <w:i w:val="0"/>
          <w:sz w:val="21"/>
        </w:rPr>
        <w:t>We recommend the following immediate steps:</w:t>
      </w:r>
    </w:p>
    <w:p>
      <w:pPr>
        <w:pStyle w:val="ListNumber"/>
        <w:spacing w:after="60"/>
      </w:pPr>
      <w:r>
        <w:rPr>
          <w:b/>
        </w:rPr>
        <w:t xml:space="preserve">Approve Phase 1. </w:t>
      </w:r>
      <w:r>
        <w:t>Complete the record lifecycle on Account, Contact, and Opportunity with Agent Script control and automated testing.</w:t>
      </w:r>
    </w:p>
    <w:p>
      <w:pPr>
        <w:pStyle w:val="ListNumber"/>
        <w:spacing w:after="60"/>
      </w:pPr>
      <w:r>
        <w:rPr>
          <w:b/>
        </w:rPr>
        <w:t xml:space="preserve">Commission discovery. </w:t>
      </w:r>
      <w:r>
        <w:t>Confirm licensing, review existing topics and actions, and establish baseline metrics.</w:t>
      </w:r>
    </w:p>
    <w:p>
      <w:pPr>
        <w:pStyle w:val="ListNumber"/>
        <w:spacing w:after="60"/>
      </w:pPr>
      <w:r>
        <w:rPr>
          <w:b/>
        </w:rPr>
        <w:t xml:space="preserve">Begin content scoping. </w:t>
      </w:r>
      <w:r>
        <w:t>Identify the playbooks, templates, and methodology documents suitable for a governed knowledge library.</w:t>
      </w:r>
    </w:p>
    <w:p>
      <w:pPr>
        <w:pStyle w:val="ListNumber"/>
        <w:spacing w:after="60"/>
      </w:pPr>
      <w:r>
        <w:rPr>
          <w:b/>
        </w:rPr>
        <w:t xml:space="preserve">Defer expansion. </w:t>
      </w:r>
      <w:r>
        <w:t>Hold prospecting, voice, and multi-agent orchestration until Phase 1 quality measures are demonstrated.</w:t>
      </w:r>
    </w:p>
    <w:tbl>
      <w:tblPr>
        <w:tblStyle w:val="TableGrid"/>
        <w:tblW w:type="auto" w:w="0"/>
        <w:tblLook w:firstColumn="1" w:firstRow="1" w:lastColumn="0" w:lastRow="0" w:noHBand="0" w:noVBand="1" w:val="04A0"/>
      </w:tblPr>
      <w:tblGrid>
        <w:gridCol w:w="9648"/>
      </w:tblGrid>
      <w:tr>
        <w:tc>
          <w:tcPr>
            <w:tcW w:type="dxa" w:w="9648"/>
            <w:shd w:val="clear" w:fill="EEF3F8"/>
          </w:tcPr>
          <w:p>
            <w:r/>
            <w:r>
              <w:rPr>
                <w:b/>
                <w:color w:val="0B2B45"/>
                <w:sz w:val="21"/>
              </w:rPr>
              <w:t>Decision requested</w:t>
            </w:r>
          </w:p>
          <w:p>
            <w:r>
              <w:rPr>
                <w:sz w:val="20"/>
              </w:rPr>
              <w:t>Approval to proceed with Phase 0 discovery and Phase 1 delivery, with Data Library scoping running in parallel in preparation for Phase 2.</w:t>
            </w:r>
          </w:p>
        </w:tc>
      </w:tr>
    </w:tbl>
    <w:p>
      <w:pPr>
        <w:spacing w:after="80"/>
      </w:pPr>
    </w:p>
    <w:p>
      <w:pPr>
        <w:spacing w:after="120"/>
      </w:pPr>
      <w:r>
        <w:rPr>
          <w:i/>
          <w:color w:val="5A636A"/>
          <w:sz w:val="18"/>
        </w:rPr>
        <w:t>Prepared as a Salesforce architecture recommendation. Capability availability, release status, and licensing are subject to validation in the LEAK org before implementation planning and estimation.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6A"/>
        <w:sz w:val="16"/>
      </w:rPr>
      <w:t>LEAK (LEK) | Agentforce Enhancement Proposal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B2B45"/>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2B45"/>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6DC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