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9.1778006166496"/>
        <w:gridCol w:w="1721.9321685508737"/>
        <w:gridCol w:w="2111.5313463514904"/>
        <w:gridCol w:w="1938.3761562178827"/>
        <w:gridCol w:w="2428.9825282631036"/>
        <w:tblGridChange w:id="0">
          <w:tblGrid>
            <w:gridCol w:w="1159.1778006166496"/>
            <w:gridCol w:w="1721.9321685508737"/>
            <w:gridCol w:w="2111.5313463514904"/>
            <w:gridCol w:w="1938.3761562178827"/>
            <w:gridCol w:w="2428.9825282631036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Vulnerability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PetStore Application 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A01:2021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Improper Access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allows unauthorized users to interact with data or features beyond their privilege level.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Users can view cart or order pages without logging in by directly entering the URL.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Enforce role-based access control both on the server and client sides. Use a "deny-by-default" approach and validate permissions on each request.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A02:2021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Weak Cryptographic Practices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Sensitive information is not protected during transmission or storage.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Passwords might be sent in plaintext and no mention of secure password handling.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Implement HTTPS on all pages and hash passwords with strong algorithms like bcrypt and salting.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A03:2021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Injection 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Unsanitized user inputs are used in backend logic, enabling injection of malicious code.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The search input may allow SQL or script injection if input isn’t properly filtered.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 prepared statements or parameterized queries. Apply strict input validation and output encoding.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A04:2021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Unsafe Design Practices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Lack of built-in security checks in application logic.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The cart allows users to enter negative or unrealistic quantities.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Use secure design principles such as input validation at every layer and misuse-case modeling during development.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A05:2021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Misconfigured Security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Poorly configured system settings lead to security exposures.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Missing headers like HSTS or CSP; detailed server errors are shown to users.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Activate security headers, suppress detailed error outputs, and review server configurations regularly.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A06:2021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Outdated Software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Use of old or unpatched third-party software introduces vulnerabilities.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Application may rely on deprecated JavaScript libraries.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Maintain an inventory of dependencies and regularly scan with tools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audit</w:t>
            </w:r>
            <w:r w:rsidDel="00000000" w:rsidR="00000000" w:rsidRPr="00000000">
              <w:rPr>
                <w:rtl w:val="0"/>
              </w:rPr>
              <w:t xml:space="preserve">. Keep all components updated.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A07:2021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 and Session Flaws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Weaknesses in login mechanisms and session controls.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Login page lacks CAPTCHA; session remains active after logout; inadequate password policies.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Enforce robust password requirements, include CAPTCHA, implement session timeouts, and secure session tokens.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A08:2021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Lack of Data Integrity Assurance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Absence of integrity checks for software updates or third-party code.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 Subresource Integrity (SRI) for external scripts; deployment pipeline lacks verification.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Use SRI for third-party content, implement secure CI/CD practices, and ensure all components are verified.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A09:2021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Inadequate Logging and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does not log key events or detect malicious behavior.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Failed login attempts and unusual transactions go unmonitored.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Enable centralized logging, monitor suspicious activities, and configure real-time alerts for anomalies.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A10:2021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Server-Side Request Forgery (SSRF)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The server processes attacker-controlled requests to internal services.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If URLs are accepted (e.g., for profile pictures), attackers could access internal systems.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Filter URLs, enforce domain whitelisting, and prevent internal network access through proper validation.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