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6F5C"/>
          <w:sz w:val="40"/>
          <w:szCs w:val="40"/>
        </w:rPr>
        <w:t xml:space="preserve">Expense Claim Validation Policy</w:t>
      </w:r>
    </w:p>
    <w:p>
      <w:pPr>
        <w:pBdr>
          <w:bottom w:val="single" w:color="1F6F5C" w:sz="8" w:space="6"/>
        </w:pBdr>
        <w:spacing w:after="60"/>
      </w:pPr>
      <w:r>
        <w:rPr>
          <w:color w:val="666666"/>
          <w:sz w:val="20"/>
          <w:szCs w:val="20"/>
        </w:rPr>
        <w:t xml:space="preserve">Knowledge Base  ·  Northwind Traders  ·  KB-EXP-POL-001  ·  v2026.1  ·  Sample reference content</w:t>
      </w:r>
    </w:p>
    <w:p>
      <w:pPr>
        <w:spacing w:after="120"/>
      </w:pPr>
    </w:p>
    <w:p>
      <w:pPr>
        <w:spacing w:after="160" w:line="276"/>
      </w:pPr>
      <w:r>
        <w:rPr>
          <w:i/>
          <w:iCs/>
          <w:color w:val="555555"/>
        </w:rPr>
        <w:t xml:space="preserve">This is the reference document the Data-Checker and Classifier agents ground their decisions on. It is fictional sample content for training and evaluation only.</w:t>
      </w:r>
    </w:p>
    <w:p>
      <w:pPr>
        <w:pStyle w:val="Heading1"/>
      </w:pPr>
      <w:r>
        <w:t xml:space="preserve">1. Purpose</w:t>
      </w:r>
    </w:p>
    <w:p>
      <w:pPr>
        <w:spacing w:after="120" w:line="276"/>
      </w:pPr>
      <w:r>
        <w:t xml:space="preserve">This policy defines what makes an employee expense claim valid, the limits that apply to each category, the approval required by amount, and the rules used to classify a claim as auto-approve, needs review, or reject.</w:t>
      </w:r>
    </w:p>
    <w:p>
      <w:pPr>
        <w:pStyle w:val="Heading1"/>
      </w:pPr>
      <w:r>
        <w:t xml:space="preserve">2. What makes a valid claim</w:t>
      </w:r>
    </w:p>
    <w:p>
      <w:pPr>
        <w:spacing w:after="120" w:line="276"/>
      </w:pPr>
      <w:r>
        <w:t xml:space="preserve">Every claim must include all of the following. A claim missing any required field is not valid and must be returned to the employee.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Employee name and department.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Claim date and expense date.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Expense category (for example meals, hotel, transport, mileage, entertainment).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Amount and currency.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An itemised receipt for every line.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A purchase-order (PO) number where one applies.</w:t>
      </w:r>
    </w:p>
    <w:p>
      <w:pPr>
        <w:pStyle w:val="Heading1"/>
      </w:pPr>
      <w:r>
        <w:t xml:space="preserve">3. Category limits</w:t>
      </w:r>
    </w:p>
    <w:p>
      <w:pPr>
        <w:spacing w:after="120" w:line="276"/>
      </w:pPr>
      <w:r>
        <w:t xml:space="preserve">The amounts below are the maximum reimbursable values. Anything above a limit is rejected unless a department head has approved it in writing beforehand.</w:t>
      </w:r>
    </w:p>
    <w:tbl>
      <w:tblPr>
        <w:tblW w:type="dxa" w:w="9360"/>
        <w:tblBorders>
          <w:top w:val="single" w:color="CFDAD4" w:sz="4"/>
          <w:left w:val="single" w:color="CFDAD4" w:sz="4"/>
          <w:bottom w:val="single" w:color="CFDAD4" w:sz="4"/>
          <w:right w:val="single" w:color="CFDAD4" w:sz="4"/>
          <w:insideH w:val="single" w:color="CFDAD4" w:sz="4"/>
          <w:insideV w:val="single" w:color="CFDAD4" w:sz="4"/>
        </w:tblBorders>
      </w:tblPr>
      <w:tblGrid>
        <w:gridCol w:w="3120"/>
        <w:gridCol w:w="2100"/>
        <w:gridCol w:w="4140"/>
      </w:tblGrid>
      <w:tr>
        <w:trPr>
          <w:tblHeader/>
        </w:trPr>
        <w:tc>
          <w:tcPr>
            <w:tcW w:type="dxa" w:w="312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Limit</w:t>
            </w:r>
          </w:p>
        </w:tc>
        <w:tc>
          <w:tcPr>
            <w:tcW w:type="dxa" w:w="414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Conditions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Meals (per day)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75</w:t>
            </w:r>
          </w:p>
        </w:tc>
        <w:tc>
          <w:tcPr>
            <w:tcW w:type="dxa" w:w="41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Breakfast, lunch, and dinner combined while travelling.</w:t>
            </w:r>
          </w:p>
        </w:tc>
      </w:tr>
      <w:tr>
        <w:trPr>
          <w:tblHeader w:val="false"/>
        </w:trPr>
        <w:tc>
          <w:tcPr>
            <w:tcW w:type="dxa" w:w="312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Hotel (per night)</w:t>
            </w:r>
          </w:p>
        </w:tc>
        <w:tc>
          <w:tcPr>
            <w:tcW w:type="dxa" w:w="21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220</w:t>
            </w:r>
          </w:p>
        </w:tc>
        <w:tc>
          <w:tcPr>
            <w:tcW w:type="dxa" w:w="414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room; higher rates need department-head approval.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Ground transport (per day)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60</w:t>
            </w:r>
          </w:p>
        </w:tc>
        <w:tc>
          <w:tcPr>
            <w:tcW w:type="dxa" w:w="41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Taxi, rideshare, or transit; keep receipts.</w:t>
            </w:r>
          </w:p>
        </w:tc>
      </w:tr>
      <w:tr>
        <w:trPr>
          <w:tblHeader w:val="false"/>
        </w:trPr>
        <w:tc>
          <w:tcPr>
            <w:tcW w:type="dxa" w:w="312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Mileage (own car)</w:t>
            </w:r>
          </w:p>
        </w:tc>
        <w:tc>
          <w:tcPr>
            <w:tcW w:type="dxa" w:w="21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0.62 / mile</w:t>
            </w:r>
          </w:p>
        </w:tc>
        <w:tc>
          <w:tcPr>
            <w:tcW w:type="dxa" w:w="414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start and end odometer readings.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entertainment (per event)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150</w:t>
            </w:r>
          </w:p>
        </w:tc>
        <w:tc>
          <w:tcPr>
            <w:tcW w:type="dxa" w:w="41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attendees and the business purpose.</w:t>
            </w:r>
          </w:p>
        </w:tc>
      </w:tr>
    </w:tbl>
    <w:p>
      <w:pPr>
        <w:pStyle w:val="Heading1"/>
      </w:pPr>
      <w:r>
        <w:t xml:space="preserve">4. Submission window and receipts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Claims must be submitted within 30 days of the expense being incurred.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An itemised receipt is required for every line of every claim.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Claims submitted after the 30-day window are rejected.</w:t>
      </w:r>
    </w:p>
    <w:p>
      <w:pPr>
        <w:pStyle w:val="Heading1"/>
      </w:pPr>
      <w:r>
        <w:t xml:space="preserve">5. Approval thresholds</w:t>
      </w:r>
    </w:p>
    <w:p>
      <w:pPr>
        <w:spacing w:after="120" w:line="276"/>
      </w:pPr>
      <w:r>
        <w:t xml:space="preserve">Valid claims are routed for sign-off based on the total amount.</w:t>
      </w:r>
    </w:p>
    <w:tbl>
      <w:tblPr>
        <w:tblW w:type="dxa" w:w="9360"/>
        <w:tblBorders>
          <w:top w:val="single" w:color="CFDAD4" w:sz="4"/>
          <w:left w:val="single" w:color="CFDAD4" w:sz="4"/>
          <w:bottom w:val="single" w:color="CFDAD4" w:sz="4"/>
          <w:right w:val="single" w:color="CFDAD4" w:sz="4"/>
          <w:insideH w:val="single" w:color="CFDAD4" w:sz="4"/>
          <w:insideV w:val="single" w:color="CFDAD4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Claim total</w:t>
            </w:r>
          </w:p>
        </w:tc>
        <w:tc>
          <w:tcPr>
            <w:tcW w:type="dxa" w:w="576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Approver required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Up to USD 1,000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manager</w:t>
            </w:r>
          </w:p>
        </w:tc>
      </w:tr>
      <w:tr>
        <w:trPr>
          <w:tblHeader w:val="false"/>
        </w:trPr>
        <w:tc>
          <w:tcPr>
            <w:tcW w:type="dxa" w:w="36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1,001 – 10,000</w:t>
            </w:r>
          </w:p>
        </w:tc>
        <w:tc>
          <w:tcPr>
            <w:tcW w:type="dxa" w:w="57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 director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10,001 – 50,000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Vice-president</w:t>
            </w:r>
          </w:p>
        </w:tc>
      </w:tr>
      <w:tr>
        <w:trPr>
          <w:tblHeader w:val="false"/>
        </w:trPr>
        <w:tc>
          <w:tcPr>
            <w:tcW w:type="dxa" w:w="36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Above USD 50,000</w:t>
            </w:r>
          </w:p>
        </w:tc>
        <w:tc>
          <w:tcPr>
            <w:tcW w:type="dxa" w:w="57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Chief financial officer</w:t>
            </w:r>
          </w:p>
        </w:tc>
      </w:tr>
    </w:tbl>
    <w:p>
      <w:pPr>
        <w:pStyle w:val="Heading1"/>
      </w:pPr>
      <w:r>
        <w:t xml:space="preserve">6. Non-reimbursable items</w:t>
      </w:r>
    </w:p>
    <w:p>
      <w:pPr>
        <w:spacing w:after="120" w:line="276"/>
      </w:pPr>
      <w:r>
        <w:t xml:space="preserve">The following are never reimbursable and any claim containing them is rejected: personal entertainment, traffic fines, in-room minibar purchases, and travel upgrades bought without prior approval.</w:t>
      </w:r>
    </w:p>
    <w:p>
      <w:pPr>
        <w:pStyle w:val="Heading1"/>
      </w:pPr>
      <w:r>
        <w:t xml:space="preserve">7. Duplicate detection</w:t>
      </w:r>
    </w:p>
    <w:p>
      <w:pPr>
        <w:spacing w:after="120" w:line="276"/>
      </w:pPr>
      <w:r>
        <w:t xml:space="preserve">A claim is flagged as a possible duplicate when the employee, amount, and expense date match a previously submitted claim. Suspected duplicates are held for human review before any payment.</w:t>
      </w:r>
    </w:p>
    <w:p>
      <w:pPr>
        <w:pStyle w:val="Heading1"/>
      </w:pPr>
      <w:r>
        <w:t xml:space="preserve">8. Classification rules</w:t>
      </w:r>
    </w:p>
    <w:p>
      <w:pPr>
        <w:spacing w:after="120" w:line="276"/>
      </w:pPr>
      <w:r>
        <w:t xml:space="preserve">The Classifier applies these rules, in order, to reach a single outcome.</w:t>
      </w:r>
    </w:p>
    <w:tbl>
      <w:tblPr>
        <w:tblW w:type="dxa" w:w="9360"/>
        <w:tblBorders>
          <w:top w:val="single" w:color="CFDAD4" w:sz="4"/>
          <w:left w:val="single" w:color="CFDAD4" w:sz="4"/>
          <w:bottom w:val="single" w:color="CFDAD4" w:sz="4"/>
          <w:right w:val="single" w:color="CFDAD4" w:sz="4"/>
          <w:insideH w:val="single" w:color="CFDAD4" w:sz="4"/>
          <w:insideV w:val="single" w:color="CFDAD4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Outcome</w:t>
            </w:r>
          </w:p>
        </w:tc>
        <w:tc>
          <w:tcPr>
            <w:tcW w:type="dxa" w:w="726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Conditions (all must hold for auto-approve; any one triggers the others)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Auto-approve</w:t>
            </w:r>
          </w:p>
        </w:tc>
        <w:tc>
          <w:tcPr>
            <w:tcW w:type="dxa" w:w="7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required fields present; within the category limit; receipt attached; submitted within 30 days; not a duplicate; total amount is USD 1,000 or less.</w:t>
            </w:r>
          </w:p>
        </w:tc>
      </w:tr>
      <w:tr>
        <w:trPr>
          <w:tblHeader w:val="false"/>
        </w:trPr>
        <w:tc>
          <w:tcPr>
            <w:tcW w:type="dxa" w:w="21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Needs review</w:t>
            </w:r>
          </w:p>
        </w:tc>
        <w:tc>
          <w:tcPr>
            <w:tcW w:type="dxa" w:w="72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Otherwise compliant, but the total exceeds USD 1,000, or the amount is exactly at a limit, or the claim is flagged as a possible duplicate.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7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required field is missing, or an amount is over a category limit, or the claim is outside the 30-day window, or it contains a non-reimbursable item.</w:t>
            </w:r>
          </w:p>
        </w:tc>
      </w:tr>
    </w:tbl>
    <w:p>
      <w:pPr>
        <w:pStyle w:val="Heading1"/>
      </w:pPr>
      <w:r>
        <w:t xml:space="preserve">9. Who to contact</w:t>
      </w:r>
    </w:p>
    <w:tbl>
      <w:tblPr>
        <w:tblW w:type="dxa" w:w="9360"/>
        <w:tblBorders>
          <w:top w:val="single" w:color="CFDAD4" w:sz="4"/>
          <w:left w:val="single" w:color="CFDAD4" w:sz="4"/>
          <w:bottom w:val="single" w:color="CFDAD4" w:sz="4"/>
          <w:right w:val="single" w:color="CFDAD4" w:sz="4"/>
          <w:insideH w:val="single" w:color="CFDAD4" w:sz="4"/>
          <w:insideV w:val="single" w:color="CFDAD4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Topic</w:t>
            </w:r>
          </w:p>
        </w:tc>
        <w:tc>
          <w:tcPr>
            <w:tcW w:type="dxa" w:w="576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Contact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Expense claims and approvals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— ext. 3100 · finance@northwind.example</w:t>
            </w:r>
          </w:p>
        </w:tc>
      </w:tr>
      <w:tr>
        <w:trPr>
          <w:tblHeader w:val="false"/>
        </w:trPr>
        <w:tc>
          <w:tcPr>
            <w:tcW w:type="dxa" w:w="36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 questions</w:t>
            </w:r>
          </w:p>
        </w:tc>
        <w:tc>
          <w:tcPr>
            <w:tcW w:type="dxa" w:w="57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People Operations — ext. 2200 · people@northwind.example</w:t>
            </w:r>
          </w:p>
        </w:tc>
      </w:tr>
    </w:tbl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End of document. Northwind Traders is a fictional company; all figures are illustrative sample data for AI knowledge-base and evaluation 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F6F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</w:pPr>
    <w:rPr>
      <w:rFonts w:ascii="Calibri" w:cs="Calibri" w:eastAsia="Calibri" w:hAnsi="Calibri"/>
      <w:b/>
      <w:bCs/>
      <w:color w:val="2F6FB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2026-08-20T03:43:39.054Z</dcterms:created>
  <dcterms:modified xsi:type="dcterms:W3CDTF">2026-08-20T03:43:39.054Z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