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6F5C"/>
          <w:sz w:val="40"/>
          <w:szCs w:val="40"/>
        </w:rPr>
        <w:t xml:space="preserve">Automated Expense-Claim Triage</w:t>
      </w:r>
    </w:p>
    <w:p>
      <w:pPr>
        <w:pBdr>
          <w:bottom w:val="single" w:color="1F6F5C" w:sz="8" w:space="6"/>
        </w:pBdr>
        <w:spacing w:after="60"/>
      </w:pPr>
      <w:r>
        <w:rPr>
          <w:color w:val="666666"/>
          <w:sz w:val="20"/>
          <w:szCs w:val="20"/>
        </w:rPr>
        <w:t xml:space="preserve">Multi-Agent Use Case Brief  ·  UC-EXP-001  ·  v1.0  ·  Classroom scenario (not a solution)</w:t>
      </w:r>
    </w:p>
    <w:p>
      <w:pPr>
        <w:spacing w:after="120"/>
      </w:pPr>
    </w:p>
    <w:p>
      <w:pPr>
        <w:spacing w:after="160" w:line="276"/>
      </w:pPr>
      <w:r>
        <w:rPr>
          <w:i/>
          <w:iCs/>
          <w:color w:val="555555"/>
        </w:rPr>
        <w:t xml:space="preserve">This document describes a use case to be built and evaluated by trainees. It states what the multi-agent workflow should do and how it will be tested — it deliberately does not include an implementation.</w:t>
      </w:r>
    </w:p>
    <w:p>
      <w:pPr>
        <w:pStyle w:val="Heading1"/>
      </w:pPr>
      <w:r>
        <w:t xml:space="preserve">1. Business context</w:t>
      </w:r>
    </w:p>
    <w:p>
      <w:pPr>
        <w:spacing w:after="120" w:line="276"/>
      </w:pPr>
      <w:r>
        <w:t xml:space="preserve">Northwind Traders' finance team receives hundreds of employee expense claims each week by email and PDF. Today every claim is checked by hand against the expense policy: a reviewer reads the claim, confirms the amounts are within limits, checks that a receipt is attached and the claim is on time, then approves, returns, or rejects it. The process is slow, inconsistent between reviewers, and a poor use of skilled finance staff.</w:t>
      </w:r>
    </w:p>
    <w:p>
      <w:pPr>
        <w:pStyle w:val="Heading1"/>
      </w:pPr>
      <w:r>
        <w:t xml:space="preserve">2. Objective</w:t>
      </w:r>
    </w:p>
    <w:p>
      <w:pPr>
        <w:spacing w:after="120" w:line="276"/>
      </w:pPr>
      <w:r>
        <w:t xml:space="preserve">Build a multi-agent workflow that reads an incoming expense claim, extracts its key fields, validates them against the expense policy, and classifies the claim so that only genuine edge cases reach a human. The team should be able to measure how accurate the workflow is before trusting it.</w:t>
      </w:r>
    </w:p>
    <w:p>
      <w:pPr>
        <w:pStyle w:val="Heading1"/>
      </w:pPr>
      <w:r>
        <w:t xml:space="preserve">3. Scope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Out of scope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Reading a single expense claim (text or PDF).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payment execution and payroll integration.</w:t>
            </w:r>
          </w:p>
        </w:tc>
      </w:tr>
      <w:tr>
        <w:trPr>
          <w:tblHeader w:val="false"/>
        </w:trPr>
        <w:tc>
          <w:tcPr>
            <w:tcW w:type="dxa" w:w="468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Extracting fields, checking policy, classifying the outcome.</w:t>
            </w:r>
          </w:p>
        </w:tc>
        <w:tc>
          <w:tcPr>
            <w:tcW w:type="dxa" w:w="468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Fraud investigation beyond a duplicate check.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Escalating borderline cases to a human reviewer.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Multi-currency conversion and tax treatment.</w:t>
            </w:r>
          </w:p>
        </w:tc>
      </w:tr>
      <w:tr>
        <w:trPr>
          <w:tblHeader w:val="false"/>
        </w:trPr>
        <w:tc>
          <w:tcPr>
            <w:tcW w:type="dxa" w:w="468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Evaluating the workflow against a labelled test set.</w:t>
            </w:r>
          </w:p>
        </w:tc>
        <w:tc>
          <w:tcPr>
            <w:tcW w:type="dxa" w:w="468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the finance system's user interface.</w:t>
            </w:r>
          </w:p>
        </w:tc>
      </w:tr>
    </w:tbl>
    <w:p>
      <w:pPr>
        <w:pStyle w:val="Heading1"/>
      </w:pPr>
      <w:r>
        <w:t xml:space="preserve">4. The multi-agent design</w:t>
      </w:r>
    </w:p>
    <w:p>
      <w:pPr>
        <w:spacing w:after="120" w:line="276"/>
      </w:pPr>
      <w:r>
        <w:t xml:space="preserve">The workflow is composed of four cooperating agents plus a human-escalation step. Each agent has a single responsibility, which keeps the system testable and easy to reason about.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Agent</w:t>
            </w:r>
          </w:p>
        </w:tc>
        <w:tc>
          <w:tcPr>
            <w:tcW w:type="dxa" w:w="40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Produces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Receives the claim, decides the route, and coordinates the other agents in order.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plan / routing decision.</w:t>
            </w:r>
          </w:p>
        </w:tc>
      </w:tr>
      <w:tr>
        <w:trPr>
          <w:tblHeader w:val="false"/>
        </w:trPr>
        <w:tc>
          <w:tcPr>
            <w:tcW w:type="dxa" w:w="1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Extractor</w:t>
            </w:r>
          </w:p>
        </w:tc>
        <w:tc>
          <w:tcPr>
            <w:tcW w:type="dxa" w:w="40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Pulls the structured fields out of the raw claim text.</w:t>
            </w:r>
          </w:p>
        </w:tc>
        <w:tc>
          <w:tcPr>
            <w:tcW w:type="dxa" w:w="34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Employee, date, category, amount, receipt flag, PO number.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Data-Checker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Validates the extracted fields against the expense policy knowledge base.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 of pass/fail checks with reasons.</w:t>
            </w:r>
          </w:p>
        </w:tc>
      </w:tr>
      <w:tr>
        <w:trPr>
          <w:tblHeader w:val="false"/>
        </w:trPr>
        <w:tc>
          <w:tcPr>
            <w:tcW w:type="dxa" w:w="1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Classifier</w:t>
            </w:r>
          </w:p>
        </w:tc>
        <w:tc>
          <w:tcPr>
            <w:tcW w:type="dxa" w:w="40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Turns the checks into a single outcome with a justification.</w:t>
            </w:r>
          </w:p>
        </w:tc>
        <w:tc>
          <w:tcPr>
            <w:tcW w:type="dxa" w:w="34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 / Needs review / Reject + reason.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 reviewer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Handles only the cases the Classifier marks 'Needs review'.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final human decision.</w:t>
            </w:r>
          </w:p>
        </w:tc>
      </w:tr>
    </w:tbl>
    <w:p>
      <w:pPr>
        <w:pStyle w:val="Heading1"/>
      </w:pPr>
      <w:r>
        <w:t xml:space="preserve">5. Process flow</w:t>
      </w:r>
    </w:p>
    <w:p>
      <w:pPr>
        <w:spacing w:after="70" w:line="268"/>
        <w:ind w:left="360" w:hanging="360"/>
      </w:pPr>
      <w:r>
        <w:rPr>
          <w:b/>
          <w:bCs/>
          <w:color w:val="2F6FBF"/>
        </w:rPr>
        <w:t xml:space="preserve">1.  </w:t>
      </w:r>
      <w:r>
        <w:t xml:space="preserve">A claim arrives and the Planner starts the workflow.</w:t>
      </w:r>
    </w:p>
    <w:p>
      <w:pPr>
        <w:spacing w:after="70" w:line="268"/>
        <w:ind w:left="360" w:hanging="360"/>
      </w:pPr>
      <w:r>
        <w:rPr>
          <w:b/>
          <w:bCs/>
          <w:color w:val="2F6FBF"/>
        </w:rPr>
        <w:t xml:space="preserve">2.  </w:t>
      </w:r>
      <w:r>
        <w:t xml:space="preserve">The Extractor reads the claim and returns structured fields.</w:t>
      </w:r>
    </w:p>
    <w:p>
      <w:pPr>
        <w:spacing w:after="70" w:line="268"/>
        <w:ind w:left="360" w:hanging="360"/>
      </w:pPr>
      <w:r>
        <w:rPr>
          <w:b/>
          <w:bCs/>
          <w:color w:val="2F6FBF"/>
        </w:rPr>
        <w:t xml:space="preserve">3.  </w:t>
      </w:r>
      <w:r>
        <w:t xml:space="preserve">The Data-Checker compares those fields to the policy (limits, receipt, submission window, duplicates).</w:t>
      </w:r>
    </w:p>
    <w:p>
      <w:pPr>
        <w:spacing w:after="70" w:line="268"/>
        <w:ind w:left="360" w:hanging="360"/>
      </w:pPr>
      <w:r>
        <w:rPr>
          <w:b/>
          <w:bCs/>
          <w:color w:val="2F6FBF"/>
        </w:rPr>
        <w:t xml:space="preserve">4.  </w:t>
      </w:r>
      <w:r>
        <w:t xml:space="preserve">The Classifier assigns an outcome and a reason grounded in the policy.</w:t>
      </w:r>
    </w:p>
    <w:p>
      <w:pPr>
        <w:spacing w:after="70" w:line="268"/>
        <w:ind w:left="360" w:hanging="360"/>
      </w:pPr>
      <w:r>
        <w:rPr>
          <w:b/>
          <w:bCs/>
          <w:color w:val="2F6FBF"/>
        </w:rPr>
        <w:t xml:space="preserve">5.  </w:t>
      </w:r>
      <w:r>
        <w:t xml:space="preserve">Auto-approve and Reject are final; Needs review is escalated to a human.</w:t>
      </w:r>
    </w:p>
    <w:p>
      <w:pPr>
        <w:pStyle w:val="Heading1"/>
      </w:pPr>
      <w:r>
        <w:t xml:space="preserve">6. Classification outcomes</w:t>
      </w:r>
    </w:p>
    <w:tbl>
      <w:tblPr>
        <w:tblW w:type="dxa" w:w="93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Outcome</w:t>
            </w:r>
          </w:p>
        </w:tc>
        <w:tc>
          <w:tcPr>
            <w:tcW w:type="dxa" w:w="43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When</w:t>
            </w:r>
          </w:p>
        </w:tc>
        <w:tc>
          <w:tcPr>
            <w:tcW w:type="dxa" w:w="29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Complete, within limits, receipt present, on time, not a duplicate, low amount.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automatically.</w:t>
            </w:r>
          </w:p>
        </w:tc>
      </w:tr>
      <w:tr>
        <w:trPr>
          <w:tblHeader w:val="false"/>
        </w:trPr>
        <w:tc>
          <w:tcPr>
            <w:tcW w:type="dxa" w:w="21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43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Compliant but higher-value, borderline, or a possible duplicate.</w:t>
            </w:r>
          </w:p>
        </w:tc>
        <w:tc>
          <w:tcPr>
            <w:tcW w:type="dxa" w:w="2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to a human reviewer.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 a limit, missing a required field, late, or a non-reimbursable item.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to the employee with the reason.</w:t>
            </w:r>
          </w:p>
        </w:tc>
      </w:tr>
    </w:tbl>
    <w:p>
      <w:pPr>
        <w:pStyle w:val="Heading1"/>
      </w:pPr>
      <w:r>
        <w:t xml:space="preserve">7. Evaluating the workflow</w:t>
      </w:r>
    </w:p>
    <w:p>
      <w:pPr>
        <w:spacing w:after="120" w:line="276"/>
      </w:pPr>
      <w:r>
        <w:t xml:space="preserve">Before the workflow is trusted, it must be tested against a labelled set of example claims where the correct outcome is already known. Evaluation treats each claim like a unit test.</w:t>
      </w:r>
    </w:p>
    <w:p>
      <w:pPr>
        <w:pStyle w:val="Heading2"/>
      </w:pPr>
      <w:r>
        <w:t xml:space="preserve">What to measure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Extraction accuracy — did the Extractor pull the right fields from the claim?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Check correctness — did the Data-Checker apply the policy rules correctly?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Classification accuracy — did the final outcome match the expected label?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Task adherence and tool-call accuracy — did each agent do its job within the rules?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Groundedness — is the stated reason actually supported by the policy document?</w:t>
      </w:r>
    </w:p>
    <w:p>
      <w:pPr>
        <w:pStyle w:val="Heading2"/>
      </w:pPr>
      <w:r>
        <w:t xml:space="preserve">Success criteria (example release gate)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Classification accuracy of at least 90% on the test set.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Zero unsafe auto-approvals (nothing over a limit or missing a receipt is auto-approved).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Every 'Reject' and 'Needs review' has a reason grounded in the policy.</w:t>
      </w:r>
    </w:p>
    <w:p>
      <w:pPr>
        <w:spacing w:after="120" w:line="276"/>
      </w:pPr>
      <w:r>
        <w:t xml:space="preserve">Results are reviewed row by row: a single failing claim is noise, but a pattern — for example, late claims being auto-approved — points to a specific rule the workflow is getting wrong.</w:t>
      </w:r>
    </w:p>
    <w:p>
      <w:pPr>
        <w:pStyle w:val="Heading1"/>
      </w:pPr>
      <w:r>
        <w:t xml:space="preserve">8. Supporting documents (knowledge base)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Document 1: </w:t>
      </w:r>
      <w:r>
        <w:t xml:space="preserve">Expense Claim Validation Policy — the knowledge base the Data-Checker and Classifier ground 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Document 2: </w:t>
      </w:r>
      <w:r>
        <w:t xml:space="preserve">Appendix A: Sample Expense Claims — the labelled test set used for evaluation (below).</w:t>
      </w:r>
    </w:p>
    <w:p>
      <w:pPr>
        <w:pStyle w:val="Heading1"/>
      </w:pPr>
      <w:r>
        <w:t xml:space="preserve">9. Assumptions &amp; constraints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One claim is processed at a time; each claim is self-contained.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The policy document is the single source of truth for all limits and rules.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All amounts are in USD; no currency conversion is required.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 human is always available for the 'Needs review' queue.</w:t>
      </w:r>
    </w:p>
    <w:p>
      <w:pPr>
        <w:spacing w:before="240"/>
      </w:pPr>
    </w:p>
    <w:p>
      <w:pPr>
        <w:pStyle w:val="Heading1"/>
      </w:pPr>
      <w:r>
        <w:t xml:space="preserve">Appendix A — Sample expense claims (test set)</w:t>
      </w:r>
    </w:p>
    <w:p>
      <w:pPr>
        <w:spacing w:after="120" w:line="276"/>
      </w:pPr>
      <w:r>
        <w:t xml:space="preserve">Each row is one test case with its expected outcome. Use these as the ground truth when you evaluate the workflow.</w:t>
      </w:r>
    </w:p>
    <w:tbl>
      <w:tblPr>
        <w:tblW w:type="dxa" w:w="9260"/>
        <w:tblBorders>
          <w:top w:val="single" w:color="CFDAD4" w:sz="4"/>
          <w:left w:val="single" w:color="CFDAD4" w:sz="4"/>
          <w:bottom w:val="single" w:color="CFDAD4" w:sz="4"/>
          <w:right w:val="single" w:color="CFDAD4" w:sz="4"/>
          <w:insideH w:val="single" w:color="CFDAD4" w:sz="4"/>
          <w:insideV w:val="single" w:color="CFDAD4" w:sz="4"/>
        </w:tblBorders>
      </w:tblPr>
      <w:tblGrid>
        <w:gridCol w:w="900"/>
        <w:gridCol w:w="2200"/>
        <w:gridCol w:w="1500"/>
        <w:gridCol w:w="1500"/>
        <w:gridCol w:w="3160"/>
      </w:tblGrid>
      <w:tr>
        <w:trPr>
          <w:tblHeader/>
        </w:trPr>
        <w:tc>
          <w:tcPr>
            <w:tcW w:type="dxa" w:w="9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Claim</w:t>
            </w:r>
          </w:p>
        </w:tc>
        <w:tc>
          <w:tcPr>
            <w:tcW w:type="dxa" w:w="15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Expected</w:t>
            </w:r>
          </w:p>
        </w:tc>
        <w:tc>
          <w:tcPr>
            <w:tcW w:type="dxa" w:w="3160"/>
            <w:shd w:fill="E7F1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F3A34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Lunch, receipt, 5 days old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60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limit, receipt, on time, low amount.</w:t>
            </w:r>
          </w:p>
        </w:tc>
      </w:tr>
      <w:tr>
        <w:trPr>
          <w:tblHeader w:val="false"/>
        </w:trPr>
        <w:tc>
          <w:tcPr>
            <w:tcW w:type="dxa" w:w="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C-02</w:t>
            </w:r>
          </w:p>
        </w:tc>
        <w:tc>
          <w:tcPr>
            <w:tcW w:type="dxa" w:w="22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Hotel, receipt, 3 days old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260/night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31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 the USD 220 nightly limit.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C-03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Dinner, no receipt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70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required receipt.</w:t>
            </w:r>
          </w:p>
        </w:tc>
      </w:tr>
      <w:tr>
        <w:trPr>
          <w:tblHeader w:val="false"/>
        </w:trPr>
        <w:tc>
          <w:tcPr>
            <w:tcW w:type="dxa" w:w="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C-04</w:t>
            </w:r>
          </w:p>
        </w:tc>
        <w:tc>
          <w:tcPr>
            <w:tcW w:type="dxa" w:w="22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dinner, receipt, 40 days old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140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31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Submitted after the 30-day window.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Taxi, receipt, 3 days old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55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Within the daily transport limit.</w:t>
            </w:r>
          </w:p>
        </w:tc>
      </w:tr>
      <w:tr>
        <w:trPr>
          <w:tblHeader w:val="false"/>
        </w:trPr>
        <w:tc>
          <w:tcPr>
            <w:tcW w:type="dxa" w:w="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C-06</w:t>
            </w:r>
          </w:p>
        </w:tc>
        <w:tc>
          <w:tcPr>
            <w:tcW w:type="dxa" w:w="22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Mileage, log attached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1,200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31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Compliant but above USD 1,000 — higher approval.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of an earlier claim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90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Flagged as a possible duplicate.</w:t>
            </w:r>
          </w:p>
        </w:tc>
      </w:tr>
      <w:tr>
        <w:trPr>
          <w:tblHeader w:val="false"/>
        </w:trPr>
        <w:tc>
          <w:tcPr>
            <w:tcW w:type="dxa" w:w="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C-08</w:t>
            </w:r>
          </w:p>
        </w:tc>
        <w:tc>
          <w:tcPr>
            <w:tcW w:type="dxa" w:w="22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Minibar charge, receipt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30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31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Non-reimbursable item.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C-09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event, receipt, attendees listed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150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Auto-approve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 the limit but fully compliant.</w:t>
            </w:r>
          </w:p>
        </w:tc>
      </w:tr>
      <w:tr>
        <w:trPr>
          <w:tblHeader w:val="false"/>
        </w:trPr>
        <w:tc>
          <w:tcPr>
            <w:tcW w:type="dxa" w:w="9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C-10</w:t>
            </w:r>
          </w:p>
        </w:tc>
        <w:tc>
          <w:tcPr>
            <w:tcW w:type="dxa" w:w="22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Hotel, receipt, trip total high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210/night</w:t>
            </w:r>
          </w:p>
        </w:tc>
        <w:tc>
          <w:tcPr>
            <w:tcW w:type="dxa" w:w="150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3160"/>
            <w:shd w:fill="F4F8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Compliant but total exceeds USD 1,000.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6F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2F6FB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2026-08-20T03:43:38.929Z</dcterms:created>
  <dcterms:modified xsi:type="dcterms:W3CDTF">2026-08-20T03:43:38.929Z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