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4E2" w:rsidRPr="008D54E2" w:rsidRDefault="008D54E2">
      <w:pPr>
        <w:rPr>
          <w:rFonts w:ascii="Times New Roman" w:hAnsi="Times New Roman" w:cs="Times New Roman"/>
          <w:sz w:val="28"/>
          <w:szCs w:val="28"/>
        </w:rPr>
      </w:pPr>
      <w:r w:rsidRPr="008D54E2">
        <w:rPr>
          <w:rFonts w:ascii="Times New Roman" w:hAnsi="Times New Roman" w:cs="Times New Roman"/>
          <w:sz w:val="28"/>
          <w:szCs w:val="28"/>
        </w:rPr>
        <w:t xml:space="preserve">Download and import HDP into your virtual box and explain how </w:t>
      </w:r>
      <w:proofErr w:type="spellStart"/>
      <w:r w:rsidRPr="008D54E2">
        <w:rPr>
          <w:rFonts w:ascii="Times New Roman" w:hAnsi="Times New Roman" w:cs="Times New Roman"/>
          <w:sz w:val="28"/>
          <w:szCs w:val="28"/>
        </w:rPr>
        <w:t>Ambari</w:t>
      </w:r>
      <w:proofErr w:type="spellEnd"/>
      <w:r w:rsidRPr="008D54E2">
        <w:rPr>
          <w:rFonts w:ascii="Times New Roman" w:hAnsi="Times New Roman" w:cs="Times New Roman"/>
          <w:sz w:val="28"/>
          <w:szCs w:val="28"/>
        </w:rPr>
        <w:t xml:space="preserve"> is useful and the features of </w:t>
      </w:r>
      <w:proofErr w:type="spellStart"/>
      <w:r w:rsidRPr="008D54E2">
        <w:rPr>
          <w:rFonts w:ascii="Times New Roman" w:hAnsi="Times New Roman" w:cs="Times New Roman"/>
          <w:sz w:val="28"/>
          <w:szCs w:val="28"/>
        </w:rPr>
        <w:t>Ambari</w:t>
      </w:r>
      <w:proofErr w:type="spellEnd"/>
      <w:r w:rsidRPr="008D54E2">
        <w:rPr>
          <w:rFonts w:ascii="Times New Roman" w:hAnsi="Times New Roman" w:cs="Times New Roman"/>
          <w:sz w:val="28"/>
          <w:szCs w:val="28"/>
        </w:rPr>
        <w:t>.</w:t>
      </w:r>
    </w:p>
    <w:p w:rsidR="008D54E2" w:rsidRPr="008D54E2" w:rsidRDefault="008D54E2">
      <w:pPr>
        <w:rPr>
          <w:rFonts w:ascii="Times New Roman" w:hAnsi="Times New Roman" w:cs="Times New Roman"/>
          <w:b/>
          <w:sz w:val="28"/>
          <w:szCs w:val="28"/>
        </w:rPr>
      </w:pPr>
      <w:r w:rsidRPr="008D54E2">
        <w:rPr>
          <w:rFonts w:ascii="Times New Roman" w:hAnsi="Times New Roman" w:cs="Times New Roman"/>
          <w:b/>
          <w:sz w:val="28"/>
          <w:szCs w:val="28"/>
        </w:rPr>
        <w:t xml:space="preserve">Installing </w:t>
      </w:r>
      <w:proofErr w:type="spellStart"/>
      <w:r w:rsidRPr="008D54E2">
        <w:rPr>
          <w:rFonts w:ascii="Times New Roman" w:hAnsi="Times New Roman" w:cs="Times New Roman"/>
          <w:b/>
          <w:sz w:val="28"/>
          <w:szCs w:val="28"/>
        </w:rPr>
        <w:t>ambari</w:t>
      </w:r>
      <w:proofErr w:type="spellEnd"/>
      <w:r w:rsidRPr="008D54E2">
        <w:rPr>
          <w:rFonts w:ascii="Times New Roman" w:hAnsi="Times New Roman" w:cs="Times New Roman"/>
          <w:b/>
          <w:sz w:val="28"/>
          <w:szCs w:val="28"/>
        </w:rPr>
        <w:t>:</w:t>
      </w:r>
    </w:p>
    <w:p w:rsidR="008D54E2" w:rsidRPr="008D54E2" w:rsidRDefault="008D54E2">
      <w:pPr>
        <w:rPr>
          <w:rFonts w:ascii="Times New Roman" w:hAnsi="Times New Roman" w:cs="Times New Roman"/>
          <w:sz w:val="28"/>
          <w:szCs w:val="28"/>
        </w:rPr>
      </w:pPr>
      <w:r w:rsidRPr="008D54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345" cy="1879600"/>
            <wp:effectExtent l="0" t="0" r="8255" b="6350"/>
            <wp:docPr id="1" name="Picture 1" descr="D:\assignment\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8.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4E2" w:rsidRPr="008D54E2" w:rsidRDefault="008D54E2">
      <w:pPr>
        <w:rPr>
          <w:rFonts w:ascii="Times New Roman" w:hAnsi="Times New Roman" w:cs="Times New Roman"/>
          <w:b/>
          <w:sz w:val="28"/>
          <w:szCs w:val="28"/>
        </w:rPr>
      </w:pPr>
      <w:r w:rsidRPr="008D54E2">
        <w:rPr>
          <w:rFonts w:ascii="Times New Roman" w:hAnsi="Times New Roman" w:cs="Times New Roman"/>
          <w:b/>
          <w:sz w:val="28"/>
          <w:szCs w:val="28"/>
        </w:rPr>
        <w:lastRenderedPageBreak/>
        <w:t>Server setup:</w:t>
      </w:r>
      <w:r w:rsidRPr="008D54E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29630" cy="3337560"/>
            <wp:effectExtent l="0" t="0" r="0" b="0"/>
            <wp:docPr id="2" name="Picture 2" descr="D:\assignment\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8.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4E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29630" cy="3337560"/>
            <wp:effectExtent l="0" t="0" r="0" b="0"/>
            <wp:docPr id="3" name="Picture 3" descr="D:\assignment\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8.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4E2" w:rsidRDefault="008D54E2">
      <w:pPr>
        <w:rPr>
          <w:rFonts w:ascii="Times New Roman" w:hAnsi="Times New Roman" w:cs="Times New Roman"/>
          <w:b/>
          <w:sz w:val="28"/>
          <w:szCs w:val="28"/>
        </w:rPr>
      </w:pPr>
      <w:r w:rsidRPr="008D54E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Starting </w:t>
      </w:r>
      <w:proofErr w:type="spellStart"/>
      <w:r w:rsidRPr="008D54E2">
        <w:rPr>
          <w:rFonts w:ascii="Times New Roman" w:hAnsi="Times New Roman" w:cs="Times New Roman"/>
          <w:b/>
          <w:sz w:val="28"/>
          <w:szCs w:val="28"/>
        </w:rPr>
        <w:t>ambari</w:t>
      </w:r>
      <w:proofErr w:type="spellEnd"/>
      <w:r w:rsidRPr="008D54E2">
        <w:rPr>
          <w:rFonts w:ascii="Times New Roman" w:hAnsi="Times New Roman" w:cs="Times New Roman"/>
          <w:b/>
          <w:sz w:val="28"/>
          <w:szCs w:val="28"/>
        </w:rPr>
        <w:t xml:space="preserve"> server:</w:t>
      </w:r>
      <w:r w:rsidRPr="008D54E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29630" cy="3337560"/>
            <wp:effectExtent l="0" t="0" r="0" b="0"/>
            <wp:docPr id="4" name="Picture 4" descr="D:\assignment\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8.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4E2" w:rsidRPr="008D54E2" w:rsidRDefault="008D54E2">
      <w:pPr>
        <w:rPr>
          <w:rFonts w:ascii="Times New Roman" w:hAnsi="Times New Roman" w:cs="Times New Roman"/>
          <w:b/>
          <w:sz w:val="28"/>
          <w:szCs w:val="28"/>
        </w:rPr>
      </w:pPr>
    </w:p>
    <w:p w:rsidR="008D54E2" w:rsidRPr="008D54E2" w:rsidRDefault="008D54E2">
      <w:pPr>
        <w:rPr>
          <w:rFonts w:ascii="Times New Roman" w:hAnsi="Times New Roman" w:cs="Times New Roman"/>
          <w:b/>
          <w:sz w:val="28"/>
          <w:szCs w:val="28"/>
        </w:rPr>
      </w:pPr>
      <w:r w:rsidRPr="008D54E2">
        <w:rPr>
          <w:rFonts w:ascii="Times New Roman" w:hAnsi="Times New Roman" w:cs="Times New Roman"/>
          <w:b/>
          <w:sz w:val="28"/>
          <w:szCs w:val="28"/>
        </w:rPr>
        <w:t>Web interface:</w:t>
      </w:r>
    </w:p>
    <w:p w:rsidR="008D52C4" w:rsidRDefault="008D54E2">
      <w:pPr>
        <w:rPr>
          <w:rFonts w:ascii="Times New Roman" w:hAnsi="Times New Roman" w:cs="Times New Roman"/>
          <w:sz w:val="28"/>
          <w:szCs w:val="28"/>
        </w:rPr>
      </w:pPr>
      <w:r w:rsidRPr="008D54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345" cy="3337560"/>
            <wp:effectExtent l="0" t="0" r="8255" b="0"/>
            <wp:docPr id="5" name="Picture 5" descr="D:\assignment\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8.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4E2" w:rsidRPr="008D54E2" w:rsidRDefault="008D54E2">
      <w:pPr>
        <w:rPr>
          <w:rFonts w:ascii="Times New Roman" w:hAnsi="Times New Roman" w:cs="Times New Roman"/>
          <w:sz w:val="28"/>
          <w:szCs w:val="28"/>
        </w:rPr>
      </w:pPr>
    </w:p>
    <w:p w:rsidR="008D54E2" w:rsidRPr="008D54E2" w:rsidRDefault="008D54E2" w:rsidP="008D54E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54E2">
        <w:rPr>
          <w:rFonts w:ascii="Times New Roman" w:hAnsi="Times New Roman" w:cs="Times New Roman"/>
          <w:b/>
          <w:sz w:val="28"/>
          <w:szCs w:val="28"/>
        </w:rPr>
        <w:lastRenderedPageBreak/>
        <w:t>Ambari</w:t>
      </w:r>
      <w:proofErr w:type="spellEnd"/>
      <w:r w:rsidRPr="008D54E2">
        <w:rPr>
          <w:rFonts w:ascii="Times New Roman" w:hAnsi="Times New Roman" w:cs="Times New Roman"/>
          <w:b/>
          <w:sz w:val="28"/>
          <w:szCs w:val="28"/>
        </w:rPr>
        <w:t xml:space="preserve"> Usefulness &amp; features:</w:t>
      </w:r>
    </w:p>
    <w:p w:rsidR="008D54E2" w:rsidRPr="008D54E2" w:rsidRDefault="008D54E2" w:rsidP="008D54E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Apache </w:t>
      </w:r>
      <w:proofErr w:type="spellStart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Ambari</w:t>
      </w:r>
      <w:proofErr w:type="spellEnd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as a part of the </w:t>
      </w:r>
      <w:proofErr w:type="spellStart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Hortonworks</w:t>
      </w:r>
      <w:proofErr w:type="spellEnd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Data Platform allows enterprises to plan, install and securely configure HDP making it easier to provide ongoing cluster maintenance and management, no matter the size of the cluster.</w:t>
      </w:r>
    </w:p>
    <w:p w:rsidR="008D54E2" w:rsidRPr="008D54E2" w:rsidRDefault="008D54E2" w:rsidP="008D54E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Ambari</w:t>
      </w:r>
      <w:proofErr w:type="spellEnd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makes Hadoop management simpler by providing a consistent, secure platform for operational control. </w:t>
      </w:r>
      <w:proofErr w:type="spellStart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Ambari</w:t>
      </w:r>
      <w:proofErr w:type="spellEnd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provides an intuitive Web UI as well as a robust REST API, which is particularly useful for automating cluster operations. With </w:t>
      </w:r>
      <w:proofErr w:type="spellStart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Ambari</w:t>
      </w:r>
      <w:proofErr w:type="spellEnd"/>
      <w:r w:rsidRPr="008D5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Hadoop operators get the following core benefits:</w:t>
      </w:r>
      <w:bookmarkStart w:id="0" w:name="_GoBack"/>
      <w:bookmarkEnd w:id="0"/>
    </w:p>
    <w:p w:rsidR="008D54E2" w:rsidRPr="008D54E2" w:rsidRDefault="008D54E2" w:rsidP="008D54E2">
      <w:pPr>
        <w:numPr>
          <w:ilvl w:val="0"/>
          <w:numId w:val="1"/>
        </w:numPr>
        <w:shd w:val="clear" w:color="auto" w:fill="FFFFFF"/>
        <w:spacing w:after="0" w:line="390" w:lineRule="atLeast"/>
        <w:ind w:left="15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D54E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Simplified Installation, Configuration and Management-</w:t>
      </w:r>
    </w:p>
    <w:p w:rsidR="008D54E2" w:rsidRPr="008D54E2" w:rsidRDefault="008D54E2" w:rsidP="008D54E2">
      <w:pPr>
        <w:shd w:val="clear" w:color="auto" w:fill="FFFFFF"/>
        <w:spacing w:after="0" w:line="390" w:lineRule="atLeast"/>
        <w:ind w:left="15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Easily and efficiently create, manage and monitor clusters at scale. Takes the guesswork out of configuration with </w:t>
      </w:r>
      <w:hyperlink r:id="rId10" w:history="1"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 xml:space="preserve">Smart </w:t>
        </w:r>
        <w:proofErr w:type="spellStart"/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>Configs</w:t>
        </w:r>
        <w:proofErr w:type="spellEnd"/>
      </w:hyperlink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and Cluster Recommendations.  Enables repeatable, automated cluster creation with </w:t>
      </w:r>
      <w:proofErr w:type="spellStart"/>
      <w:r w:rsidRPr="008D54E2">
        <w:rPr>
          <w:rFonts w:ascii="Times New Roman" w:hAnsi="Times New Roman" w:cs="Times New Roman"/>
          <w:sz w:val="28"/>
          <w:szCs w:val="28"/>
        </w:rPr>
        <w:fldChar w:fldCharType="begin"/>
      </w:r>
      <w:r w:rsidRPr="008D54E2">
        <w:rPr>
          <w:rFonts w:ascii="Times New Roman" w:hAnsi="Times New Roman" w:cs="Times New Roman"/>
          <w:sz w:val="28"/>
          <w:szCs w:val="28"/>
        </w:rPr>
        <w:instrText xml:space="preserve"> HYPERLINK "https://cwiki.apache.org/confluence/display/AMBARI/Blueprints" \t "_blank" </w:instrText>
      </w:r>
      <w:r w:rsidRPr="008D54E2">
        <w:rPr>
          <w:rFonts w:ascii="Times New Roman" w:hAnsi="Times New Roman" w:cs="Times New Roman"/>
          <w:sz w:val="28"/>
          <w:szCs w:val="28"/>
        </w:rPr>
        <w:fldChar w:fldCharType="separate"/>
      </w:r>
      <w:r w:rsidRPr="008D54E2">
        <w:rPr>
          <w:rStyle w:val="Hyperlink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</w:rPr>
        <w:t>Ambari</w:t>
      </w:r>
      <w:proofErr w:type="spellEnd"/>
      <w:r w:rsidRPr="008D54E2">
        <w:rPr>
          <w:rStyle w:val="Hyperlink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</w:rPr>
        <w:t xml:space="preserve"> Blueprints</w:t>
      </w:r>
      <w:r w:rsidRPr="008D54E2">
        <w:rPr>
          <w:rFonts w:ascii="Times New Roman" w:hAnsi="Times New Roman" w:cs="Times New Roman"/>
          <w:sz w:val="28"/>
          <w:szCs w:val="28"/>
        </w:rPr>
        <w:fldChar w:fldCharType="end"/>
      </w:r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D54E2" w:rsidRPr="008D54E2" w:rsidRDefault="008D54E2" w:rsidP="008D54E2">
      <w:pPr>
        <w:shd w:val="clear" w:color="auto" w:fill="FFFFFF"/>
        <w:spacing w:after="0" w:line="390" w:lineRule="atLeast"/>
        <w:ind w:left="150"/>
        <w:rPr>
          <w:rFonts w:ascii="Times New Roman" w:eastAsia="Times New Roman" w:hAnsi="Times New Roman" w:cs="Times New Roman"/>
          <w:color w:val="404041"/>
          <w:sz w:val="28"/>
          <w:szCs w:val="28"/>
        </w:rPr>
      </w:pPr>
    </w:p>
    <w:p w:rsidR="008D54E2" w:rsidRPr="008D54E2" w:rsidRDefault="008D54E2" w:rsidP="008D54E2">
      <w:pPr>
        <w:numPr>
          <w:ilvl w:val="0"/>
          <w:numId w:val="1"/>
        </w:numPr>
        <w:shd w:val="clear" w:color="auto" w:fill="FFFFFF"/>
        <w:spacing w:after="0" w:line="39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54E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Centralized Security Setup-</w:t>
      </w:r>
    </w:p>
    <w:p w:rsidR="008D54E2" w:rsidRPr="008D54E2" w:rsidRDefault="008D54E2" w:rsidP="008D54E2">
      <w:pPr>
        <w:shd w:val="clear" w:color="auto" w:fill="FFFFFF"/>
        <w:spacing w:after="0" w:line="39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Reduce the complexity to administer and configure cluster security across the entire platform. Helps automate the setup and configuration of advanced cluster security capabilities such as Kerberos and </w:t>
      </w:r>
      <w:hyperlink r:id="rId11" w:history="1"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>Apache Ranger</w:t>
        </w:r>
      </w:hyperlink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D54E2" w:rsidRPr="008D54E2" w:rsidRDefault="008D54E2" w:rsidP="008D54E2">
      <w:pPr>
        <w:shd w:val="clear" w:color="auto" w:fill="FFFFFF"/>
        <w:spacing w:after="0" w:line="390" w:lineRule="atLeast"/>
        <w:ind w:left="720"/>
        <w:rPr>
          <w:rFonts w:ascii="Times New Roman" w:eastAsia="Times New Roman" w:hAnsi="Times New Roman" w:cs="Times New Roman"/>
          <w:color w:val="404041"/>
          <w:sz w:val="28"/>
          <w:szCs w:val="28"/>
        </w:rPr>
      </w:pPr>
    </w:p>
    <w:p w:rsidR="008D54E2" w:rsidRPr="008D54E2" w:rsidRDefault="008D54E2" w:rsidP="008D54E2">
      <w:pPr>
        <w:numPr>
          <w:ilvl w:val="0"/>
          <w:numId w:val="2"/>
        </w:numPr>
        <w:shd w:val="clear" w:color="auto" w:fill="FFFFFF"/>
        <w:spacing w:after="0" w:line="39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54E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Highly Extensible and Customizable-</w:t>
      </w:r>
    </w:p>
    <w:p w:rsidR="008D54E2" w:rsidRPr="008D54E2" w:rsidRDefault="008D54E2" w:rsidP="008D54E2">
      <w:pPr>
        <w:shd w:val="clear" w:color="auto" w:fill="FFFFFF"/>
        <w:spacing w:after="0" w:line="39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Fit Hadoop seamlessly into your enterprise environment. Highly extensible with</w:t>
      </w:r>
      <w:hyperlink r:id="rId12" w:history="1"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> </w:t>
        </w:r>
        <w:proofErr w:type="spellStart"/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>Ambari</w:t>
        </w:r>
        <w:proofErr w:type="spellEnd"/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 xml:space="preserve"> Stacks</w:t>
        </w:r>
      </w:hyperlink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for bringing custom services under management, and with</w:t>
      </w:r>
      <w:hyperlink r:id="rId13" w:history="1"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> </w:t>
        </w:r>
        <w:proofErr w:type="spellStart"/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>Ambari</w:t>
        </w:r>
        <w:proofErr w:type="spellEnd"/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 xml:space="preserve"> Views</w:t>
        </w:r>
      </w:hyperlink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 for customizing the </w:t>
      </w:r>
      <w:proofErr w:type="spellStart"/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Ambari</w:t>
      </w:r>
      <w:proofErr w:type="spellEnd"/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Web UI.</w:t>
      </w:r>
    </w:p>
    <w:p w:rsidR="008D54E2" w:rsidRPr="008D54E2" w:rsidRDefault="008D54E2" w:rsidP="008D54E2">
      <w:pPr>
        <w:rPr>
          <w:rFonts w:ascii="Times New Roman" w:hAnsi="Times New Roman" w:cs="Times New Roman"/>
          <w:b/>
          <w:sz w:val="28"/>
          <w:szCs w:val="28"/>
        </w:rPr>
      </w:pPr>
    </w:p>
    <w:p w:rsidR="008D54E2" w:rsidRPr="008D54E2" w:rsidRDefault="008D54E2" w:rsidP="008D54E2">
      <w:pPr>
        <w:numPr>
          <w:ilvl w:val="0"/>
          <w:numId w:val="2"/>
        </w:numPr>
        <w:shd w:val="clear" w:color="auto" w:fill="FFFFFF"/>
        <w:spacing w:after="0" w:line="39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54E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Full Visibility into Cluster Health-</w:t>
      </w:r>
    </w:p>
    <w:p w:rsidR="008D54E2" w:rsidRPr="008D54E2" w:rsidRDefault="008D54E2" w:rsidP="008D54E2">
      <w:pPr>
        <w:shd w:val="clear" w:color="auto" w:fill="FFFFFF"/>
        <w:spacing w:after="0" w:line="39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Ensure your cluster is healthy and available with a holistic approach to monitoring. Configures predefined alerts — based on operational best practices — for cluster monitoring. Captures and visualizes critical operational metrics — using </w:t>
      </w:r>
      <w:proofErr w:type="spellStart"/>
      <w:r w:rsidRPr="008D54E2">
        <w:rPr>
          <w:rFonts w:ascii="Times New Roman" w:hAnsi="Times New Roman" w:cs="Times New Roman"/>
          <w:sz w:val="28"/>
          <w:szCs w:val="28"/>
        </w:rPr>
        <w:fldChar w:fldCharType="begin"/>
      </w:r>
      <w:r w:rsidRPr="008D54E2">
        <w:rPr>
          <w:rFonts w:ascii="Times New Roman" w:hAnsi="Times New Roman" w:cs="Times New Roman"/>
          <w:sz w:val="28"/>
          <w:szCs w:val="28"/>
        </w:rPr>
        <w:instrText xml:space="preserve"> HYPERLINK "http://grafana.org/" </w:instrText>
      </w:r>
      <w:r w:rsidRPr="008D54E2">
        <w:rPr>
          <w:rFonts w:ascii="Times New Roman" w:hAnsi="Times New Roman" w:cs="Times New Roman"/>
          <w:sz w:val="28"/>
          <w:szCs w:val="28"/>
        </w:rPr>
        <w:fldChar w:fldCharType="separate"/>
      </w:r>
      <w:r w:rsidRPr="008D54E2">
        <w:rPr>
          <w:rStyle w:val="Hyperlink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</w:rPr>
        <w:t>Grafana</w:t>
      </w:r>
      <w:proofErr w:type="spellEnd"/>
      <w:r w:rsidRPr="008D54E2">
        <w:rPr>
          <w:rFonts w:ascii="Times New Roman" w:hAnsi="Times New Roman" w:cs="Times New Roman"/>
          <w:sz w:val="28"/>
          <w:szCs w:val="28"/>
        </w:rPr>
        <w:fldChar w:fldCharType="end"/>
      </w:r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— for analysis and troubleshooting. Integrated with</w:t>
      </w:r>
      <w:hyperlink r:id="rId14" w:history="1"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> </w:t>
        </w:r>
        <w:proofErr w:type="spellStart"/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>Hortonworks</w:t>
        </w:r>
        <w:proofErr w:type="spellEnd"/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 xml:space="preserve"> </w:t>
        </w:r>
        <w:proofErr w:type="spellStart"/>
        <w:r w:rsidRPr="008D54E2">
          <w:rPr>
            <w:rStyle w:val="Hyperlink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</w:rPr>
          <w:t>SmartSense</w:t>
        </w:r>
        <w:proofErr w:type="spellEnd"/>
      </w:hyperlink>
      <w:r w:rsidRPr="008D54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for proactive issue prevention and resolution.</w:t>
      </w:r>
    </w:p>
    <w:p w:rsidR="008D54E2" w:rsidRPr="008D54E2" w:rsidRDefault="008D54E2">
      <w:pPr>
        <w:rPr>
          <w:rFonts w:ascii="Times New Roman" w:hAnsi="Times New Roman" w:cs="Times New Roman"/>
          <w:sz w:val="28"/>
          <w:szCs w:val="28"/>
        </w:rPr>
      </w:pPr>
    </w:p>
    <w:sectPr w:rsidR="008D54E2" w:rsidRPr="008D5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A7CF1"/>
    <w:multiLevelType w:val="multilevel"/>
    <w:tmpl w:val="FC9A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FD3524"/>
    <w:multiLevelType w:val="hybridMultilevel"/>
    <w:tmpl w:val="2DD82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4E2"/>
    <w:rsid w:val="008D52C4"/>
    <w:rsid w:val="008D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B9198A-B5B8-4621-8CAC-FD67D90B2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54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56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wiki.apache.org/confluence/display/AMBARI/View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wiki.apache.org/confluence/pages/viewpage.action?pageId=38571133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ortonworks.com/apache/ranger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cwiki.apache.org/confluence/display/AMBARI/Enhanced+Config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ortonworks.com/products/subscriptions/smartsen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361</Words>
  <Characters>2059</Characters>
  <Application>Microsoft Office Word</Application>
  <DocSecurity>0</DocSecurity>
  <Lines>17</Lines>
  <Paragraphs>4</Paragraphs>
  <ScaleCrop>false</ScaleCrop>
  <Company>Cognizant Technology Solutions</Company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2017-05-25T10:36:00Z</dcterms:created>
  <dcterms:modified xsi:type="dcterms:W3CDTF">2017-05-25T10:41:00Z</dcterms:modified>
</cp:coreProperties>
</file>