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Chapter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notion of a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you form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considering the set with each of the two binary operations individually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[KL 584].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p is congruent to 3 (mod 4). All finite fields are of prime power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 +, ✕) where the operations are done modulo p. The characteristic of this field is p because adding 1 p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q = p</w:t>
      </w:r>
      <w:r w:rsidDel="00000000" w:rsidR="00000000" w:rsidRPr="00000000">
        <w:rPr>
          <w:vertAlign w:val="superscript"/>
          <w:rtl w:val="0"/>
        </w:rPr>
        <w:t xml:space="preserve">r</w:t>
      </w:r>
      <w:r w:rsidDel="00000000" w:rsidR="00000000" w:rsidRPr="00000000">
        <w:rPr>
          <w:rtl w:val="0"/>
        </w:rPr>
        <w:t xml:space="preserve"> is p.</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p.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 +, ✕) is a perfect square, that is, there is an element b such that b</w:t>
      </w:r>
      <w:r w:rsidDel="00000000" w:rsidR="00000000" w:rsidRPr="00000000">
        <w:rPr>
          <w:vertAlign w:val="superscript"/>
          <w:rtl w:val="0"/>
        </w:rPr>
        <w:t xml:space="preserve">2</w:t>
      </w:r>
      <w:r w:rsidDel="00000000" w:rsidR="00000000" w:rsidRPr="00000000">
        <w:rPr>
          <w:rtl w:val="0"/>
        </w:rPr>
        <w:t xml:space="preserve"> is congruent to a mod p,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oMath>
      <w:r w:rsidDel="00000000" w:rsidR="00000000" w:rsidRPr="00000000">
        <w:rPr>
          <w:rtl w:val="0"/>
        </w:rPr>
        <w:t xml:space="preserve"> mod p.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c and p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p = 7, then </w:t>
      </w:r>
      <m:oMath>
        <m:rad>
          <m:radPr>
            <m:degHide m:val="1"/>
            <m:ctrlPr>
              <w:rPr/>
            </m:ctrlPr>
          </m:radPr>
          <m:e>
            <m:r>
              <w:rPr/>
              <m:t xml:space="preserve">a</m:t>
            </m:r>
          </m:e>
        </m:rad>
        <m:r>
          <w:rPr/>
          <m:t xml:space="preserve"> = </m:t>
        </m:r>
        <m:sSup>
          <m:sSupPr>
            <m:ctrlPr>
              <w:rPr/>
            </m:ctrlPr>
          </m:sSupPr>
          <m:e>
            <m:r>
              <w:rPr/>
              <m:t xml:space="preserve">a</m:t>
            </m:r>
          </m:e>
          <m:sup>
            <m:r>
              <w:rPr/>
              <m:t xml:space="preserve">2</m:t>
            </m:r>
          </m:sup>
        </m:sSup>
      </m:oMath>
      <w:r w:rsidDel="00000000" w:rsidR="00000000" w:rsidRPr="00000000">
        <w:rPr>
          <w:rtl w:val="0"/>
        </w:rPr>
        <w:t xml:space="preserve">. Testing if a = 2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