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54B4" w14:textId="526B3F9B" w:rsidR="00B5098E" w:rsidRDefault="009A2AA8" w:rsidP="009A2AA8">
      <w:pPr>
        <w:pStyle w:val="Heading1"/>
      </w:pPr>
      <w:r>
        <w:t>Values and principals</w:t>
      </w:r>
    </w:p>
    <w:p w14:paraId="37029CCC" w14:textId="1C805A7D" w:rsidR="009A2AA8" w:rsidRDefault="009A2AA8" w:rsidP="009A2AA8">
      <w:pPr>
        <w:rPr>
          <w:i/>
          <w:iCs/>
        </w:rPr>
      </w:pPr>
      <w:r>
        <w:rPr>
          <w:i/>
          <w:iCs/>
        </w:rPr>
        <w:t>Version 8-7-2026</w:t>
      </w:r>
    </w:p>
    <w:p w14:paraId="119116AA" w14:textId="565CBB00" w:rsidR="009A2AA8" w:rsidRDefault="1FD49876" w:rsidP="009A2AA8">
      <w:pPr>
        <w:pStyle w:val="Heading2"/>
      </w:pPr>
      <w:r>
        <w:t>Values</w:t>
      </w:r>
    </w:p>
    <w:tbl>
      <w:tblPr>
        <w:tblpPr w:leftFromText="141" w:rightFromText="141" w:vertAnchor="page" w:horzAnchor="margin" w:tblpY="3961"/>
        <w:tblW w:w="96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1838"/>
        <w:gridCol w:w="7787"/>
      </w:tblGrid>
      <w:tr w:rsidR="009A2AA8" w14:paraId="55DE7574" w14:textId="77777777" w:rsidTr="009A2AA8">
        <w:trPr>
          <w:trHeight w:val="295"/>
          <w:tblHeader/>
        </w:trPr>
        <w:tc>
          <w:tcPr>
            <w:tcW w:w="1838"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6FAE27B8" w14:textId="77777777" w:rsidR="009A2AA8" w:rsidRDefault="009A2AA8" w:rsidP="009A2AA8">
            <w:pPr>
              <w:pStyle w:val="TableStyle1"/>
            </w:pPr>
            <w:r>
              <w:rPr>
                <w:rFonts w:eastAsia="Arial Unicode MS" w:cs="Arial Unicode MS"/>
              </w:rPr>
              <w:t>Value</w:t>
            </w:r>
          </w:p>
        </w:tc>
        <w:tc>
          <w:tcPr>
            <w:tcW w:w="7787" w:type="dxa"/>
            <w:tcBorders>
              <w:top w:val="single" w:sz="2" w:space="0" w:color="000000"/>
              <w:left w:val="single" w:sz="2" w:space="0" w:color="000000"/>
              <w:bottom w:val="single" w:sz="6" w:space="0" w:color="000000"/>
              <w:right w:val="single" w:sz="2" w:space="0" w:color="000000"/>
            </w:tcBorders>
            <w:shd w:val="clear" w:color="auto" w:fill="BDC0BF"/>
            <w:tcMar>
              <w:top w:w="80" w:type="dxa"/>
              <w:left w:w="80" w:type="dxa"/>
              <w:bottom w:w="80" w:type="dxa"/>
              <w:right w:w="80" w:type="dxa"/>
            </w:tcMar>
          </w:tcPr>
          <w:p w14:paraId="0736A181" w14:textId="77777777" w:rsidR="009A2AA8" w:rsidRDefault="009A2AA8" w:rsidP="009A2AA8"/>
        </w:tc>
      </w:tr>
      <w:tr w:rsidR="009A2AA8" w:rsidRPr="001C3186" w14:paraId="43D2D180" w14:textId="77777777" w:rsidTr="009A2AA8">
        <w:tblPrEx>
          <w:shd w:val="clear" w:color="auto" w:fill="auto"/>
        </w:tblPrEx>
        <w:trPr>
          <w:trHeight w:val="725"/>
        </w:trPr>
        <w:tc>
          <w:tcPr>
            <w:tcW w:w="1838" w:type="dxa"/>
            <w:tcBorders>
              <w:top w:val="single" w:sz="6"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524CC7B2" w14:textId="77777777" w:rsidR="009A2AA8" w:rsidRDefault="009A2AA8" w:rsidP="009A2AA8">
            <w:pPr>
              <w:pStyle w:val="TableStyle1"/>
            </w:pPr>
            <w:proofErr w:type="spellStart"/>
            <w:r>
              <w:rPr>
                <w:rFonts w:eastAsia="Arial Unicode MS" w:cs="Arial Unicode MS"/>
              </w:rPr>
              <w:t>Quality</w:t>
            </w:r>
            <w:proofErr w:type="spellEnd"/>
            <w:r>
              <w:rPr>
                <w:rFonts w:eastAsia="Arial Unicode MS" w:cs="Arial Unicode MS"/>
              </w:rPr>
              <w:t xml:space="preserve"> and </w:t>
            </w:r>
            <w:proofErr w:type="spellStart"/>
            <w:r>
              <w:rPr>
                <w:rFonts w:eastAsia="Arial Unicode MS" w:cs="Arial Unicode MS"/>
              </w:rPr>
              <w:t>integrity</w:t>
            </w:r>
            <w:proofErr w:type="spellEnd"/>
          </w:p>
        </w:tc>
        <w:tc>
          <w:tcPr>
            <w:tcW w:w="7787" w:type="dxa"/>
            <w:tcBorders>
              <w:top w:val="single" w:sz="6" w:space="0" w:color="000000"/>
              <w:left w:val="single" w:sz="6" w:space="0" w:color="000000"/>
              <w:bottom w:val="single" w:sz="2" w:space="0" w:color="000000"/>
              <w:right w:val="single" w:sz="2" w:space="0" w:color="000000"/>
            </w:tcBorders>
            <w:tcMar>
              <w:top w:w="80" w:type="dxa"/>
              <w:left w:w="80" w:type="dxa"/>
              <w:bottom w:w="80" w:type="dxa"/>
              <w:right w:w="80" w:type="dxa"/>
            </w:tcMar>
          </w:tcPr>
          <w:p w14:paraId="6695C85C" w14:textId="77777777" w:rsidR="009A2AA8" w:rsidRDefault="009A2AA8" w:rsidP="009A2AA8">
            <w:pPr>
              <w:pStyle w:val="TableStyle2"/>
            </w:pPr>
            <w:r>
              <w:t xml:space="preserve">“Quality and integrity” </w:t>
            </w:r>
            <w:proofErr w:type="spellStart"/>
            <w:r>
              <w:rPr>
                <w:b/>
                <w:bCs/>
                <w:smallCaps/>
              </w:rPr>
              <w:t>unesco</w:t>
            </w:r>
            <w:proofErr w:type="spellEnd"/>
          </w:p>
          <w:p w14:paraId="1B346351" w14:textId="77777777" w:rsidR="009A2AA8" w:rsidRDefault="009A2AA8" w:rsidP="009A2AA8">
            <w:pPr>
              <w:pStyle w:val="TableStyle2"/>
            </w:pPr>
            <w:r>
              <w:rPr>
                <w:rtl/>
                <w:lang w:val="ar-SA"/>
              </w:rPr>
              <w:t>“</w:t>
            </w:r>
            <w:r>
              <w:t xml:space="preserve">Reproducibility and scrutiny are essential to safeguard the quality and integrity of scientific work” </w:t>
            </w:r>
            <w:proofErr w:type="spellStart"/>
            <w:r>
              <w:rPr>
                <w:b/>
                <w:bCs/>
                <w:smallCaps/>
              </w:rPr>
              <w:t>npos</w:t>
            </w:r>
            <w:proofErr w:type="spellEnd"/>
          </w:p>
        </w:tc>
      </w:tr>
      <w:tr w:rsidR="009A2AA8" w:rsidRPr="001C3186" w14:paraId="66CEBAFF" w14:textId="77777777" w:rsidTr="009A2AA8">
        <w:tblPrEx>
          <w:shd w:val="clear" w:color="auto" w:fill="auto"/>
        </w:tblPrEx>
        <w:trPr>
          <w:trHeight w:val="481"/>
        </w:trPr>
        <w:tc>
          <w:tcPr>
            <w:tcW w:w="18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09BBE263" w14:textId="77777777" w:rsidR="009A2AA8" w:rsidRDefault="009A2AA8" w:rsidP="009A2AA8">
            <w:pPr>
              <w:pStyle w:val="TableStyle1"/>
            </w:pPr>
            <w:proofErr w:type="spellStart"/>
            <w:r>
              <w:rPr>
                <w:rFonts w:eastAsia="Arial Unicode MS" w:cs="Arial Unicode MS"/>
              </w:rPr>
              <w:t>Collective</w:t>
            </w:r>
            <w:proofErr w:type="spellEnd"/>
            <w:r>
              <w:rPr>
                <w:rFonts w:eastAsia="Arial Unicode MS" w:cs="Arial Unicode MS"/>
              </w:rPr>
              <w:t xml:space="preserve"> benefit</w:t>
            </w:r>
          </w:p>
        </w:tc>
        <w:tc>
          <w:tcPr>
            <w:tcW w:w="7787" w:type="dxa"/>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tcPr>
          <w:p w14:paraId="07E89D00" w14:textId="77777777" w:rsidR="009A2AA8" w:rsidRDefault="009A2AA8" w:rsidP="009A2AA8">
            <w:pPr>
              <w:pStyle w:val="TableStyle2"/>
            </w:pPr>
            <w:r>
              <w:t xml:space="preserve">“Collective benefit” </w:t>
            </w:r>
            <w:proofErr w:type="spellStart"/>
            <w:r>
              <w:rPr>
                <w:b/>
                <w:bCs/>
                <w:smallCaps/>
              </w:rPr>
              <w:t>unesco</w:t>
            </w:r>
            <w:proofErr w:type="spellEnd"/>
          </w:p>
          <w:p w14:paraId="01DBC2D9" w14:textId="77777777" w:rsidR="009A2AA8" w:rsidRDefault="009A2AA8" w:rsidP="009A2AA8">
            <w:pPr>
              <w:pStyle w:val="TableStyle2"/>
            </w:pPr>
            <w:r>
              <w:t xml:space="preserve">“Scientific knowledge is a public good and access to it is a universal right ” </w:t>
            </w:r>
            <w:proofErr w:type="spellStart"/>
            <w:r>
              <w:rPr>
                <w:b/>
                <w:bCs/>
                <w:smallCaps/>
              </w:rPr>
              <w:t>npos</w:t>
            </w:r>
            <w:proofErr w:type="spellEnd"/>
          </w:p>
        </w:tc>
      </w:tr>
      <w:tr w:rsidR="009A2AA8" w:rsidRPr="001C3186" w14:paraId="59358B8A" w14:textId="77777777" w:rsidTr="009A2AA8">
        <w:tblPrEx>
          <w:shd w:val="clear" w:color="auto" w:fill="auto"/>
        </w:tblPrEx>
        <w:trPr>
          <w:trHeight w:val="922"/>
        </w:trPr>
        <w:tc>
          <w:tcPr>
            <w:tcW w:w="1838" w:type="dxa"/>
            <w:tcBorders>
              <w:top w:val="single" w:sz="2" w:space="0" w:color="000000"/>
              <w:left w:val="single" w:sz="2" w:space="0" w:color="000000"/>
              <w:bottom w:val="single" w:sz="2" w:space="0" w:color="000000"/>
              <w:right w:val="single" w:sz="6" w:space="0" w:color="000000"/>
            </w:tcBorders>
            <w:shd w:val="clear" w:color="auto" w:fill="DCDCDC"/>
            <w:tcMar>
              <w:top w:w="80" w:type="dxa"/>
              <w:left w:w="80" w:type="dxa"/>
              <w:bottom w:w="80" w:type="dxa"/>
              <w:right w:w="80" w:type="dxa"/>
            </w:tcMar>
          </w:tcPr>
          <w:p w14:paraId="23E8C360" w14:textId="77777777" w:rsidR="009A2AA8" w:rsidRPr="007767B4" w:rsidRDefault="009A2AA8" w:rsidP="009A2AA8">
            <w:pPr>
              <w:pStyle w:val="TableStyle1"/>
              <w:rPr>
                <w:lang w:val="en-GB"/>
              </w:rPr>
            </w:pPr>
            <w:r w:rsidRPr="007767B4">
              <w:rPr>
                <w:rFonts w:eastAsia="Arial Unicode MS" w:cs="Arial Unicode MS"/>
                <w:lang w:val="en-GB"/>
              </w:rPr>
              <w:t>Equity, fairness, diversity and inclusion</w:t>
            </w:r>
          </w:p>
        </w:tc>
        <w:tc>
          <w:tcPr>
            <w:tcW w:w="7787" w:type="dxa"/>
            <w:tcBorders>
              <w:top w:val="single" w:sz="2" w:space="0" w:color="000000"/>
              <w:left w:val="single" w:sz="6" w:space="0" w:color="000000"/>
              <w:bottom w:val="single" w:sz="2" w:space="0" w:color="000000"/>
              <w:right w:val="single" w:sz="2" w:space="0" w:color="000000"/>
            </w:tcBorders>
            <w:tcMar>
              <w:top w:w="80" w:type="dxa"/>
              <w:left w:w="80" w:type="dxa"/>
              <w:bottom w:w="80" w:type="dxa"/>
              <w:right w:w="80" w:type="dxa"/>
            </w:tcMar>
          </w:tcPr>
          <w:p w14:paraId="339BF239" w14:textId="77777777" w:rsidR="009A2AA8" w:rsidRDefault="009A2AA8" w:rsidP="009A2AA8">
            <w:pPr>
              <w:pStyle w:val="TableStyle2"/>
            </w:pPr>
            <w:r>
              <w:t xml:space="preserve">“Equity and fairness” </w:t>
            </w:r>
            <w:proofErr w:type="spellStart"/>
            <w:r>
              <w:rPr>
                <w:b/>
                <w:bCs/>
                <w:smallCaps/>
              </w:rPr>
              <w:t>unesco</w:t>
            </w:r>
            <w:proofErr w:type="spellEnd"/>
          </w:p>
          <w:p w14:paraId="00A83EF7" w14:textId="77777777" w:rsidR="009A2AA8" w:rsidRDefault="009A2AA8" w:rsidP="009A2AA8">
            <w:pPr>
              <w:pStyle w:val="TableStyle2"/>
            </w:pPr>
            <w:r>
              <w:t xml:space="preserve">“Diversity and inclusiveness” </w:t>
            </w:r>
            <w:proofErr w:type="spellStart"/>
            <w:r>
              <w:rPr>
                <w:b/>
                <w:bCs/>
                <w:smallCaps/>
              </w:rPr>
              <w:t>unesco</w:t>
            </w:r>
            <w:proofErr w:type="spellEnd"/>
          </w:p>
          <w:p w14:paraId="51843D6E" w14:textId="77777777" w:rsidR="009A2AA8" w:rsidRDefault="009A2AA8" w:rsidP="009A2AA8">
            <w:pPr>
              <w:pStyle w:val="TableStyle2"/>
            </w:pPr>
            <w:r>
              <w:rPr>
                <w:rtl/>
                <w:lang w:val="ar-SA"/>
              </w:rPr>
              <w:t>“</w:t>
            </w:r>
            <w:r>
              <w:t xml:space="preserve">Diversity, equity, and inclusiveness are crucial for the success of Open Science” </w:t>
            </w:r>
            <w:proofErr w:type="spellStart"/>
            <w:r>
              <w:rPr>
                <w:b/>
                <w:bCs/>
                <w:smallCaps/>
              </w:rPr>
              <w:t>npos</w:t>
            </w:r>
            <w:proofErr w:type="spellEnd"/>
          </w:p>
        </w:tc>
      </w:tr>
    </w:tbl>
    <w:p w14:paraId="697F9220" w14:textId="6F31496E" w:rsidR="009A2AA8" w:rsidRDefault="009A2AA8" w:rsidP="009A2AA8">
      <w:pPr>
        <w:rPr>
          <w:lang w:val="en-GB"/>
        </w:rPr>
      </w:pPr>
      <w:r w:rsidRPr="009A2AA8">
        <w:rPr>
          <w:lang w:val="en-GB"/>
        </w:rPr>
        <w:t>Values can be seen as shared commitments</w:t>
      </w:r>
      <w:r>
        <w:rPr>
          <w:lang w:val="en-GB"/>
        </w:rPr>
        <w:t>. The values of the UNESCO and NPOS are taken as a point of departure for developing the principles for the Open Science infrastructure.</w:t>
      </w:r>
      <w:r w:rsidRPr="009A2AA8">
        <w:rPr>
          <w:lang w:val="en-GB"/>
        </w:rPr>
        <w:t xml:space="preserve"> Principles and subprinciples as actionable guidelines</w:t>
      </w:r>
      <w:r>
        <w:rPr>
          <w:lang w:val="en-GB"/>
        </w:rPr>
        <w:t xml:space="preserve"> that can be made operational (actions, enablers, practices or consequences).</w:t>
      </w:r>
    </w:p>
    <w:p w14:paraId="618A20DF" w14:textId="77777777" w:rsidR="009A2AA8" w:rsidRDefault="009A2AA8" w:rsidP="009A2AA8">
      <w:pPr>
        <w:rPr>
          <w:lang w:val="en-GB"/>
        </w:rPr>
      </w:pPr>
    </w:p>
    <w:p w14:paraId="4C743F56" w14:textId="77777777" w:rsidR="009A2AA8" w:rsidRDefault="009A2AA8" w:rsidP="009A2AA8">
      <w:pPr>
        <w:rPr>
          <w:lang w:val="en-GB"/>
        </w:rPr>
      </w:pPr>
    </w:p>
    <w:p w14:paraId="1F5D0185" w14:textId="77777777" w:rsidR="009A2AA8" w:rsidRDefault="009A2AA8" w:rsidP="009A2AA8">
      <w:pPr>
        <w:rPr>
          <w:lang w:val="en-GB"/>
        </w:rPr>
      </w:pPr>
    </w:p>
    <w:p w14:paraId="596903FE" w14:textId="77777777" w:rsidR="009A2AA8" w:rsidRDefault="009A2AA8" w:rsidP="009A2AA8">
      <w:pPr>
        <w:rPr>
          <w:lang w:val="en-GB"/>
        </w:rPr>
      </w:pPr>
    </w:p>
    <w:p w14:paraId="024CEED7" w14:textId="77777777" w:rsidR="009A2AA8" w:rsidRDefault="009A2AA8" w:rsidP="009A2AA8">
      <w:pPr>
        <w:rPr>
          <w:lang w:val="en-GB"/>
        </w:rPr>
      </w:pPr>
    </w:p>
    <w:p w14:paraId="53536D34" w14:textId="77777777" w:rsidR="009A2AA8" w:rsidRDefault="009A2AA8" w:rsidP="009A2AA8">
      <w:pPr>
        <w:rPr>
          <w:lang w:val="en-GB"/>
        </w:rPr>
      </w:pPr>
    </w:p>
    <w:p w14:paraId="5CB455AB" w14:textId="77777777" w:rsidR="009A2AA8" w:rsidRDefault="009A2AA8" w:rsidP="009A2AA8">
      <w:pPr>
        <w:rPr>
          <w:lang w:val="en-GB"/>
        </w:rPr>
      </w:pPr>
    </w:p>
    <w:p w14:paraId="07568B93" w14:textId="77777777" w:rsidR="009A2AA8" w:rsidRDefault="009A2AA8" w:rsidP="009A2AA8">
      <w:pPr>
        <w:rPr>
          <w:lang w:val="en-GB"/>
        </w:rPr>
      </w:pPr>
    </w:p>
    <w:p w14:paraId="7BE03410" w14:textId="77777777" w:rsidR="009A2AA8" w:rsidRDefault="009A2AA8" w:rsidP="009A2AA8">
      <w:pPr>
        <w:rPr>
          <w:lang w:val="en-GB"/>
        </w:rPr>
      </w:pPr>
    </w:p>
    <w:p w14:paraId="4ABB354A" w14:textId="77777777" w:rsidR="009A2AA8" w:rsidRDefault="009A2AA8" w:rsidP="009A2AA8">
      <w:pPr>
        <w:rPr>
          <w:lang w:val="en-GB"/>
        </w:rPr>
      </w:pPr>
    </w:p>
    <w:p w14:paraId="714D18B5" w14:textId="77777777" w:rsidR="009A2AA8" w:rsidRDefault="009A2AA8" w:rsidP="009A2AA8">
      <w:pPr>
        <w:rPr>
          <w:lang w:val="en-GB"/>
        </w:rPr>
      </w:pPr>
    </w:p>
    <w:p w14:paraId="36313D3B" w14:textId="77777777" w:rsidR="009A2AA8" w:rsidRDefault="009A2AA8" w:rsidP="009A2AA8">
      <w:pPr>
        <w:rPr>
          <w:lang w:val="en-GB"/>
        </w:rPr>
      </w:pPr>
    </w:p>
    <w:p w14:paraId="1335A983" w14:textId="77777777" w:rsidR="009A2AA8" w:rsidRDefault="009A2AA8" w:rsidP="009A2AA8">
      <w:pPr>
        <w:rPr>
          <w:lang w:val="en-GB"/>
        </w:rPr>
      </w:pPr>
    </w:p>
    <w:p w14:paraId="0C27D1CA" w14:textId="77777777" w:rsidR="009A2AA8" w:rsidRDefault="009A2AA8" w:rsidP="009A2AA8">
      <w:pPr>
        <w:rPr>
          <w:lang w:val="en-GB"/>
        </w:rPr>
      </w:pPr>
    </w:p>
    <w:p w14:paraId="3D9C72E4" w14:textId="1D0A7826" w:rsidR="009A2AA8" w:rsidRPr="0006134D" w:rsidRDefault="009A2AA8" w:rsidP="009A2AA8">
      <w:pPr>
        <w:pStyle w:val="Heading2"/>
        <w:rPr>
          <w:lang w:val="fr-FR"/>
        </w:rPr>
      </w:pPr>
      <w:r w:rsidRPr="0006134D">
        <w:rPr>
          <w:lang w:val="fr-FR"/>
        </w:rPr>
        <w:lastRenderedPageBreak/>
        <w:t>P</w:t>
      </w:r>
      <w:r w:rsidR="0006134D" w:rsidRPr="0006134D">
        <w:rPr>
          <w:lang w:val="fr-FR"/>
        </w:rPr>
        <w:t xml:space="preserve">rinciples, subprinciples, </w:t>
      </w:r>
      <w:r w:rsidR="0006134D">
        <w:rPr>
          <w:lang w:val="fr-FR"/>
        </w:rPr>
        <w:t>actions</w:t>
      </w:r>
      <w:r w:rsidR="00AF3039">
        <w:rPr>
          <w:lang w:val="fr-FR"/>
        </w:rPr>
        <w:t>/enablers/practices/consequences</w:t>
      </w:r>
    </w:p>
    <w:tbl>
      <w:tblPr>
        <w:tblpPr w:leftFromText="141" w:rightFromText="141" w:vertAnchor="page" w:horzAnchor="margin" w:tblpY="1831"/>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ook w:val="04A0" w:firstRow="1" w:lastRow="0" w:firstColumn="1" w:lastColumn="0" w:noHBand="0" w:noVBand="1"/>
      </w:tblPr>
      <w:tblGrid>
        <w:gridCol w:w="4425"/>
        <w:gridCol w:w="4395"/>
        <w:gridCol w:w="5070"/>
      </w:tblGrid>
      <w:tr w:rsidR="009A2AA8" w:rsidRPr="009A2AA8" w14:paraId="7FEB1A47" w14:textId="77777777" w:rsidTr="45D2306D">
        <w:trPr>
          <w:trHeight w:val="226"/>
          <w:tblHeader/>
        </w:trPr>
        <w:tc>
          <w:tcPr>
            <w:tcW w:w="4425" w:type="dxa"/>
            <w:tcBorders>
              <w:top w:val="single" w:sz="2" w:space="0" w:color="000000" w:themeColor="text1"/>
              <w:left w:val="single" w:sz="2" w:space="0" w:color="000000" w:themeColor="text1"/>
              <w:bottom w:val="single" w:sz="6" w:space="0" w:color="000000" w:themeColor="text1"/>
              <w:right w:val="single" w:sz="2" w:space="0" w:color="000000" w:themeColor="text1"/>
            </w:tcBorders>
            <w:shd w:val="clear" w:color="auto" w:fill="BDC0BF"/>
            <w:tcMar>
              <w:top w:w="80" w:type="dxa"/>
              <w:left w:w="80" w:type="dxa"/>
              <w:bottom w:w="80" w:type="dxa"/>
              <w:right w:w="80" w:type="dxa"/>
            </w:tcMar>
          </w:tcPr>
          <w:p w14:paraId="71C12E27"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Principle</w:t>
            </w:r>
          </w:p>
        </w:tc>
        <w:tc>
          <w:tcPr>
            <w:tcW w:w="4395" w:type="dxa"/>
            <w:tcBorders>
              <w:top w:val="single" w:sz="2" w:space="0" w:color="000000" w:themeColor="text1"/>
              <w:left w:val="single" w:sz="2" w:space="0" w:color="000000" w:themeColor="text1"/>
              <w:bottom w:val="single" w:sz="6" w:space="0" w:color="000000" w:themeColor="text1"/>
              <w:right w:val="single" w:sz="2" w:space="0" w:color="000000" w:themeColor="text1"/>
            </w:tcBorders>
            <w:shd w:val="clear" w:color="auto" w:fill="BDC0BF"/>
            <w:tcMar>
              <w:top w:w="80" w:type="dxa"/>
              <w:left w:w="80" w:type="dxa"/>
              <w:bottom w:w="80" w:type="dxa"/>
              <w:right w:w="80" w:type="dxa"/>
            </w:tcMar>
          </w:tcPr>
          <w:p w14:paraId="1B147892"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Subprinciples</w:t>
            </w:r>
          </w:p>
        </w:tc>
        <w:tc>
          <w:tcPr>
            <w:tcW w:w="5070" w:type="dxa"/>
            <w:tcBorders>
              <w:top w:val="single" w:sz="2" w:space="0" w:color="000000" w:themeColor="text1"/>
              <w:left w:val="single" w:sz="2" w:space="0" w:color="000000" w:themeColor="text1"/>
              <w:bottom w:val="single" w:sz="6" w:space="0" w:color="000000" w:themeColor="text1"/>
              <w:right w:val="single" w:sz="2" w:space="0" w:color="000000" w:themeColor="text1"/>
            </w:tcBorders>
            <w:shd w:val="clear" w:color="auto" w:fill="BDC0BF"/>
            <w:tcMar>
              <w:top w:w="80" w:type="dxa"/>
              <w:left w:w="80" w:type="dxa"/>
              <w:bottom w:w="80" w:type="dxa"/>
              <w:right w:w="80" w:type="dxa"/>
            </w:tcMar>
          </w:tcPr>
          <w:p w14:paraId="7B6229D0" w14:textId="0455280A"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Actions, enablers, practices, c</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onsequences</w:t>
            </w:r>
          </w:p>
        </w:tc>
      </w:tr>
      <w:tr w:rsidR="009A2AA8" w:rsidRPr="001C3186" w14:paraId="710BDBFF" w14:textId="77777777" w:rsidTr="45D2306D">
        <w:tblPrEx>
          <w:shd w:val="clear" w:color="auto" w:fill="auto"/>
        </w:tblPrEx>
        <w:trPr>
          <w:trHeight w:val="1971"/>
        </w:trPr>
        <w:tc>
          <w:tcPr>
            <w:tcW w:w="4425" w:type="dxa"/>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795C1099" w14:textId="4C4E7E59" w:rsidR="009A2AA8" w:rsidRPr="00C05B0E" w:rsidRDefault="009A2AA8" w:rsidP="00C05B0E">
            <w:pPr>
              <w:pStyle w:val="ListParagraph"/>
              <w:numPr>
                <w:ilvl w:val="0"/>
                <w:numId w:val="3"/>
              </w:num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C05B0E">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Openness</w:t>
            </w:r>
          </w:p>
          <w:p w14:paraId="5BF5B2B2" w14:textId="77777777" w:rsidR="009A2AA8" w:rsidRPr="009A2AA8" w:rsidRDefault="009A2AA8" w:rsidP="009A2AA8">
            <w:pPr>
              <w:pBdr>
                <w:top w:val="nil"/>
                <w:left w:val="nil"/>
                <w:bottom w:val="nil"/>
                <w:right w:val="nil"/>
                <w:between w:val="nil"/>
                <w:bar w:val="nil"/>
              </w:pBdr>
              <w:spacing w:before="0" w:after="0" w:line="240" w:lineRule="auto"/>
              <w:ind w:left="113"/>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t>Scientific outputs and processes must be as open as possible, but as restricted as necessary</w:t>
            </w:r>
            <w:r w:rsidRPr="009A2AA8">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{"citationID":"mScFuzaN","properties":{"unsorted":false,"formattedCitation":"\\super 1\\nosupersub{}","plainCitation":"1","noteIndex":0},"citationItems":[{"id":1178,"uris":["http://zotero.org/users/6554263/items/4PJIDTAD"],"itemData":{"id":1178,"type":"report","abstract":"Since the launch of NPOS in 2017, progress has been made in many aspects of the transition to Open Science. These developments and insights have been included in the NPOS2030 Ambition Document and Rolling Agenda, or will play a role as we collectively move into a new implementation phase. Through an open consultation, 78 institutions, networks, communities and individuals previously contributed to the Ambition Document. The Rolling Agenda was then written by several writing teams, and has the support of partners involved in the NPOS Steering Committee, the Advisory Board and the Rolling Agenda editorial board. This latest version of the Ambition Document and Rolling Agenda has been presented to Minister Dijkgraaf. This marks the end of the National Programme Open Science. With 20 million euros made available annually by the Ministry of Education, Culture and Science to stimulate our Open Science ambitions, the facilitating role of the NPOS will be passed on to the Regieorgaan Open Science being set up within NWO. An important task of the Regieorgaan will be to enable the plans developed in recent years by providing temporary impulse funding. In addition, the Regieorgaan will play a role in continuing to bring parties, organisations and communities together at various levels, including the national administrative-level consultations on open science. Further elaboration of this will be precipitated in a covenant that will form the basis for the establishment of the Regieorgaan.","DOI":"10.5281/ZENODO.7433767","language":"en","license":"Creative Commons Attribution 4.0 International, Open Access","note":"version: Approved version","publisher":"Zenodo","source":"DOI.org (Datacite)","title":"Open Science 2030 in the Netherlands: NPOS2030 Ambition Document and Rolling Agenda","title-short":"Open Science 2030 in the Netherlands","URL":"https://zenodo.org/record/7433767","author":[{"literal":"NPOS"}],"accessed":{"date-parts":[["2025",2,23]]},"issued":{"date-parts":[["2022",12,13]]}}}],"schema":"https://github.com/citation-style-language/schema/raw/master/csl-citation.json"} </w:instrText>
            </w:r>
            <w:r w:rsidRPr="009A2AA8">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Arial Unicode MS" w:hAnsi="Helvetica Neue" w:cs="Times New Roman"/>
                <w:color w:val="000000"/>
                <w:kern w:val="0"/>
                <w:sz w:val="20"/>
                <w:szCs w:val="20"/>
                <w:bdr w:val="nil"/>
                <w:vertAlign w:val="superscript"/>
                <w:lang w:val="en-GB" w:eastAsia="nl-NL"/>
                <w14:textOutline w14:w="0" w14:cap="flat" w14:cmpd="sng" w14:algn="ctr">
                  <w14:noFill/>
                  <w14:prstDash w14:val="solid"/>
                  <w14:bevel/>
                </w14:textOutline>
                <w14:ligatures w14:val="none"/>
              </w:rPr>
              <w:t>1</w:t>
            </w:r>
            <w:r w:rsidRPr="009A2AA8">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fldChar w:fldCharType="end"/>
            </w:r>
          </w:p>
        </w:tc>
        <w:tc>
          <w:tcPr>
            <w:tcW w:w="4395" w:type="dxa"/>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7BD52CE7" w14:textId="77777777" w:rsidR="009A2AA8" w:rsidRPr="009A2AA8" w:rsidRDefault="009A2AA8" w:rsidP="009A2AA8">
            <w:pPr>
              <w:numPr>
                <w:ilvl w:val="1"/>
                <w:numId w:val="2"/>
              </w:numPr>
              <w:pBdr>
                <w:top w:val="nil"/>
                <w:left w:val="nil"/>
                <w:bottom w:val="nil"/>
                <w:right w:val="nil"/>
                <w:between w:val="nil"/>
                <w:bar w:val="nil"/>
              </w:pBdr>
              <w:spacing w:before="0" w:after="0" w:line="240" w:lineRule="auto"/>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Transparency</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{"citationID":"nRrc40nu","properties":{"unsorted":false,"formattedCitation":"\\super 2,3\\nosupersub{}","plainCitation":"2,3","noteIndex":0},"citationItems":[{"id":1335,"uris":["http://zotero.org/users/6554263/items/DBBBKKV9"],"itemData":{"id":1335,"type":"webpage","title":"UNESCO Recommendation on Open Science - UNESCO Digital Library","URL":"https://unesdoc.unesco.org/ark:/48223/pf0000379949","accessed":{"date-parts":[["2026",7,7]]}}},{"id":1173,"uris":["http://zotero.org/users/6554263/items/SJIEDB2Q"],"itemData":{"id":1173,"type":"article-journal","abstract":"As information and communication technology has become pervasive in our society, we are increasingly dependent on both digital data and repositories that provide access to and enable the use of such resources. Repositories must earn the trust of the communities they intend to serve and demonstrate that they are reliable and capable of appropriately managing the data they hold.","container-title":"Scientific Data","DOI":"10.1038/s41597-020-0486-7","ISSN":"2052-4463","issue":"1","journalAbbreviation":"Sci Data","language":"en","license":"2020 This is a U.S. government work and not under copyright protection in the U.S.; foreign copyright protection may apply","page":"144","publisher":"Nature Publishing Group","source":"www.nature.com","title":"The TRUST Principles for digital repositories","volume":"7","author":[{"family":"Lin","given":"Dawei"},{"family":"Crabtree","given":"Jonathan"},{"family":"Dillo","given":"Ingrid"},{"family":"Downs","given":"Robert R."},{"family":"Edmunds","given":"Rorie"},{"family":"Giaretta","given":"David"},{"family":"De Giusti","given":"Marisa"},{"family":"L’Hours","given":"Hervé"},{"family":"Hugo","given":"Wim"},{"family":"Jenkyns","given":"Reyna"},{"family":"Khodiyar","given":"Varsha"},{"family":"Martone","given":"Maryann E."},{"family":"Mokrane","given":"Mustapha"},{"family":"Navale","given":"Vivek"},{"family":"Petters","given":"Jonathan"},{"family":"Sierman","given":"Barbara"},{"family":"Sokolova","given":"Dina V."},{"family":"Stockhause","given":"Martina"},{"family":"Westbrook","given":"John"}],"issued":{"date-parts":[["2020",5,14]]}}}],"schema":"https://github.com/citation-style-language/schema/raw/master/csl-citation.json"}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2,3</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w:t>
            </w:r>
          </w:p>
          <w:p w14:paraId="3C289CBE" w14:textId="77777777" w:rsidR="009A2AA8" w:rsidRPr="009A2AA8" w:rsidRDefault="009A2AA8" w:rsidP="009A2AA8">
            <w:pPr>
              <w:numPr>
                <w:ilvl w:val="2"/>
                <w:numId w:val="1"/>
              </w:numPr>
              <w:pBdr>
                <w:top w:val="nil"/>
                <w:left w:val="nil"/>
                <w:bottom w:val="nil"/>
                <w:right w:val="nil"/>
                <w:between w:val="nil"/>
                <w:bar w:val="nil"/>
              </w:pBdr>
              <w:spacing w:before="0" w:after="0" w:line="240" w:lineRule="auto"/>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t>Governance</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{"citationID":"AJu7CaAi","properties":{"unsorted":false,"formattedCitation":"\\super 4\\nosupersub{}","plainCitation":"4","noteIndex":0},"citationItems":[{"id":1345,"uris":["http://zotero.org/users/6554263/items/3QNWV44G"],"itemData":{"id":1345,"type":"webpage","abstract":"POSI version 2.0 released October 2025\nThe POSI Adopters reviewed the version 1.1 principles and consulted with the community to create version 2.0, released in October 2025. The new/always-current version is below.\nPrevious POSI versions\n\nversion 1.1 from 2023. Marked up changes from version 1.1 to 2.0 with explanations (PDF)\nversion 1.0 from 2015. Marked-up changes from version 1.0 to 1.1 with explanations (PDF)\n\n\n\n  \n\nGovernance\n\nCoverage across the scholarly enterprise –  research transcends disciplines, geography, institutions, and stakeholders. Organisations and the infrastructure they run need to reflect this.\nStakeholder governed – a board-governed organisation drawn from the stakeholder community builds confidence that the organisation will make decisions driven by community consensus and a balance of interests.\nNon-discriminatory participation or membership – we see the best option to be an “opt-in” approach with principles of non-discrimination and inclusivity, where any relevant group may express an interest and should be welcome. Representation in governance must reflect the character of the community or membership.\nTransparent governance –  to foster trust, the processes and policies for governing the organisation and selecting representatives to governance groups should be transparent (within the constraints of privacy laws).\nCannot lobby – infrastructure organisations should not lobby for regulatory change to cement their own positions or narrow self-interest. However, an infrastructure organisation’s role is to support its community, and this can include advocating for policy changes.\nLiving will – to build trust, organisations should establish and communicate clear commitments regarding their long-term stewardship responsibilities, including the principles by which assets, data, resources, services, and staff would be responsibly transferred to a successor or the organisation or service wound down. The commitments should address future governance, with defined criteria for acceptable successor organisations. This should include continued alignment with POSI and any legal or structural constraints.\nRegular review of purpose and community value – organisations and services should regularly review their relevance, effectiveness, and the level of community support to determine whether their continued operation is necessary. If no longer needed, they should take responsible steps to transition or wind down operations in consultation with the community and in alignment with their living will.\n\nSustainability\n\nTransparent operations - to enable organisational accountability and openness, the operating policies and procedures, detailed financials, sustainability models, fees, strategic and product roadmaps, organisational charts, and other appropriate operational information should be made openly available (within the constraints of privacy laws). Information should be available for investigation and reuse by the community.\nTime-limited funds are used only for time-limited activities – operations should be supported by sustainable revenue sources, whereas time-limited funds are used only for time-limited activities. Depending on grants to fund ongoing and/or long-term operations fully makes organisations fragile and distracts from maintaining core infrastructure.\nGoal to generate surplus – it is not enough to merely survive; organisations and services have to be able to adapt and change. Organisations and services that define long-term sustainability based only on recovering costs risk becoming brittle and stagnant. To weather economic, social and technological volatility, organisations and services need financial resources beyond immediate operating costs.\nEstablish and maintain financial reserves guided by policy – organisations and services should have a clear policy on maintaining financial reserves, including the purpose, minimum and maximum level, and governance of these funds. The actual level of reserves should be determined and periodically reviewed by the governing body, ensuring that resources are available to support Living Will implementation, including an orderly wind-down, transition to a successor, or response to major unforeseen events. A financial reserve policy might include how funds will be held, under what circumstances they will be used, and how much would be necessary for an adequate wind-down or transfer of assets, given the complexity of the organisation’s infrastructure.\nMission-consistent revenue generation –  revenue sources should be evaluated against the infrastructure’s mission and not run counter to the aims of the organisation or service.\nRevenue generated from services, not data –  data related to the running of the scholarly infrastructure should be community property. Appropriate revenue sources might include value-added services, consulting, API Service Level Agreements, or membership fees.\nVolunteer labour - organisations that rely on volunteers and their labour should recognise this as a valuable resource for the organisation’s long-term viability, and factor it into sustainability planning and risk management.\nTransition planning - organisations that are heavily dependent on a limited number of individuals should take steps to reduce their dependence on these individuals, including via transition and succession planning, so that the organisation is not at risk of collapse in the event of their departure.\n\nInsurance\n\nOpen source – all software and non-physical assets required to run the infrastructure should be available under an open-source licence. This does not include other software that may be involved with running the organisation.\nEnsure open and secure data accessibility within legal and ethical constraints –  to support potential forking or replication, infrastructure should aim to make all relevant data openly available, following best practices such as applying a CC0 waiver where appropriate. This must be balanced with compliance with privacy, data protection, and security requirements. Organisations should have a clear policy outlining how private or sensitive data will be handled—particularly in the event of a transfer to another organisation—to ensure continuity, legal compliance, and responsible stewardship.\nAvailable and preserved – it is not enough that content, data, and software be “open” if there is no practical way to obtain them. These resources should be made easily available with clear public documentation about where they are and how to access them, as well as an open licence where possible. It is not enough that “open” resources are available. In line with the Living Will, it is essential to deposit content, data, and software with at least one trusted third-party digital archive.\nPatent non-assertion – the organisation should commit to a patent non-assertion policy or covenant. The organisation may obtain patents to protect its own operations, but not use them to prevent the community from replicating the infrastructure.\nPrioritise interoperability and open standards to ensure continuity and resilience - infrastructures should adopt and support widely accepted open standards—both formal and de facto—to ensure that systems, data, and services can be replicated, migrated, or integrated with minimal disruption without the use of proprietary extensions or software. Where relevant, organisations should document dependencies on standards.\n\nCite as POSI Adopters (2025), The Principles of Open Scholarly Infrastructure, retrieved [date], https://doi.org/10.14454/G8WV-VM65","container-title":"The Principles of Open Scholarly Infrastructure","language":"en","title":"The Principles of Open Scholarly Infrastructure (v2.0, 2025)","URL":"https://openscholarlyinfrastructure.org/","accessed":{"date-parts":[["2026",7,7]]}}}],"schema":"https://github.com/citation-style-language/schema/raw/master/csl-citation.json"} </w:instrTex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4</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7D12048E" w14:textId="77777777" w:rsidR="009A2AA8" w:rsidRPr="009A2AA8" w:rsidRDefault="009A2AA8" w:rsidP="009A2AA8">
            <w:pPr>
              <w:numPr>
                <w:ilvl w:val="2"/>
                <w:numId w:val="1"/>
              </w:numPr>
              <w:pBdr>
                <w:top w:val="nil"/>
                <w:left w:val="nil"/>
                <w:bottom w:val="nil"/>
                <w:right w:val="nil"/>
                <w:between w:val="nil"/>
                <w:bar w:val="nil"/>
              </w:pBdr>
              <w:spacing w:before="0" w:after="0" w:line="240" w:lineRule="auto"/>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t>Operations</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{"citationID":"fHwKJy8p","properties":{"unsorted":false,"formattedCitation":"\\super 4\\nosupersub{}","plainCitation":"4","noteIndex":0},"citationItems":[{"id":1345,"uris":["http://zotero.org/users/6554263/items/3QNWV44G"],"itemData":{"id":1345,"type":"webpage","abstract":"POSI version 2.0 released October 2025\nThe POSI Adopters reviewed the version 1.1 principles and consulted with the community to create version 2.0, released in October 2025. The new/always-current version is below.\nPrevious POSI versions\n\nversion 1.1 from 2023. Marked up changes from version 1.1 to 2.0 with explanations (PDF)\nversion 1.0 from 2015. Marked-up changes from version 1.0 to 1.1 with explanations (PDF)\n\n\n\n  \n\nGovernance\n\nCoverage across the scholarly enterprise –  research transcends disciplines, geography, institutions, and stakeholders. Organisations and the infrastructure they run need to reflect this.\nStakeholder governed – a board-governed organisation drawn from the stakeholder community builds confidence that the organisation will make decisions driven by community consensus and a balance of interests.\nNon-discriminatory participation or membership – we see the best option to be an “opt-in” approach with principles of non-discrimination and inclusivity, where any relevant group may express an interest and should be welcome. Representation in governance must reflect the character of the community or membership.\nTransparent governance –  to foster trust, the processes and policies for governing the organisation and selecting representatives to governance groups should be transparent (within the constraints of privacy laws).\nCannot lobby – infrastructure organisations should not lobby for regulatory change to cement their own positions or narrow self-interest. However, an infrastructure organisation’s role is to support its community, and this can include advocating for policy changes.\nLiving will – to build trust, organisations should establish and communicate clear commitments regarding their long-term stewardship responsibilities, including the principles by which assets, data, resources, services, and staff would be responsibly transferred to a successor or the organisation or service wound down. The commitments should address future governance, with defined criteria for acceptable successor organisations. This should include continued alignment with POSI and any legal or structural constraints.\nRegular review of purpose and community value – organisations and services should regularly review their relevance, effectiveness, and the level of community support to determine whether their continued operation is necessary. If no longer needed, they should take responsible steps to transition or wind down operations in consultation with the community and in alignment with their living will.\n\nSustainability\n\nTransparent operations - to enable organisational accountability and openness, the operating policies and procedures, detailed financials, sustainability models, fees, strategic and product roadmaps, organisational charts, and other appropriate operational information should be made openly available (within the constraints of privacy laws). Information should be available for investigation and reuse by the community.\nTime-limited funds are used only for time-limited activities – operations should be supported by sustainable revenue sources, whereas time-limited funds are used only for time-limited activities. Depending on grants to fund ongoing and/or long-term operations fully makes organisations fragile and distracts from maintaining core infrastructure.\nGoal to generate surplus – it is not enough to merely survive; organisations and services have to be able to adapt and change. Organisations and services that define long-term sustainability based only on recovering costs risk becoming brittle and stagnant. To weather economic, social and technological volatility, organisations and services need financial resources beyond immediate operating costs.\nEstablish and maintain financial reserves guided by policy – organisations and services should have a clear policy on maintaining financial reserves, including the purpose, minimum and maximum level, and governance of these funds. The actual level of reserves should be determined and periodically reviewed by the governing body, ensuring that resources are available to support Living Will implementation, including an orderly wind-down, transition to a successor, or response to major unforeseen events. A financial reserve policy might include how funds will be held, under what circumstances they will be used, and how much would be necessary for an adequate wind-down or transfer of assets, given the complexity of the organisation’s infrastructure.\nMission-consistent revenue generation –  revenue sources should be evaluated against the infrastructure’s mission and not run counter to the aims of the organisation or service.\nRevenue generated from services, not data –  data related to the running of the scholarly infrastructure should be community property. Appropriate revenue sources might include value-added services, consulting, API Service Level Agreements, or membership fees.\nVolunteer labour - organisations that rely on volunteers and their labour should recognise this as a valuable resource for the organisation’s long-term viability, and factor it into sustainability planning and risk management.\nTransition planning - organisations that are heavily dependent on a limited number of individuals should take steps to reduce their dependence on these individuals, including via transition and succession planning, so that the organisation is not at risk of collapse in the event of their departure.\n\nInsurance\n\nOpen source – all software and non-physical assets required to run the infrastructure should be available under an open-source licence. This does not include other software that may be involved with running the organisation.\nEnsure open and secure data accessibility within legal and ethical constraints –  to support potential forking or replication, infrastructure should aim to make all relevant data openly available, following best practices such as applying a CC0 waiver where appropriate. This must be balanced with compliance with privacy, data protection, and security requirements. Organisations should have a clear policy outlining how private or sensitive data will be handled—particularly in the event of a transfer to another organisation—to ensure continuity, legal compliance, and responsible stewardship.\nAvailable and preserved – it is not enough that content, data, and software be “open” if there is no practical way to obtain them. These resources should be made easily available with clear public documentation about where they are and how to access them, as well as an open licence where possible. It is not enough that “open” resources are available. In line with the Living Will, it is essential to deposit content, data, and software with at least one trusted third-party digital archive.\nPatent non-assertion – the organisation should commit to a patent non-assertion policy or covenant. The organisation may obtain patents to protect its own operations, but not use them to prevent the community from replicating the infrastructure.\nPrioritise interoperability and open standards to ensure continuity and resilience - infrastructures should adopt and support widely accepted open standards—both formal and de facto—to ensure that systems, data, and services can be replicated, migrated, or integrated with minimal disruption without the use of proprietary extensions or software. Where relevant, organisations should document dependencies on standards.\n\nCite as POSI Adopters (2025), The Principles of Open Scholarly Infrastructure, retrieved [date], https://doi.org/10.14454/G8WV-VM65","container-title":"The Principles of Open Scholarly Infrastructure","language":"en","title":"The Principles of Open Scholarly Infrastructure (v2.0, 2025)","URL":"https://openscholarlyinfrastructure.org/","accessed":{"date-parts":[["2026",7,7]]}}}],"schema":"https://github.com/citation-style-language/schema/raw/master/csl-citation.json"} </w:instrTex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4</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3745AC21" w14:textId="77777777" w:rsidR="009A2AA8" w:rsidRPr="009A2AA8" w:rsidRDefault="009A2AA8" w:rsidP="009A2AA8">
            <w:pPr>
              <w:numPr>
                <w:ilvl w:val="2"/>
                <w:numId w:val="1"/>
              </w:numPr>
              <w:pBdr>
                <w:top w:val="nil"/>
                <w:left w:val="nil"/>
                <w:bottom w:val="nil"/>
                <w:right w:val="nil"/>
                <w:between w:val="nil"/>
                <w:bar w:val="nil"/>
              </w:pBdr>
              <w:spacing w:before="0" w:after="0" w:line="240" w:lineRule="auto"/>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t>Provenance</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{"citationID":"JByAoJ01","properties":{"unsorted":false,"formattedCitation":"\\super 5\\nosupersub{}","plainCitation":"5","noteIndex":0},"citationItems":[{"id":1136,"uris":["http://zotero.org/users/6554263/items/2PCYJ3DL"],"itemData":{"id":1136,"type":"report","abstract":"This document lists seven Guiding Principles for research organisations to adopt in when creating and procuring services to manage research information.\n\n\nIn particular, the Guiding Principles as formulated in this document aim to help:\n\n\n1. guide academic institutions with decisions in information management of research in their organisations;\n\n\n2. form a collective frame in which academic institutions jointly formulate policy and steer investments in infrastructure;\n\n\n3. provide clear rules of engagement for collaborations involving publicly funded academic data and metadata.\n\n\nThis document is developed by the Dutch Taskforce on Responsible Management of Research Information and Data.36 This Taskforce was established early 2020 by the Association of Universities in the Netherlands (UNL), The Netherlands Federation of University Medical Centres (NFU) and The Dutch Research Council (NWO) to address issues around the responsible use of research information and the role of commercial third party providers in particular.","DOI":"10.5281/zenodo.6074944","publisher":"Zenodo","source":"Zenodo","title":"Seven Guiding Principles for Open Research Information","URL":"https://zenodo.org/records/6074944","author":[{"family":"Bijsterbosch","given":"Magchiel"},{"family":"Dunning","given":"Alastair"},{"family":"Jansen","given":"Darco"},{"family":"Haring","given":"Max"},{"family":"Rijcke","given":"Sarah","non-dropping-particle":"de"},{"family":"Vanderfeesten","given":"Maurice"}],"accessed":{"date-parts":[["2025",1,24]]},"issued":{"date-parts":[["2022",2,14]]}}}],"schema":"https://github.com/citation-style-language/schema/raw/master/csl-citation.json"} </w:instrTex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5</w:t>
            </w: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06E9413D" w14:textId="77777777" w:rsidR="009A2AA8" w:rsidRPr="009A2AA8" w:rsidRDefault="009A2AA8" w:rsidP="009A2AA8">
            <w:pPr>
              <w:numPr>
                <w:ilvl w:val="2"/>
                <w:numId w:val="1"/>
              </w:numPr>
              <w:pBdr>
                <w:top w:val="nil"/>
                <w:left w:val="nil"/>
                <w:bottom w:val="nil"/>
                <w:right w:val="nil"/>
                <w:between w:val="nil"/>
                <w:bar w:val="nil"/>
              </w:pBdr>
              <w:spacing w:before="0" w:after="0" w:line="240" w:lineRule="auto"/>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t>Economical</w:t>
            </w:r>
          </w:p>
          <w:p w14:paraId="3D786D12" w14:textId="77777777" w:rsidR="009A2AA8" w:rsidRPr="009A2AA8" w:rsidRDefault="009A2AA8" w:rsidP="009A2AA8">
            <w:pPr>
              <w:numPr>
                <w:ilvl w:val="2"/>
                <w:numId w:val="1"/>
              </w:num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t>Strategical</w:t>
            </w:r>
          </w:p>
          <w:p w14:paraId="4FFD0FF3"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color w:val="000000"/>
                <w:kern w:val="0"/>
                <w:sz w:val="20"/>
                <w:szCs w:val="20"/>
                <w:bdr w:val="nil"/>
                <w:lang w:val="en-GB" w:eastAsia="nl-NL"/>
                <w14:textOutline w14:w="0" w14:cap="flat" w14:cmpd="sng" w14:algn="ctr">
                  <w14:noFill/>
                  <w14:prstDash w14:val="solid"/>
                  <w14:bevel/>
                </w14:textOutline>
                <w14:ligatures w14:val="none"/>
              </w:rPr>
            </w:pPr>
          </w:p>
          <w:p w14:paraId="3A59B0E6"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t>1.2 Accessibility</w:t>
            </w:r>
          </w:p>
        </w:tc>
        <w:tc>
          <w:tcPr>
            <w:tcW w:w="5070" w:type="dxa"/>
            <w:tcBorders>
              <w:top w:val="single" w:sz="6"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1DE4364F" w14:textId="2A169DA6"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1. Open-source software</w:t>
            </w:r>
          </w:p>
          <w:p w14:paraId="57042481" w14:textId="7244D97A"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2. Open data</w:t>
            </w:r>
          </w:p>
          <w:p w14:paraId="54F93E5B" w14:textId="5658004D"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3. Open APIs</w:t>
            </w:r>
          </w:p>
          <w:p w14:paraId="78DA0C8F" w14:textId="091061DE"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4. Open repositories</w:t>
            </w:r>
          </w:p>
          <w:p w14:paraId="6020D28B" w14:textId="54873799"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5. Open metadata</w:t>
            </w:r>
          </w:p>
          <w:p w14:paraId="6639FD6E" w14:textId="626CBA07"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6. Open licences</w:t>
            </w:r>
          </w:p>
          <w:p w14:paraId="59BC441E" w14:textId="00298965"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7. Public infrastructure stack</w:t>
            </w:r>
          </w:p>
          <w:p w14:paraId="268E26F7" w14:textId="54889BEA" w:rsidR="009A2AA8" w:rsidRPr="009A2AA8" w:rsidRDefault="007051F6"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8. Knowledge security (by security-by-design)</w:t>
            </w:r>
          </w:p>
          <w:p w14:paraId="36799312" w14:textId="17D25101" w:rsidR="009A2AA8" w:rsidRPr="009A2AA8" w:rsidRDefault="007051F6" w:rsidP="009A2AA8">
            <w:pPr>
              <w:pBdr>
                <w:top w:val="nil"/>
                <w:left w:val="nil"/>
                <w:bottom w:val="nil"/>
                <w:right w:val="nil"/>
                <w:between w:val="nil"/>
                <w:bar w:val="nil"/>
              </w:pBdr>
              <w:spacing w:before="0" w:after="0" w:line="240" w:lineRule="auto"/>
              <w:rPr>
                <w:rFonts w:ascii="Times New Roman" w:eastAsia="Arial Unicode MS" w:hAnsi="Times New Roman" w:cstheme="minorHAnsi"/>
                <w:kern w:val="0"/>
                <w:sz w:val="20"/>
                <w:szCs w:val="20"/>
                <w:bdr w:val="nil"/>
                <w:lang w:val="en-GB"/>
                <w14:ligatures w14:val="none"/>
              </w:rPr>
            </w:pPr>
            <w:r>
              <w:rPr>
                <w:rFonts w:eastAsia="Arial Unicode MS" w:cstheme="minorHAnsi"/>
                <w:kern w:val="0"/>
                <w:sz w:val="20"/>
                <w:szCs w:val="20"/>
                <w:bdr w:val="nil"/>
                <w:lang w:val="en-GB"/>
                <w14:ligatures w14:val="none"/>
              </w:rPr>
              <w:t>1</w:t>
            </w:r>
            <w:r w:rsidR="009A2AA8" w:rsidRPr="009A2AA8">
              <w:rPr>
                <w:rFonts w:eastAsia="Arial Unicode MS" w:cstheme="minorHAnsi"/>
                <w:kern w:val="0"/>
                <w:sz w:val="20"/>
                <w:szCs w:val="20"/>
                <w:bdr w:val="nil"/>
                <w:lang w:val="en-GB"/>
                <w14:ligatures w14:val="none"/>
              </w:rPr>
              <w:t>9. IAM (with access options for Citizen Scientists)</w:t>
            </w:r>
          </w:p>
        </w:tc>
      </w:tr>
      <w:tr w:rsidR="009A2AA8" w:rsidRPr="001C3186" w14:paraId="3F3313F4" w14:textId="77777777" w:rsidTr="45D2306D">
        <w:tblPrEx>
          <w:shd w:val="clear" w:color="auto" w:fill="auto"/>
        </w:tblPrEx>
        <w:trPr>
          <w:trHeight w:val="808"/>
        </w:trPr>
        <w:tc>
          <w:tcPr>
            <w:tcW w:w="442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6F03CA42" w14:textId="62D677A0" w:rsidR="009A2AA8" w:rsidRPr="007051F6" w:rsidRDefault="009A2AA8" w:rsidP="007051F6">
            <w:pPr>
              <w:pStyle w:val="ListParagraph"/>
              <w:numPr>
                <w:ilvl w:val="0"/>
                <w:numId w:val="1"/>
              </w:numPr>
              <w:pBdr>
                <w:top w:val="nil"/>
                <w:left w:val="nil"/>
                <w:bottom w:val="nil"/>
                <w:right w:val="nil"/>
                <w:between w:val="nil"/>
                <w:bar w:val="nil"/>
              </w:pBdr>
              <w:spacing w:before="0" w:after="0" w:line="240" w:lineRule="auto"/>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pPr>
            <w:r w:rsidRPr="007051F6">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Autonomy</w:t>
            </w:r>
          </w:p>
          <w:p w14:paraId="7F73334B"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Arial Unicode MS" w:hAnsi="Helvetica Neue" w:cs="Arial Unicode MS"/>
                <w:i/>
                <w:i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i/>
                <w:iCs/>
                <w:color w:val="000000"/>
                <w:kern w:val="0"/>
                <w:sz w:val="20"/>
                <w:szCs w:val="20"/>
                <w:bdr w:val="nil"/>
                <w:lang w:val="en-GB" w:eastAsia="nl-NL"/>
                <w14:textOutline w14:w="0" w14:cap="flat" w14:cmpd="sng" w14:algn="ctr">
                  <w14:noFill/>
                  <w14:prstDash w14:val="solid"/>
                  <w14:bevel/>
                </w14:textOutline>
                <w14:ligatures w14:val="none"/>
              </w:rPr>
              <w:t>Academic and digital sovereignty must be safeguarded</w:t>
            </w:r>
            <w:r w:rsidRPr="009A2AA8">
              <w:rPr>
                <w:rFonts w:ascii="Helvetica Neue" w:eastAsia="Helvetica Neue" w:hAnsi="Helvetica Neue" w:cs="Helvetica Neue"/>
                <w:i/>
                <w:i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Helvetica Neue" w:hAnsi="Helvetica Neue" w:cs="Helvetica Neue"/>
                <w:i/>
                <w:i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{"citationID":"oGbhAyDS","properties":{"unsorted":false,"formattedCitation":"\\super 1\\nosupersub{}","plainCitation":"1","noteIndex":0},"citationItems":[{"id":1178,"uris":["http://zotero.org/users/6554263/items/4PJIDTAD"],"itemData":{"id":1178,"type":"report","abstract":"Since the launch of NPOS in 2017, progress has been made in many aspects of the transition to Open Science. These developments and insights have been included in the NPOS2030 Ambition Document and Rolling Agenda, or will play a role as we collectively move into a new implementation phase. Through an open consultation, 78 institutions, networks, communities and individuals previously contributed to the Ambition Document. The Rolling Agenda was then written by several writing teams, and has the support of partners involved in the NPOS Steering Committee, the Advisory Board and the Rolling Agenda editorial board. This latest version of the Ambition Document and Rolling Agenda has been presented to Minister Dijkgraaf. This marks the end of the National Programme Open Science. With 20 million euros made available annually by the Ministry of Education, Culture and Science to stimulate our Open Science ambitions, the facilitating role of the NPOS will be passed on to the Regieorgaan Open Science being set up within NWO. An important task of the Regieorgaan will be to enable the plans developed in recent years by providing temporary impulse funding. In addition, the Regieorgaan will play a role in continuing to bring parties, organisations and communities together at various levels, including the national administrative-level consultations on open science. Further elaboration of this will be precipitated in a covenant that will form the basis for the establishment of the Regieorgaan.","DOI":"10.5281/ZENODO.7433767","language":"en","license":"Creative Commons Attribution 4.0 International, Open Access","note":"version: Approved version","publisher":"Zenodo","source":"DOI.org (Datacite)","title":"Open Science 2030 in the Netherlands: NPOS2030 Ambition Document and Rolling Agenda","title-short":"Open Science 2030 in the Netherlands","URL":"https://zenodo.org/record/7433767","author":[{"literal":"NPOS"}],"accessed":{"date-parts":[["2025",2,23]]},"issued":{"date-parts":[["2022",12,13]]}}}],"schema":"https://github.com/citation-style-language/schema/raw/master/csl-citation.json"} </w:instrText>
            </w:r>
            <w:r w:rsidRPr="009A2AA8">
              <w:rPr>
                <w:rFonts w:ascii="Helvetica Neue" w:eastAsia="Helvetica Neue" w:hAnsi="Helvetica Neue" w:cs="Helvetica Neue"/>
                <w:i/>
                <w:i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1</w:t>
            </w:r>
            <w:r w:rsidRPr="009A2AA8">
              <w:rPr>
                <w:rFonts w:ascii="Helvetica Neue" w:eastAsia="Helvetica Neue" w:hAnsi="Helvetica Neue" w:cs="Helvetica Neue"/>
                <w:i/>
                <w:iCs/>
                <w:color w:val="000000"/>
                <w:kern w:val="0"/>
                <w:sz w:val="20"/>
                <w:szCs w:val="20"/>
                <w:bdr w:val="nil"/>
                <w:lang w:val="en-GB" w:eastAsia="nl-NL"/>
                <w14:textOutline w14:w="0" w14:cap="flat" w14:cmpd="sng" w14:algn="ctr">
                  <w14:noFill/>
                  <w14:prstDash w14:val="solid"/>
                  <w14:bevel/>
                </w14:textOutline>
                <w14:ligatures w14:val="none"/>
              </w:rPr>
              <w:fldChar w:fldCharType="end"/>
            </w:r>
          </w:p>
        </w:tc>
        <w:tc>
          <w:tcPr>
            <w:tcW w:w="439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0183C50D"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2.1 Stakeholder governed/community-led</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{"citationID":"0VcrVQbP","properties":{"unsorted":false,"formattedCitation":"\\super 3,6\\nosupersub{}","plainCitation":"3,6","noteIndex":0},"citationItems":[{"id":1173,"uris":["http://zotero.org/users/6554263/items/SJIEDB2Q"],"itemData":{"id":1173,"type":"article-journal","abstract":"As information and communication technology has become pervasive in our society, we are increasingly dependent on both digital data and repositories that provide access to and enable the use of such resources. Repositories must earn the trust of the communities they intend to serve and demonstrate that they are reliable and capable of appropriately managing the data they hold.","container-title":"Scientific Data","DOI":"10.1038/s41597-020-0486-7","ISSN":"2052-4463","issue":"1","journalAbbreviation":"Sci Data","language":"en","license":"2020 This is a U.S. government work and not under copyright protection in the U.S.; foreign copyright protection may apply","page":"144","publisher":"Nature Publishing Group","source":"www.nature.com","title":"The TRUST Principles for digital repositories","volume":"7","author":[{"family":"Lin","given":"Dawei"},{"family":"Crabtree","given":"Jonathan"},{"family":"Dillo","given":"Ingrid"},{"family":"Downs","given":"Robert R."},{"family":"Edmunds","given":"Rorie"},{"family":"Giaretta","given":"David"},{"family":"De Giusti","given":"Marisa"},{"family":"L’Hours","given":"Hervé"},{"family":"Hugo","given":"Wim"},{"family":"Jenkyns","given":"Reyna"},{"family":"Khodiyar","given":"Varsha"},{"family":"Martone","given":"Maryann E."},{"family":"Mokrane","given":"Mustapha"},{"family":"Navale","given":"Vivek"},{"family":"Petters","given":"Jonathan"},{"family":"Sierman","given":"Barbara"},{"family":"Sokolova","given":"Dina V."},{"family":"Stockhause","given":"Martina"},{"family":"Westbrook","given":"John"}],"issued":{"date-parts":[["2020",5,14]]}}},{"id":1353,"uris":["http://zotero.org/users/6554263/items/94NEYPS5"],"itemData":{"id":1353,"type":"article-journal","abstract":"The current Open Access strategy of the Netherlands from 2013, with its dependency on the author-pay model and reliance on big, revenue-driven publishers, has reached its limits.  Changing prioritisation of strategic considerations, developments in the  scholarly publishing landscape, a change in the system of recognition and rewards, the rise of the use of AI in publishing, and geopolitical developments (including considerable budget cuts within academia), call for a critical revision of the current open access strategy, covering a diversity of routes and types of scholarly output. This document elaborates on the new Open Access stategy of the Netherlands towards 2035 aiming for a flexible, inclusive, and sustainable open access ecosystem that fosters:\n\n\n\n\n\nControl over copyright and metadata\n\n\n\n\nMore diversity in the scholarly communication landscape\n\n\n\n\nSustainable innovation in publishing infrastructure\n\n\n\n\nTransparency and accountability for quality and integrity\n\n\n\n\nEmpowerment of academic communities to create publication strategies\n\n\n\n\nEquity and openness \n\n\n\nIn December 2025, the presidents of the Dutch Universities (UNL-SSPG) adopted this strategy for the universities.","DOI":"10.5281/zenodo.19548009","language":"eng","publisher":"Zenodo","source":"Zenodo","title":"A new open access strategy for the Netherlands","URL":"https://zenodo.org/records/19548009","author":[{"family":"Nederland","given":"Universiteiten","dropping-particle":"van"},{"family":"Netherlands","given":"Association","dropping-particle":"of universities in the"}],"accessed":{"date-parts":[["2026",7,7]]},"issued":{"date-parts":[["2026",4,13]]}}}],"schema":"https://github.com/citation-style-language/schema/raw/master/csl-citation.json"}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3,6</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372B407E"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2.2 Discipline-specific</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{"citationID":"spes0c9k","properties":{"unsorted":false,"formattedCitation":"\\super 4\\nosupersub{}","plainCitation":"4","noteIndex":0},"citationItems":[{"id":1345,"uris":["http://zotero.org/users/6554263/items/3QNWV44G"],"itemData":{"id":1345,"type":"webpage","abstract":"POSI version 2.0 released October 2025\nThe POSI Adopters reviewed the version 1.1 principles and consulted with the community to create version 2.0, released in October 2025. The new/always-current version is below.\nPrevious POSI versions\n\nversion 1.1 from 2023. Marked up changes from version 1.1 to 2.0 with explanations (PDF)\nversion 1.0 from 2015. Marked-up changes from version 1.0 to 1.1 with explanations (PDF)\n\n\n\n  \n\nGovernance\n\nCoverage across the scholarly enterprise –  research transcends disciplines, geography, institutions, and stakeholders. Organisations and the infrastructure they run need to reflect this.\nStakeholder governed – a board-governed organisation drawn from the stakeholder community builds confidence that the organisation will make decisions driven by community consensus and a balance of interests.\nNon-discriminatory participation or membership – we see the best option to be an “opt-in” approach with principles of non-discrimination and inclusivity, where any relevant group may express an interest and should be welcome. Representation in governance must reflect the character of the community or membership.\nTransparent governance –  to foster trust, the processes and policies for governing the organisation and selecting representatives to governance groups should be transparent (within the constraints of privacy laws).\nCannot lobby – infrastructure organisations should not lobby for regulatory change to cement their own positions or narrow self-interest. However, an infrastructure organisation’s role is to support its community, and this can include advocating for policy changes.\nLiving will – to build trust, organisations should establish and communicate clear commitments regarding their long-term stewardship responsibilities, including the principles by which assets, data, resources, services, and staff would be responsibly transferred to a successor or the organisation or service wound down. The commitments should address future governance, with defined criteria for acceptable successor organisations. This should include continued alignment with POSI and any legal or structural constraints.\nRegular review of purpose and community value – organisations and services should regularly review their relevance, effectiveness, and the level of community support to determine whether their continued operation is necessary. If no longer needed, they should take responsible steps to transition or wind down operations in consultation with the community and in alignment with their living will.\n\nSustainability\n\nTransparent operations - to enable organisational accountability and openness, the operating policies and procedures, detailed financials, sustainability models, fees, strategic and product roadmaps, organisational charts, and other appropriate operational information should be made openly available (within the constraints of privacy laws). Information should be available for investigation and reuse by the community.\nTime-limited funds are used only for time-limited activities – operations should be supported by sustainable revenue sources, whereas time-limited funds are used only for time-limited activities. Depending on grants to fund ongoing and/or long-term operations fully makes organisations fragile and distracts from maintaining core infrastructure.\nGoal to generate surplus – it is not enough to merely survive; organisations and services have to be able to adapt and change. Organisations and services that define long-term sustainability based only on recovering costs risk becoming brittle and stagnant. To weather economic, social and technological volatility, organisations and services need financial resources beyond immediate operating costs.\nEstablish and maintain financial reserves guided by policy – organisations and services should have a clear policy on maintaining financial reserves, including the purpose, minimum and maximum level, and governance of these funds. The actual level of reserves should be determined and periodically reviewed by the governing body, ensuring that resources are available to support Living Will implementation, including an orderly wind-down, transition to a successor, or response to major unforeseen events. A financial reserve policy might include how funds will be held, under what circumstances they will be used, and how much would be necessary for an adequate wind-down or transfer of assets, given the complexity of the organisation’s infrastructure.\nMission-consistent revenue generation –  revenue sources should be evaluated against the infrastructure’s mission and not run counter to the aims of the organisation or service.\nRevenue generated from services, not data –  data related to the running of the scholarly infrastructure should be community property. Appropriate revenue sources might include value-added services, consulting, API Service Level Agreements, or membership fees.\nVolunteer labour - organisations that rely on volunteers and their labour should recognise this as a valuable resource for the organisation’s long-term viability, and factor it into sustainability planning and risk management.\nTransition planning - organisations that are heavily dependent on a limited number of individuals should take steps to reduce their dependence on these individuals, including via transition and succession planning, so that the organisation is not at risk of collapse in the event of their departure.\n\nInsurance\n\nOpen source – all software and non-physical assets required to run the infrastructure should be available under an open-source licence. This does not include other software that may be involved with running the organisation.\nEnsure open and secure data accessibility within legal and ethical constraints –  to support potential forking or replication, infrastructure should aim to make all relevant data openly available, following best practices such as applying a CC0 waiver where appropriate. This must be balanced with compliance with privacy, data protection, and security requirements. Organisations should have a clear policy outlining how private or sensitive data will be handled—particularly in the event of a transfer to another organisation—to ensure continuity, legal compliance, and responsible stewardship.\nAvailable and preserved – it is not enough that content, data, and software be “open” if there is no practical way to obtain them. These resources should be made easily available with clear public documentation about where they are and how to access them, as well as an open licence where possible. It is not enough that “open” resources are available. In line with the Living Will, it is essential to deposit content, data, and software with at least one trusted third-party digital archive.\nPatent non-assertion – the organisation should commit to a patent non-assertion policy or covenant. The organisation may obtain patents to protect its own operations, but not use them to prevent the community from replicating the infrastructure.\nPrioritise interoperability and open standards to ensure continuity and resilience - infrastructures should adopt and support widely accepted open standards—both formal and de facto—to ensure that systems, data, and services can be replicated, migrated, or integrated with minimal disruption without the use of proprietary extensions or software. Where relevant, organisations should document dependencies on standards.\n\nCite as POSI Adopters (2025), The Principles of Open Scholarly Infrastructure, retrieved [date], https://doi.org/10.14454/G8WV-VM65","container-title":"The Principles of Open Scholarly Infrastructure","language":"en","title":"The Principles of Open Scholarly Infrastructure (v2.0, 2025)","URL":"https://openscholarlyinfrastructure.org/","accessed":{"date-parts":[["2026",7,7]]}}}],"schema":"https://github.com/citation-style-language/schema/raw/master/csl-citation.json"}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4</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1155E12B" w14:textId="77777777" w:rsidR="009A2AA8" w:rsidRPr="009A2AA8" w:rsidRDefault="009A2AA8" w:rsidP="45D2306D">
            <w:pPr>
              <w:pBdr>
                <w:top w:val="nil"/>
                <w:left w:val="nil"/>
                <w:bottom w:val="nil"/>
                <w:right w:val="nil"/>
                <w:between w:val="nil"/>
                <w:bar w:val="nil"/>
              </w:pBdr>
              <w:spacing w:before="0" w:after="0" w:line="240" w:lineRule="auto"/>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2.3</w:t>
            </w:r>
            <w:r w:rsidRPr="45D2306D">
              <w:rPr>
                <w:rFonts w:ascii="Helvetica Neue" w:eastAsia="Arial Unicode MS" w:hAnsi="Helvetica Neue" w:cs="Arial Unicode MS"/>
                <w:b/>
                <w:bCs/>
                <w:color w:val="000000" w:themeColor="text1"/>
                <w:sz w:val="20"/>
                <w:szCs w:val="20"/>
                <w:lang w:val="en-GB" w:eastAsia="nl-NL"/>
              </w:rPr>
              <w:t xml:space="preserve"> Digital sovereignty</w:t>
            </w:r>
          </w:p>
          <w:p w14:paraId="26ABE0D3"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2.4 Responsibility</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{"citationID":"tffhFQ3f","properties":{"unsorted":false,"formattedCitation":"\\super 3\\nosupersub{}","plainCitation":"3","noteIndex":0},"citationItems":[{"id":1173,"uris":["http://zotero.org/users/6554263/items/SJIEDB2Q"],"itemData":{"id":1173,"type":"article-journal","abstract":"As information and communication technology has become pervasive in our society, we are increasingly dependent on both digital data and repositories that provide access to and enable the use of such resources. Repositories must earn the trust of the communities they intend to serve and demonstrate that they are reliable and capable of appropriately managing the data they hold.","container-title":"Scientific Data","DOI":"10.1038/s41597-020-0486-7","ISSN":"2052-4463","issue":"1","journalAbbreviation":"Sci Data","language":"en","license":"2020 This is a U.S. government work and not under copyright protection in the U.S.; foreign copyright protection may apply","page":"144","publisher":"Nature Publishing Group","source":"www.nature.com","title":"The TRUST Principles for digital repositories","volume":"7","author":[{"family":"Lin","given":"Dawei"},{"family":"Crabtree","given":"Jonathan"},{"family":"Dillo","given":"Ingrid"},{"family":"Downs","given":"Robert R."},{"family":"Edmunds","given":"Rorie"},{"family":"Giaretta","given":"David"},{"family":"De Giusti","given":"Marisa"},{"family":"L’Hours","given":"Hervé"},{"family":"Hugo","given":"Wim"},{"family":"Jenkyns","given":"Reyna"},{"family":"Khodiyar","given":"Varsha"},{"family":"Martone","given":"Maryann E."},{"family":"Mokrane","given":"Mustapha"},{"family":"Navale","given":"Vivek"},{"family":"Petters","given":"Jonathan"},{"family":"Sierman","given":"Barbara"},{"family":"Sokolova","given":"Dina V."},{"family":"Stockhause","given":"Martina"},{"family":"Westbrook","given":"John"}],"issued":{"date-parts":[["2020",5,14]]}}}],"schema":"https://github.com/citation-style-language/schema/raw/master/csl-citation.json"}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3</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p>
        </w:tc>
        <w:tc>
          <w:tcPr>
            <w:tcW w:w="507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2ADCCCF4"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heme="minorHAnsi"/>
                <w:kern w:val="0"/>
                <w:sz w:val="20"/>
                <w:szCs w:val="20"/>
                <w:bdr w:val="nil"/>
                <w:lang w:val="en-GB"/>
                <w14:ligatures w14:val="none"/>
              </w:rPr>
            </w:pPr>
            <w:r w:rsidRPr="009A2AA8">
              <w:rPr>
                <w:rFonts w:ascii="Times New Roman" w:eastAsia="Arial Unicode MS" w:hAnsi="Times New Roman" w:cstheme="minorHAnsi"/>
                <w:kern w:val="0"/>
                <w:sz w:val="20"/>
                <w:szCs w:val="20"/>
                <w:bdr w:val="nil"/>
                <w:lang w:val="en-GB"/>
                <w14:ligatures w14:val="none"/>
              </w:rPr>
              <w:t>20. Value-driven procurement</w:t>
            </w:r>
          </w:p>
          <w:p w14:paraId="73AF7F5C"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heme="minorHAnsi"/>
                <w:kern w:val="0"/>
                <w:sz w:val="20"/>
                <w:szCs w:val="20"/>
                <w:bdr w:val="nil"/>
                <w:lang w:val="en-GB"/>
                <w14:ligatures w14:val="none"/>
              </w:rPr>
            </w:pPr>
            <w:r w:rsidRPr="009A2AA8">
              <w:rPr>
                <w:rFonts w:ascii="Times New Roman" w:eastAsia="Arial Unicode MS" w:hAnsi="Times New Roman" w:cstheme="minorHAnsi"/>
                <w:kern w:val="0"/>
                <w:sz w:val="20"/>
                <w:szCs w:val="20"/>
                <w:bdr w:val="nil"/>
                <w:lang w:val="en-GB"/>
                <w14:ligatures w14:val="none"/>
              </w:rPr>
              <w:t>21. Balance agency versus costs &amp; risks</w:t>
            </w:r>
          </w:p>
          <w:p w14:paraId="2EB5DAA5"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heme="minorHAnsi"/>
                <w:kern w:val="0"/>
                <w:sz w:val="20"/>
                <w:szCs w:val="20"/>
                <w:bdr w:val="nil"/>
                <w:lang w:val="en-GB"/>
                <w14:ligatures w14:val="none"/>
              </w:rPr>
            </w:pPr>
            <w:r w:rsidRPr="009A2AA8">
              <w:rPr>
                <w:rFonts w:ascii="Times New Roman" w:eastAsia="Arial Unicode MS" w:hAnsi="Times New Roman" w:cstheme="minorHAnsi"/>
                <w:kern w:val="0"/>
                <w:sz w:val="20"/>
                <w:szCs w:val="20"/>
                <w:bdr w:val="nil"/>
                <w:lang w:val="en-GB"/>
                <w14:ligatures w14:val="none"/>
              </w:rPr>
              <w:t>22. Contractual clauses and exit strategy</w:t>
            </w:r>
          </w:p>
          <w:p w14:paraId="1191A6EA"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heme="minorHAnsi"/>
                <w:b/>
                <w:bCs/>
                <w:smallCaps/>
                <w:kern w:val="0"/>
                <w:sz w:val="20"/>
                <w:szCs w:val="20"/>
                <w:bdr w:val="nil"/>
                <w:lang w:val="en-GB"/>
                <w14:ligatures w14:val="none"/>
              </w:rPr>
            </w:pPr>
            <w:r w:rsidRPr="009A2AA8">
              <w:rPr>
                <w:rFonts w:ascii="Times New Roman" w:eastAsia="Arial Unicode MS" w:hAnsi="Times New Roman" w:cstheme="minorHAnsi"/>
                <w:kern w:val="0"/>
                <w:sz w:val="20"/>
                <w:szCs w:val="20"/>
                <w:bdr w:val="nil"/>
                <w:lang w:val="en-GB"/>
                <w14:ligatures w14:val="none"/>
              </w:rPr>
              <w:t>23. Fit-for-Purpose</w:t>
            </w:r>
          </w:p>
          <w:p w14:paraId="1BBD109D"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heme="minorHAnsi"/>
                <w:kern w:val="0"/>
                <w:sz w:val="20"/>
                <w:szCs w:val="20"/>
                <w:bdr w:val="nil"/>
                <w:lang w:val="en-GB"/>
                <w14:ligatures w14:val="none"/>
              </w:rPr>
            </w:pPr>
            <w:r w:rsidRPr="009A2AA8">
              <w:rPr>
                <w:rFonts w:ascii="Times New Roman" w:eastAsia="Arial Unicode MS" w:hAnsi="Times New Roman" w:cstheme="minorHAnsi"/>
                <w:kern w:val="0"/>
                <w:sz w:val="20"/>
                <w:szCs w:val="20"/>
                <w:bdr w:val="nil"/>
                <w:lang w:val="en-GB"/>
                <w14:ligatures w14:val="none"/>
              </w:rPr>
              <w:t>24. Regular review of purpose and community value</w:t>
            </w:r>
          </w:p>
        </w:tc>
      </w:tr>
      <w:tr w:rsidR="009A2AA8" w:rsidRPr="001C3186" w14:paraId="285A6C43" w14:textId="77777777" w:rsidTr="45D2306D">
        <w:tblPrEx>
          <w:shd w:val="clear" w:color="auto" w:fill="auto"/>
        </w:tblPrEx>
        <w:trPr>
          <w:trHeight w:val="847"/>
        </w:trPr>
        <w:tc>
          <w:tcPr>
            <w:tcW w:w="442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259144F8" w14:textId="1E9005FB" w:rsidR="009A2AA8" w:rsidRPr="007051F6" w:rsidRDefault="009A2AA8" w:rsidP="007051F6">
            <w:pPr>
              <w:pStyle w:val="ListParagraph"/>
              <w:numPr>
                <w:ilvl w:val="0"/>
                <w:numId w:val="1"/>
              </w:num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7051F6">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Sustainability</w:t>
            </w:r>
          </w:p>
          <w:p w14:paraId="510FA2F4" w14:textId="77777777" w:rsidR="009A2AA8" w:rsidRPr="009A2AA8" w:rsidRDefault="009A2AA8" w:rsidP="009A2AA8">
            <w:pPr>
              <w:pBdr>
                <w:top w:val="nil"/>
                <w:left w:val="nil"/>
                <w:bottom w:val="nil"/>
                <w:right w:val="nil"/>
                <w:between w:val="nil"/>
                <w:bar w:val="nil"/>
              </w:pBdr>
              <w:spacing w:before="0" w:after="0" w:line="240" w:lineRule="auto"/>
              <w:ind w:left="113"/>
              <w:rPr>
                <w:rFonts w:ascii="Helvetica Neue" w:eastAsia="Arial Unicode MS" w:hAnsi="Helvetica Neue" w:cs="Arial Unicode MS"/>
                <w:color w:val="000000"/>
                <w:kern w:val="0"/>
                <w:sz w:val="20"/>
                <w:szCs w:val="20"/>
                <w:bdr w:val="nil"/>
                <w:lang w:val="en-GB" w:eastAsia="nl-NL"/>
                <w14:textOutline w14:w="0" w14:cap="flat" w14:cmpd="sng" w14:algn="ctr">
                  <w14:noFill/>
                  <w14:prstDash w14:val="solid"/>
                  <w14:bevel/>
                </w14:textOutline>
                <w14:ligatures w14:val="none"/>
              </w:rPr>
            </w:pPr>
          </w:p>
          <w:p w14:paraId="5FEB41B5" w14:textId="77777777" w:rsidR="009A2AA8" w:rsidRPr="009A2AA8" w:rsidRDefault="009A2AA8" w:rsidP="009A2AA8">
            <w:pPr>
              <w:pBdr>
                <w:top w:val="nil"/>
                <w:left w:val="nil"/>
                <w:bottom w:val="nil"/>
                <w:right w:val="nil"/>
                <w:between w:val="nil"/>
                <w:bar w:val="nil"/>
              </w:pBdr>
              <w:spacing w:before="0" w:after="0" w:line="240" w:lineRule="auto"/>
              <w:ind w:left="113"/>
              <w:rPr>
                <w:rFonts w:ascii="Helvetica Neue" w:eastAsia="Arial Unicode MS" w:hAnsi="Helvetica Neue" w:cs="Arial Unicode MS"/>
                <w:color w:val="000000"/>
                <w:kern w:val="0"/>
                <w:sz w:val="20"/>
                <w:szCs w:val="20"/>
                <w:bdr w:val="nil"/>
                <w:lang w:val="en-GB" w:eastAsia="nl-NL"/>
                <w14:textOutline w14:w="0" w14:cap="flat" w14:cmpd="sng" w14:algn="ctr">
                  <w14:noFill/>
                  <w14:prstDash w14:val="solid"/>
                  <w14:bevel/>
                </w14:textOutline>
                <w14:ligatures w14:val="none"/>
              </w:rPr>
            </w:pPr>
          </w:p>
        </w:tc>
        <w:tc>
          <w:tcPr>
            <w:tcW w:w="439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5F449924"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3.1 Financial sustainability</w:t>
            </w:r>
          </w:p>
          <w:p w14:paraId="65B3D27E"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t>3.2 Human capacity sustainability</w:t>
            </w:r>
          </w:p>
          <w:p w14:paraId="3E9F1280"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3.3 Legal and institutional compliance</w:t>
            </w:r>
          </w:p>
          <w:p w14:paraId="77959376"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3.4 Enduring availability</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{"citationID":"sdn0JMaO","properties":{"unsorted":false,"formattedCitation":"\\super 4,5\\nosupersub{}","plainCitation":"4,5","noteIndex":0},"citationItems":[{"id":1345,"uris":["http://zotero.org/users/6554263/items/3QNWV44G"],"itemData":{"id":1345,"type":"webpage","abstract":"POSI version 2.0 released October 2025\nThe POSI Adopters reviewed the version 1.1 principles and consulted with the community to create version 2.0, released in October 2025. The new/always-current version is below.\nPrevious POSI versions\n\nversion 1.1 from 2023. Marked up changes from version 1.1 to 2.0 with explanations (PDF)\nversion 1.0 from 2015. Marked-up changes from version 1.0 to 1.1 with explanations (PDF)\n\n\n\n  \n\nGovernance\n\nCoverage across the scholarly enterprise –  research transcends disciplines, geography, institutions, and stakeholders. Organisations and the infrastructure they run need to reflect this.\nStakeholder governed – a board-governed organisation drawn from the stakeholder community builds confidence that the organisation will make decisions driven by community consensus and a balance of interests.\nNon-discriminatory participation or membership – we see the best option to be an “opt-in” approach with principles of non-discrimination and inclusivity, where any relevant group may express an interest and should be welcome. Representation in governance must reflect the character of the community or membership.\nTransparent governance –  to foster trust, the processes and policies for governing the organisation and selecting representatives to governance groups should be transparent (within the constraints of privacy laws).\nCannot lobby – infrastructure organisations should not lobby for regulatory change to cement their own positions or narrow self-interest. However, an infrastructure organisation’s role is to support its community, and this can include advocating for policy changes.\nLiving will – to build trust, organisations should establish and communicate clear commitments regarding their long-term stewardship responsibilities, including the principles by which assets, data, resources, services, and staff would be responsibly transferred to a successor or the organisation or service wound down. The commitments should address future governance, with defined criteria for acceptable successor organisations. This should include continued alignment with POSI and any legal or structural constraints.\nRegular review of purpose and community value – organisations and services should regularly review their relevance, effectiveness, and the level of community support to determine whether their continued operation is necessary. If no longer needed, they should take responsible steps to transition or wind down operations in consultation with the community and in alignment with their living will.\n\nSustainability\n\nTransparent operations - to enable organisational accountability and openness, the operating policies and procedures, detailed financials, sustainability models, fees, strategic and product roadmaps, organisational charts, and other appropriate operational information should be made openly available (within the constraints of privacy laws). Information should be available for investigation and reuse by the community.\nTime-limited funds are used only for time-limited activities – operations should be supported by sustainable revenue sources, whereas time-limited funds are used only for time-limited activities. Depending on grants to fund ongoing and/or long-term operations fully makes organisations fragile and distracts from maintaining core infrastructure.\nGoal to generate surplus – it is not enough to merely survive; organisations and services have to be able to adapt and change. Organisations and services that define long-term sustainability based only on recovering costs risk becoming brittle and stagnant. To weather economic, social and technological volatility, organisations and services need financial resources beyond immediate operating costs.\nEstablish and maintain financial reserves guided by policy – organisations and services should have a clear policy on maintaining financial reserves, including the purpose, minimum and maximum level, and governance of these funds. The actual level of reserves should be determined and periodically reviewed by the governing body, ensuring that resources are available to support Living Will implementation, including an orderly wind-down, transition to a successor, or response to major unforeseen events. A financial reserve policy might include how funds will be held, under what circumstances they will be used, and how much would be necessary for an adequate wind-down or transfer of assets, given the complexity of the organisation’s infrastructure.\nMission-consistent revenue generation –  revenue sources should be evaluated against the infrastructure’s mission and not run counter to the aims of the organisation or service.\nRevenue generated from services, not data –  data related to the running of the scholarly infrastructure should be community property. Appropriate revenue sources might include value-added services, consulting, API Service Level Agreements, or membership fees.\nVolunteer labour - organisations that rely on volunteers and their labour should recognise this as a valuable resource for the organisation’s long-term viability, and factor it into sustainability planning and risk management.\nTransition planning - organisations that are heavily dependent on a limited number of individuals should take steps to reduce their dependence on these individuals, including via transition and succession planning, so that the organisation is not at risk of collapse in the event of their departure.\n\nInsurance\n\nOpen source – all software and non-physical assets required to run the infrastructure should be available under an open-source licence. This does not include other software that may be involved with running the organisation.\nEnsure open and secure data accessibility within legal and ethical constraints –  to support potential forking or replication, infrastructure should aim to make all relevant data openly available, following best practices such as applying a CC0 waiver where appropriate. This must be balanced with compliance with privacy, data protection, and security requirements. Organisations should have a clear policy outlining how private or sensitive data will be handled—particularly in the event of a transfer to another organisation—to ensure continuity, legal compliance, and responsible stewardship.\nAvailable and preserved – it is not enough that content, data, and software be “open” if there is no practical way to obtain them. These resources should be made easily available with clear public documentation about where they are and how to access them, as well as an open licence where possible. It is not enough that “open” resources are available. In line with the Living Will, it is essential to deposit content, data, and software with at least one trusted third-party digital archive.\nPatent non-assertion – the organisation should commit to a patent non-assertion policy or covenant. The organisation may obtain patents to protect its own operations, but not use them to prevent the community from replicating the infrastructure.\nPrioritise interoperability and open standards to ensure continuity and resilience - infrastructures should adopt and support widely accepted open standards—both formal and de facto—to ensure that systems, data, and services can be replicated, migrated, or integrated with minimal disruption without the use of proprietary extensions or software. Where relevant, organisations should document dependencies on standards.\n\nCite as POSI Adopters (2025), The Principles of Open Scholarly Infrastructure, retrieved [date], https://doi.org/10.14454/G8WV-VM65","container-title":"The Principles of Open Scholarly Infrastructure","language":"en","title":"The Principles of Open Scholarly Infrastructure (v2.0, 2025)","URL":"https://openscholarlyinfrastructure.org/","accessed":{"date-parts":[["2026",7,7]]}}},{"id":1136,"uris":["http://zotero.org/users/6554263/items/2PCYJ3DL"],"itemData":{"id":1136,"type":"report","abstract":"This document lists seven Guiding Principles for research organisations to adopt in when creating and procuring services to manage research information.\n\n\nIn particular, the Guiding Principles as formulated in this document aim to help:\n\n\n1. guide academic institutions with decisions in information management of research in their organisations;\n\n\n2. form a collective frame in which academic institutions jointly formulate policy and steer investments in infrastructure;\n\n\n3. provide clear rules of engagement for collaborations involving publicly funded academic data and metadata.\n\n\nThis document is developed by the Dutch Taskforce on Responsible Management of Research Information and Data.36 This Taskforce was established early 2020 by the Association of Universities in the Netherlands (UNL), The Netherlands Federation of University Medical Centres (NFU) and The Dutch Research Council (NWO) to address issues around the responsible use of research information and the role of commercial third party providers in particular.","DOI":"10.5281/zenodo.6074944","publisher":"Zenodo","source":"Zenodo","title":"Seven Guiding Principles for Open Research Information","URL":"https://zenodo.org/records/6074944","author":[{"family":"Bijsterbosch","given":"Magchiel"},{"family":"Dunning","given":"Alastair"},{"family":"Jansen","given":"Darco"},{"family":"Haring","given":"Max"},{"family":"Rijcke","given":"Sarah","non-dropping-particle":"de"},{"family":"Vanderfeesten","given":"Maurice"}],"accessed":{"date-parts":[["2025",1,24]]},"issued":{"date-parts":[["2022",2,14]]}}}],"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4,5</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p>
        </w:tc>
        <w:tc>
          <w:tcPr>
            <w:tcW w:w="507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40470356"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t>30. Make or buy guidelines</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 xml:space="preserve"> </w:t>
            </w:r>
          </w:p>
          <w:p w14:paraId="7F57E29D"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31. Total costs of ownership</w:t>
            </w:r>
          </w:p>
          <w:p w14:paraId="699DA236"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 xml:space="preserve">32. Mission-consistent revenue generation </w:t>
            </w:r>
          </w:p>
          <w:p w14:paraId="5F64D126"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33. End-of-life policy</w:t>
            </w:r>
          </w:p>
          <w:p w14:paraId="39B88F59"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34. Sustainable funding or funding for sustainability</w:t>
            </w:r>
          </w:p>
          <w:p w14:paraId="78601C6D"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35. Sustained maintenance</w:t>
            </w:r>
          </w:p>
          <w:p w14:paraId="1A2F6C4C"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36. Support for public stack</w:t>
            </w:r>
          </w:p>
        </w:tc>
      </w:tr>
      <w:tr w:rsidR="009A2AA8" w:rsidRPr="001C3186" w14:paraId="24821849" w14:textId="77777777" w:rsidTr="45D2306D">
        <w:tblPrEx>
          <w:shd w:val="clear" w:color="auto" w:fill="auto"/>
        </w:tblPrEx>
        <w:trPr>
          <w:trHeight w:val="131"/>
        </w:trPr>
        <w:tc>
          <w:tcPr>
            <w:tcW w:w="442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2FF81936" w14:textId="5CD8D321" w:rsidR="009A2AA8" w:rsidRPr="007051F6" w:rsidRDefault="009A2AA8" w:rsidP="007051F6">
            <w:pPr>
              <w:pStyle w:val="ListParagraph"/>
              <w:numPr>
                <w:ilvl w:val="0"/>
                <w:numId w:val="1"/>
              </w:num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7051F6">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Interoperability</w:t>
            </w:r>
          </w:p>
          <w:p w14:paraId="5BEC0269"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Arial Unicode MS" w:hAnsi="Helvetica Neue" w:cs="Arial Unicode MS"/>
                <w:color w:val="000000"/>
                <w:kern w:val="0"/>
                <w:sz w:val="20"/>
                <w:szCs w:val="20"/>
                <w:bdr w:val="nil"/>
                <w:lang w:val="en-GB" w:eastAsia="nl-NL"/>
                <w14:textOutline w14:w="0" w14:cap="flat" w14:cmpd="sng" w14:algn="ctr">
                  <w14:noFill/>
                  <w14:prstDash w14:val="solid"/>
                  <w14:bevel/>
                </w14:textOutline>
                <w14:ligatures w14:val="none"/>
              </w:rPr>
            </w:pPr>
          </w:p>
        </w:tc>
        <w:tc>
          <w:tcPr>
            <w:tcW w:w="439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08254F2A"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t>4.1 Technical interoperability</w:t>
            </w:r>
          </w:p>
          <w:p w14:paraId="1A5AA9A5"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4.2 Organisational &amp; social interoperability</w:t>
            </w:r>
          </w:p>
          <w:p w14:paraId="232AD8F0"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4.3 Legal interoperability</w:t>
            </w:r>
          </w:p>
          <w:p w14:paraId="3DD1394B" w14:textId="77777777" w:rsidR="009A2AA8" w:rsidRPr="009A2AA8" w:rsidRDefault="009A2AA8" w:rsidP="009A2AA8">
            <w:pPr>
              <w:pBdr>
                <w:top w:val="nil"/>
                <w:left w:val="nil"/>
                <w:bottom w:val="nil"/>
                <w:right w:val="nil"/>
                <w:between w:val="nil"/>
                <w:bar w:val="nil"/>
              </w:pBdr>
              <w:spacing w:before="0" w:after="0" w:line="240" w:lineRule="auto"/>
              <w:ind w:left="113"/>
              <w:rPr>
                <w:rFonts w:ascii="Helvetica Neue" w:eastAsia="Arial Unicode MS" w:hAnsi="Helvetica Neue" w:cs="Arial Unicode MS"/>
                <w:color w:val="000000"/>
                <w:kern w:val="0"/>
                <w:sz w:val="20"/>
                <w:szCs w:val="20"/>
                <w:bdr w:val="nil"/>
                <w:lang w:val="en-GB" w:eastAsia="nl-NL"/>
                <w14:textOutline w14:w="0" w14:cap="flat" w14:cmpd="sng" w14:algn="ctr">
                  <w14:noFill/>
                  <w14:prstDash w14:val="solid"/>
                  <w14:bevel/>
                </w14:textOutline>
                <w14:ligatures w14:val="none"/>
              </w:rPr>
            </w:pPr>
          </w:p>
        </w:tc>
        <w:tc>
          <w:tcPr>
            <w:tcW w:w="507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1E8FBE60" w14:textId="77777777" w:rsidR="009A2AA8" w:rsidRPr="009A2AA8" w:rsidRDefault="009A2AA8" w:rsidP="009A2AA8">
            <w:pPr>
              <w:pBdr>
                <w:top w:val="nil"/>
                <w:left w:val="nil"/>
                <w:bottom w:val="nil"/>
                <w:right w:val="nil"/>
                <w:between w:val="nil"/>
                <w:bar w:val="nil"/>
              </w:pBdr>
              <w:spacing w:before="0" w:after="0" w:line="240" w:lineRule="auto"/>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40. Syntactic:</w:t>
            </w:r>
          </w:p>
          <w:p w14:paraId="0B873156" w14:textId="4C1BDEB7" w:rsidR="009A2AA8" w:rsidRPr="009A2AA8" w:rsidRDefault="009A2AA8" w:rsidP="009A2AA8">
            <w:pPr>
              <w:pBdr>
                <w:top w:val="nil"/>
                <w:left w:val="nil"/>
                <w:bottom w:val="nil"/>
                <w:right w:val="nil"/>
                <w:between w:val="nil"/>
                <w:bar w:val="nil"/>
              </w:pBdr>
              <w:spacing w:before="0" w:after="0" w:line="240" w:lineRule="auto"/>
              <w:ind w:left="720"/>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40a.</w:t>
            </w:r>
            <w:r w:rsidR="00A41D95">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 xml:space="preserve"> </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Open standards</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{"citationID":"p5k1Zz3B","properties":{"unsorted":false,"formattedCitation":"\\super 5\\nosupersub{}","plainCitation":"5","noteIndex":0},"citationItems":[{"id":1136,"uris":["http://zotero.org/users/6554263/items/2PCYJ3DL"],"itemData":{"id":1136,"type":"report","abstract":"This document lists seven Guiding Principles for research organisations to adopt in when creating and procuring services to manage research information.\n\n\nIn particular, the Guiding Principles as formulated in this document aim to help:\n\n\n1. guide academic institutions with decisions in information management of research in their organisations;\n\n\n2. form a collective frame in which academic institutions jointly formulate policy and steer investments in infrastructure;\n\n\n3. provide clear rules of engagement for collaborations involving publicly funded academic data and metadata.\n\n\nThis document is developed by the Dutch Taskforce on Responsible Management of Research Information and Data.36 This Taskforce was established early 2020 by the Association of Universities in the Netherlands (UNL), The Netherlands Federation of University Medical Centres (NFU) and The Dutch Research Council (NWO) to address issues around the responsible use of research information and the role of commercial third party providers in particular.","DOI":"10.5281/zenodo.6074944","publisher":"Zenodo","source":"Zenodo","title":"Seven Guiding Principles for Open Research Information","URL":"https://zenodo.org/records/6074944","author":[{"family":"Bijsterbosch","given":"Magchiel"},{"family":"Dunning","given":"Alastair"},{"family":"Jansen","given":"Darco"},{"family":"Haring","given":"Max"},{"family":"Rijcke","given":"Sarah","non-dropping-particle":"de"},{"family":"Vanderfeesten","given":"Maurice"}],"accessed":{"date-parts":[["2025",1,24]]},"issued":{"date-parts":[["2022",2,14]]}}}],"schema":"https://github.com/citation-style-language/schema/raw/master/csl-citation.json"} </w:instrTex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eastAsia="Helvetica Neue" w:cstheme="minorHAnsi"/>
                <w:b/>
                <w:bCs/>
                <w:color w:val="000000"/>
                <w:kern w:val="0"/>
                <w:sz w:val="20"/>
                <w:szCs w:val="20"/>
                <w:bdr w:val="nil"/>
                <w:vertAlign w:val="superscript"/>
                <w:lang w:val="en-GB" w:eastAsia="nl-NL"/>
                <w14:textOutline w14:w="0" w14:cap="flat" w14:cmpd="sng" w14:algn="ctr">
                  <w14:noFill/>
                  <w14:prstDash w14:val="solid"/>
                  <w14:bevel/>
                </w14:textOutline>
                <w14:ligatures w14:val="none"/>
              </w:rPr>
              <w:t>5</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5C7C5628" w14:textId="494E3B7A" w:rsidR="009A2AA8" w:rsidRPr="009A2AA8" w:rsidRDefault="009A2AA8" w:rsidP="009A2AA8">
            <w:pPr>
              <w:pBdr>
                <w:top w:val="nil"/>
                <w:left w:val="nil"/>
                <w:bottom w:val="nil"/>
                <w:right w:val="nil"/>
                <w:between w:val="nil"/>
                <w:bar w:val="nil"/>
              </w:pBdr>
              <w:spacing w:before="0" w:after="0" w:line="240" w:lineRule="auto"/>
              <w:ind w:left="720"/>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40b.</w:t>
            </w:r>
            <w:r w:rsidR="0088618E">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 xml:space="preserve"> </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PIDS</w:t>
            </w:r>
          </w:p>
          <w:p w14:paraId="290212ED" w14:textId="6A41D352" w:rsidR="009A2AA8" w:rsidRPr="009A2AA8" w:rsidRDefault="009A2AA8" w:rsidP="009A2AA8">
            <w:pPr>
              <w:pBdr>
                <w:top w:val="nil"/>
                <w:left w:val="nil"/>
                <w:bottom w:val="nil"/>
                <w:right w:val="nil"/>
                <w:between w:val="nil"/>
                <w:bar w:val="nil"/>
              </w:pBdr>
              <w:spacing w:before="0" w:after="0" w:line="240" w:lineRule="auto"/>
              <w:ind w:left="720"/>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40c.</w:t>
            </w:r>
            <w:r w:rsidR="00A41D95">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 xml:space="preserve"> </w:t>
            </w: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Connections to international infrastructures</w:t>
            </w:r>
          </w:p>
          <w:p w14:paraId="4F9CD222" w14:textId="77777777" w:rsidR="009A2AA8" w:rsidRPr="009A2AA8" w:rsidRDefault="009A2AA8" w:rsidP="009A2AA8">
            <w:pPr>
              <w:pBdr>
                <w:top w:val="nil"/>
                <w:left w:val="nil"/>
                <w:bottom w:val="nil"/>
                <w:right w:val="nil"/>
                <w:between w:val="nil"/>
                <w:bar w:val="nil"/>
              </w:pBdr>
              <w:spacing w:before="0" w:after="0" w:line="240" w:lineRule="auto"/>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Arial Unicode MS" w:cstheme="minorHAnsi"/>
                <w:color w:val="000000"/>
                <w:kern w:val="0"/>
                <w:sz w:val="20"/>
                <w:szCs w:val="20"/>
                <w:bdr w:val="nil"/>
                <w:lang w:val="en-GB" w:eastAsia="nl-NL"/>
                <w14:textOutline w14:w="0" w14:cap="flat" w14:cmpd="sng" w14:algn="ctr">
                  <w14:noFill/>
                  <w14:prstDash w14:val="solid"/>
                  <w14:bevel/>
                </w14:textOutline>
                <w14:ligatures w14:val="none"/>
              </w:rPr>
              <w:t>41. Semantic:</w:t>
            </w:r>
          </w:p>
          <w:p w14:paraId="4E36397E" w14:textId="77777777" w:rsidR="009A2AA8" w:rsidRPr="009A2AA8" w:rsidRDefault="009A2AA8" w:rsidP="009A2AA8">
            <w:pPr>
              <w:pBdr>
                <w:top w:val="nil"/>
                <w:left w:val="nil"/>
                <w:bottom w:val="nil"/>
                <w:right w:val="nil"/>
                <w:between w:val="nil"/>
                <w:bar w:val="nil"/>
              </w:pBdr>
              <w:spacing w:before="0" w:after="0" w:line="240" w:lineRule="auto"/>
              <w:ind w:left="720"/>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t xml:space="preserve">41a. Vocabularies/ ontologies </w:t>
            </w:r>
          </w:p>
          <w:p w14:paraId="11487A22" w14:textId="77777777" w:rsidR="009A2AA8" w:rsidRPr="009A2AA8" w:rsidRDefault="009A2AA8" w:rsidP="009A2AA8">
            <w:pPr>
              <w:pBdr>
                <w:top w:val="nil"/>
                <w:left w:val="nil"/>
                <w:bottom w:val="nil"/>
                <w:right w:val="nil"/>
                <w:between w:val="nil"/>
                <w:bar w:val="nil"/>
              </w:pBdr>
              <w:spacing w:before="0" w:after="0" w:line="240" w:lineRule="auto"/>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pPr>
            <w:r w:rsidRPr="009A2AA8">
              <w:rPr>
                <w:rFonts w:eastAsia="Helvetica Neue" w:cstheme="minorHAnsi"/>
                <w:color w:val="000000"/>
                <w:kern w:val="0"/>
                <w:sz w:val="20"/>
                <w:szCs w:val="20"/>
                <w:bdr w:val="nil"/>
                <w:lang w:val="en-GB" w:eastAsia="nl-NL"/>
                <w14:textOutline w14:w="0" w14:cap="flat" w14:cmpd="sng" w14:algn="ctr">
                  <w14:noFill/>
                  <w14:prstDash w14:val="solid"/>
                  <w14:bevel/>
                </w14:textOutline>
                <w14:ligatures w14:val="none"/>
              </w:rPr>
              <w:t>42. Terms of use</w:t>
            </w:r>
          </w:p>
        </w:tc>
      </w:tr>
      <w:tr w:rsidR="009A2AA8" w:rsidRPr="001C3186" w14:paraId="4FE8A685" w14:textId="77777777" w:rsidTr="45D2306D">
        <w:tblPrEx>
          <w:shd w:val="clear" w:color="auto" w:fill="auto"/>
        </w:tblPrEx>
        <w:trPr>
          <w:trHeight w:val="368"/>
        </w:trPr>
        <w:tc>
          <w:tcPr>
            <w:tcW w:w="442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2DEA6942" w14:textId="63E3829D" w:rsidR="009A2AA8" w:rsidRPr="009A2AA8" w:rsidRDefault="007051F6" w:rsidP="009A2AA8">
            <w:pPr>
              <w:pBdr>
                <w:top w:val="nil"/>
                <w:left w:val="nil"/>
                <w:bottom w:val="nil"/>
                <w:right w:val="nil"/>
                <w:between w:val="nil"/>
                <w:bar w:val="nil"/>
              </w:pBdr>
              <w:spacing w:before="0" w:after="0" w:line="240" w:lineRule="auto"/>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pPr>
            <w:r>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 xml:space="preserve">5. </w:t>
            </w:r>
            <w:r w:rsidR="009A2AA8"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Researcher-centric</w:t>
            </w:r>
          </w:p>
        </w:tc>
        <w:tc>
          <w:tcPr>
            <w:tcW w:w="4395"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14D4E06C" w14:textId="77777777" w:rsidR="009A2AA8" w:rsidRPr="009A2AA8" w:rsidRDefault="009A2AA8" w:rsidP="009A2AA8">
            <w:pPr>
              <w:pBdr>
                <w:top w:val="nil"/>
                <w:left w:val="nil"/>
                <w:bottom w:val="nil"/>
                <w:right w:val="nil"/>
                <w:between w:val="nil"/>
                <w:bar w:val="nil"/>
              </w:pBdr>
              <w:spacing w:before="0" w:after="0" w:line="240" w:lineRule="auto"/>
              <w:rPr>
                <w:rFonts w:ascii="Helvetica Neue" w:eastAsia="Helvetica Neue" w:hAnsi="Helvetica Neue" w:cs="Helvetica Neue"/>
                <w:b/>
                <w:bCs/>
                <w:color w:val="000000"/>
                <w:kern w:val="0"/>
                <w:sz w:val="20"/>
                <w:szCs w:val="20"/>
                <w:bdr w:val="nil"/>
                <w:lang w:val="en-GB" w:eastAsia="nl-NL"/>
                <w14:textOutline w14:w="0" w14:cap="flat" w14:cmpd="sng" w14:algn="ctr">
                  <w14:noFill/>
                  <w14:prstDash w14:val="solid"/>
                  <w14:bevel/>
                </w14:textOutline>
                <w14:ligatures w14:val="none"/>
              </w:rPr>
            </w:pP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t>5.1 Seamless user-experience</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begin"/>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instrText xml:space="preserve"> ADDIN ZOTERO_ITEM CSL_CITATION {"citationID":"SeUq8wAi","properties":{"unsorted":false,"formattedCitation":"\\super 3\\nosupersub{}","plainCitation":"3","noteIndex":0},"citationItems":[{"id":1173,"uris":["http://zotero.org/users/6554263/items/SJIEDB2Q"],"itemData":{"id":1173,"type":"article-journal","abstract":"As information and communication technology has become pervasive in our society, we are increasingly dependent on both digital data and repositories that provide access to and enable the use of such resources. Repositories must earn the trust of the communities they intend to serve and demonstrate that they are reliable and capable of appropriately managing the data they hold.","container-title":"Scientific Data","DOI":"10.1038/s41597-020-0486-7","ISSN":"2052-4463","issue":"1","journalAbbreviation":"Sci Data","language":"en","license":"2020 This is a U.S. government work and not under copyright protection in the U.S.; foreign copyright protection may apply","page":"144","publisher":"Nature Publishing Group","source":"www.nature.com","title":"The TRUST Principles for digital repositories","volume":"7","author":[{"family":"Lin","given":"Dawei"},{"family":"Crabtree","given":"Jonathan"},{"family":"Dillo","given":"Ingrid"},{"family":"Downs","given":"Robert R."},{"family":"Edmunds","given":"Rorie"},{"family":"Giaretta","given":"David"},{"family":"De Giusti","given":"Marisa"},{"family":"L’Hours","given":"Hervé"},{"family":"Hugo","given":"Wim"},{"family":"Jenkyns","given":"Reyna"},{"family":"Khodiyar","given":"Varsha"},{"family":"Martone","given":"Maryann E."},{"family":"Mokrane","given":"Mustapha"},{"family":"Navale","given":"Vivek"},{"family":"Petters","given":"Jonathan"},{"family":"Sierman","given":"Barbara"},{"family":"Sokolova","given":"Dina V."},{"family":"Stockhause","given":"Martina"},{"family":"Westbrook","given":"John"}],"issued":{"date-parts":[["2020",5,14]]}}}],"schema":"https://github.com/citation-style-language/schema/raw/master/csl-citation.json"} </w:instrTex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separate"/>
            </w:r>
            <w:r w:rsidRPr="009A2AA8">
              <w:rPr>
                <w:rFonts w:ascii="Helvetica Neue" w:eastAsia="Helvetica Neue" w:hAnsi="Helvetica Neue" w:cs="Times New Roman"/>
                <w:b/>
                <w:bCs/>
                <w:color w:val="000000"/>
                <w:kern w:val="0"/>
                <w:sz w:val="20"/>
                <w:szCs w:val="20"/>
                <w:bdr w:val="nil"/>
                <w:vertAlign w:val="superscript"/>
                <w:lang w:val="en-GB" w:eastAsia="nl-NL"/>
                <w14:textOutline w14:w="0" w14:cap="flat" w14:cmpd="sng" w14:algn="ctr">
                  <w14:noFill/>
                  <w14:prstDash w14:val="solid"/>
                  <w14:bevel/>
                </w14:textOutline>
                <w14:ligatures w14:val="none"/>
              </w:rPr>
              <w:t>3</w:t>
            </w:r>
            <w:r w:rsidRPr="009A2AA8">
              <w:rPr>
                <w:rFonts w:ascii="Helvetica Neue" w:eastAsia="Arial Unicode MS" w:hAnsi="Helvetica Neue" w:cs="Arial Unicode MS"/>
                <w:b/>
                <w:bCs/>
                <w:color w:val="000000"/>
                <w:kern w:val="0"/>
                <w:sz w:val="20"/>
                <w:szCs w:val="20"/>
                <w:bdr w:val="nil"/>
                <w:lang w:val="en-GB" w:eastAsia="nl-NL"/>
                <w14:textOutline w14:w="0" w14:cap="flat" w14:cmpd="sng" w14:algn="ctr">
                  <w14:noFill/>
                  <w14:prstDash w14:val="solid"/>
                  <w14:bevel/>
                </w14:textOutline>
                <w14:ligatures w14:val="none"/>
              </w:rPr>
              <w:fldChar w:fldCharType="end"/>
            </w:r>
          </w:p>
          <w:p w14:paraId="45B241BC"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imes New Roman"/>
                <w:kern w:val="0"/>
                <w:sz w:val="20"/>
                <w:szCs w:val="20"/>
                <w:bdr w:val="nil"/>
                <w:lang w:val="en-GB"/>
                <w14:ligatures w14:val="none"/>
              </w:rPr>
            </w:pPr>
          </w:p>
        </w:tc>
        <w:tc>
          <w:tcPr>
            <w:tcW w:w="5070"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80" w:type="dxa"/>
              <w:left w:w="80" w:type="dxa"/>
              <w:bottom w:w="80" w:type="dxa"/>
              <w:right w:w="80" w:type="dxa"/>
            </w:tcMar>
          </w:tcPr>
          <w:p w14:paraId="6290B378" w14:textId="77777777" w:rsidR="009A2AA8" w:rsidRPr="009A2AA8" w:rsidRDefault="009A2AA8" w:rsidP="009A2AA8">
            <w:pPr>
              <w:pBdr>
                <w:top w:val="nil"/>
                <w:left w:val="nil"/>
                <w:bottom w:val="nil"/>
                <w:right w:val="nil"/>
                <w:between w:val="nil"/>
                <w:bar w:val="nil"/>
              </w:pBdr>
              <w:spacing w:before="0" w:after="0" w:line="240" w:lineRule="auto"/>
              <w:rPr>
                <w:rFonts w:eastAsia="Arial Unicode MS" w:cstheme="minorHAnsi"/>
                <w:kern w:val="0"/>
                <w:sz w:val="20"/>
                <w:szCs w:val="20"/>
                <w:bdr w:val="nil"/>
                <w:lang w:val="en-GB"/>
                <w14:ligatures w14:val="none"/>
              </w:rPr>
            </w:pPr>
            <w:r w:rsidRPr="009A2AA8">
              <w:rPr>
                <w:rFonts w:eastAsia="Arial Unicode MS" w:cstheme="minorHAnsi"/>
                <w:kern w:val="0"/>
                <w:sz w:val="20"/>
                <w:szCs w:val="20"/>
                <w:bdr w:val="nil"/>
                <w:lang w:val="en-GB"/>
                <w14:ligatures w14:val="none"/>
              </w:rPr>
              <w:t>51. User-driven design</w:t>
            </w:r>
          </w:p>
          <w:p w14:paraId="6441EB31" w14:textId="77777777" w:rsidR="009A2AA8" w:rsidRPr="009A2AA8" w:rsidRDefault="009A2AA8" w:rsidP="009A2AA8">
            <w:pPr>
              <w:pBdr>
                <w:top w:val="nil"/>
                <w:left w:val="nil"/>
                <w:bottom w:val="nil"/>
                <w:right w:val="nil"/>
                <w:between w:val="nil"/>
                <w:bar w:val="nil"/>
              </w:pBdr>
              <w:spacing w:before="0" w:after="0" w:line="240" w:lineRule="auto"/>
              <w:rPr>
                <w:rFonts w:ascii="Times New Roman" w:eastAsia="Arial Unicode MS" w:hAnsi="Times New Roman" w:cs="Times New Roman"/>
                <w:kern w:val="0"/>
                <w:sz w:val="24"/>
                <w:szCs w:val="24"/>
                <w:bdr w:val="nil"/>
                <w:lang w:val="en-GB"/>
                <w14:ligatures w14:val="none"/>
              </w:rPr>
            </w:pPr>
            <w:r w:rsidRPr="009A2AA8">
              <w:rPr>
                <w:rFonts w:eastAsia="Arial Unicode MS" w:cstheme="minorHAnsi"/>
                <w:kern w:val="0"/>
                <w:sz w:val="20"/>
                <w:szCs w:val="20"/>
                <w:bdr w:val="nil"/>
                <w:lang w:val="en-GB"/>
                <w14:ligatures w14:val="none"/>
              </w:rPr>
              <w:t>52. Recognition and rewards framework</w:t>
            </w:r>
          </w:p>
        </w:tc>
      </w:tr>
    </w:tbl>
    <w:p w14:paraId="1972225C" w14:textId="3C18BEE1" w:rsidR="009A2AA8" w:rsidRPr="009A2AA8" w:rsidRDefault="00AF3039" w:rsidP="009A2AA8">
      <w:pPr>
        <w:pBdr>
          <w:top w:val="single" w:sz="24" w:space="0" w:color="EAF4D7" w:themeColor="accent1" w:themeTint="33"/>
          <w:left w:val="single" w:sz="24" w:space="0" w:color="EAF4D7" w:themeColor="accent1" w:themeTint="33"/>
          <w:bottom w:val="single" w:sz="24" w:space="0" w:color="EAF4D7" w:themeColor="accent1" w:themeTint="33"/>
          <w:right w:val="single" w:sz="24" w:space="0" w:color="EAF4D7" w:themeColor="accent1" w:themeTint="33"/>
        </w:pBdr>
        <w:shd w:val="clear" w:color="auto" w:fill="EAF4D7" w:themeFill="accent1" w:themeFillTint="33"/>
        <w:spacing w:after="0"/>
        <w:outlineLvl w:val="1"/>
        <w:rPr>
          <w:caps/>
          <w:spacing w:val="15"/>
          <w:lang w:val="en-GB"/>
        </w:rPr>
      </w:pPr>
      <w:r>
        <w:rPr>
          <w:caps/>
          <w:spacing w:val="15"/>
          <w:lang w:val="en-GB"/>
        </w:rPr>
        <w:lastRenderedPageBreak/>
        <w:t>R</w:t>
      </w:r>
      <w:r w:rsidR="009A2AA8" w:rsidRPr="009A2AA8">
        <w:rPr>
          <w:caps/>
          <w:spacing w:val="15"/>
          <w:lang w:val="en-GB"/>
        </w:rPr>
        <w:t>eferences</w:t>
      </w:r>
    </w:p>
    <w:p w14:paraId="4A9CD553" w14:textId="77777777" w:rsidR="009A2AA8" w:rsidRPr="009A2AA8" w:rsidRDefault="009A2AA8" w:rsidP="009A2AA8">
      <w:pPr>
        <w:spacing w:after="0" w:line="240" w:lineRule="auto"/>
        <w:rPr>
          <w:lang w:val="en-GB"/>
        </w:rPr>
      </w:pPr>
      <w:r w:rsidRPr="009A2AA8">
        <w:rPr>
          <w:szCs w:val="16"/>
        </w:rPr>
        <w:fldChar w:fldCharType="begin"/>
      </w:r>
      <w:r w:rsidRPr="009A2AA8">
        <w:rPr>
          <w:szCs w:val="16"/>
          <w:lang w:val="en-GB"/>
        </w:rPr>
        <w:instrText xml:space="preserve"> ADDIN ZOTERO_BIBL {"uncited":[],"omitted":[],"custom":[]} CSL_BIBLIOGRAPHY </w:instrText>
      </w:r>
      <w:r w:rsidRPr="009A2AA8">
        <w:rPr>
          <w:szCs w:val="16"/>
        </w:rPr>
        <w:fldChar w:fldCharType="separate"/>
      </w:r>
      <w:r w:rsidRPr="009A2AA8">
        <w:rPr>
          <w:lang w:val="en-GB"/>
        </w:rPr>
        <w:t>1. NPOS. Open Science 2030 in the Netherlands: NPOS2030 Ambition Document and Rolling Agenda. https://zenodo.org/record/7433767 (2022) doi:10.5281/ZENODO.7433767.</w:t>
      </w:r>
    </w:p>
    <w:p w14:paraId="7DB0A9F0" w14:textId="77777777" w:rsidR="009A2AA8" w:rsidRPr="009A2AA8" w:rsidRDefault="009A2AA8" w:rsidP="009A2AA8">
      <w:pPr>
        <w:spacing w:after="0" w:line="240" w:lineRule="auto"/>
        <w:rPr>
          <w:lang w:val="en-GB"/>
        </w:rPr>
      </w:pPr>
      <w:r w:rsidRPr="009A2AA8">
        <w:rPr>
          <w:lang w:val="en-GB"/>
        </w:rPr>
        <w:t>2. UNESCO Recommendation on Open Science - UNESCO Digital Library. https://unesdoc.unesco.org/ark:/48223/pf0000379949.</w:t>
      </w:r>
    </w:p>
    <w:p w14:paraId="7D7465C1" w14:textId="77777777" w:rsidR="009A2AA8" w:rsidRPr="009A2AA8" w:rsidRDefault="009A2AA8" w:rsidP="009A2AA8">
      <w:pPr>
        <w:spacing w:after="0" w:line="240" w:lineRule="auto"/>
        <w:rPr>
          <w:lang w:val="en-GB"/>
        </w:rPr>
      </w:pPr>
      <w:r w:rsidRPr="009A2AA8">
        <w:rPr>
          <w:lang w:val="en-GB"/>
        </w:rPr>
        <w:t xml:space="preserve">3. Lin, D. et al. The TRUST Principles for digital repositories. Sci. Data </w:t>
      </w:r>
      <w:r w:rsidRPr="009A2AA8">
        <w:rPr>
          <w:b/>
          <w:bCs/>
          <w:lang w:val="en-GB"/>
        </w:rPr>
        <w:t>7</w:t>
      </w:r>
      <w:r w:rsidRPr="009A2AA8">
        <w:rPr>
          <w:lang w:val="en-GB"/>
        </w:rPr>
        <w:t>, 144 (2020).</w:t>
      </w:r>
    </w:p>
    <w:p w14:paraId="757089D5" w14:textId="77777777" w:rsidR="009A2AA8" w:rsidRPr="009A2AA8" w:rsidRDefault="009A2AA8" w:rsidP="009A2AA8">
      <w:pPr>
        <w:spacing w:after="0" w:line="240" w:lineRule="auto"/>
        <w:rPr>
          <w:lang w:val="en-GB"/>
        </w:rPr>
      </w:pPr>
      <w:r w:rsidRPr="009A2AA8">
        <w:rPr>
          <w:lang w:val="en-GB"/>
        </w:rPr>
        <w:t>4. The Principles of Open Scholarly Infrastructure (v2.0, 2025). The Principles of Open Scholarly Infrastructure https://openscholarlyinfrastructure.org/.</w:t>
      </w:r>
    </w:p>
    <w:p w14:paraId="79649FCB" w14:textId="77777777" w:rsidR="009A2AA8" w:rsidRPr="009A2AA8" w:rsidRDefault="009A2AA8" w:rsidP="009A2AA8">
      <w:pPr>
        <w:spacing w:after="0" w:line="240" w:lineRule="auto"/>
        <w:rPr>
          <w:lang w:val="en-GB"/>
        </w:rPr>
      </w:pPr>
      <w:r w:rsidRPr="009A2AA8">
        <w:rPr>
          <w:lang w:val="en-GB"/>
        </w:rPr>
        <w:t>5. Bijsterbosch, M. et al. Seven Guiding Principles for Open Research Information. https://zenodo.org/records/6074944 (2022) doi:10.5281/zenodo.6074944.</w:t>
      </w:r>
    </w:p>
    <w:p w14:paraId="245332D9" w14:textId="77777777" w:rsidR="009A2AA8" w:rsidRPr="009A2AA8" w:rsidRDefault="009A2AA8" w:rsidP="009A2AA8">
      <w:pPr>
        <w:spacing w:after="0" w:line="240" w:lineRule="auto"/>
        <w:rPr>
          <w:lang w:val="en-GB"/>
        </w:rPr>
      </w:pPr>
      <w:r w:rsidRPr="009A2AA8">
        <w:rPr>
          <w:lang w:val="en-GB"/>
        </w:rPr>
        <w:t>6. Nederland, U. van &amp; Netherlands, A. of universities in the. A new open access strategy for the Netherlands. https://doi.org/10.5281/zenodo.19548009 (2026) doi:10.5281/zenodo.19548009.</w:t>
      </w:r>
    </w:p>
    <w:p w14:paraId="716B32D9" w14:textId="669CDF35" w:rsidR="009A2AA8" w:rsidRPr="009A2AA8" w:rsidRDefault="009A2AA8" w:rsidP="00FD25EE">
      <w:pPr>
        <w:pBdr>
          <w:top w:val="nil"/>
          <w:left w:val="nil"/>
          <w:bottom w:val="nil"/>
          <w:right w:val="nil"/>
          <w:between w:val="nil"/>
          <w:bar w:val="nil"/>
        </w:pBdr>
        <w:spacing w:before="0" w:after="0" w:line="240" w:lineRule="auto"/>
        <w:rPr>
          <w:rFonts w:ascii="Times New Roman" w:eastAsia="Arial Unicode MS" w:hAnsi="Times New Roman" w:cs="Times New Roman"/>
          <w:kern w:val="0"/>
          <w:sz w:val="16"/>
          <w:szCs w:val="16"/>
          <w:bdr w:val="nil"/>
          <w:lang w:val="en-GB"/>
          <w14:ligatures w14:val="none"/>
        </w:rPr>
      </w:pPr>
      <w:r w:rsidRPr="009A2AA8">
        <w:rPr>
          <w:rFonts w:ascii="Times New Roman" w:eastAsia="Arial Unicode MS" w:hAnsi="Times New Roman" w:cs="Times New Roman"/>
          <w:kern w:val="0"/>
          <w:sz w:val="16"/>
          <w:szCs w:val="16"/>
          <w:bdr w:val="nil"/>
          <w14:ligatures w14:val="none"/>
        </w:rPr>
        <w:fldChar w:fldCharType="end"/>
      </w:r>
    </w:p>
    <w:sectPr w:rsidR="009A2AA8" w:rsidRPr="009A2AA8" w:rsidSect="009A2AA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Arial"/>
    <w:charset w:val="00"/>
    <w:family w:val="roman"/>
    <w:pitch w:val="default"/>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34CF"/>
    <w:multiLevelType w:val="multilevel"/>
    <w:tmpl w:val="6B5ADB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D133096"/>
    <w:multiLevelType w:val="hybridMultilevel"/>
    <w:tmpl w:val="AAA0644E"/>
    <w:lvl w:ilvl="0" w:tplc="B3CC395A">
      <w:start w:val="1"/>
      <w:numFmt w:val="decimal"/>
      <w:lvlText w:val="%1."/>
      <w:lvlJc w:val="left"/>
      <w:pPr>
        <w:ind w:left="720" w:hanging="360"/>
      </w:pPr>
      <w:rPr>
        <w:rFonts w:eastAsia="Arial Unicode MS" w:cs="Arial Unicode M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A26600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4170927">
    <w:abstractNumId w:val="2"/>
  </w:num>
  <w:num w:numId="2" w16cid:durableId="1480730734">
    <w:abstractNumId w:val="0"/>
  </w:num>
  <w:num w:numId="3" w16cid:durableId="1392117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90516B3-B382-450A-AA58-477344240149}"/>
    <w:docVar w:name="dgnword-eventsink" w:val="2589634623216"/>
  </w:docVars>
  <w:rsids>
    <w:rsidRoot w:val="009A2AA8"/>
    <w:rsid w:val="0006134D"/>
    <w:rsid w:val="000C5738"/>
    <w:rsid w:val="000D58B1"/>
    <w:rsid w:val="00163ACE"/>
    <w:rsid w:val="001A25D3"/>
    <w:rsid w:val="001A5B13"/>
    <w:rsid w:val="001C3186"/>
    <w:rsid w:val="002224E9"/>
    <w:rsid w:val="00235E7E"/>
    <w:rsid w:val="00244659"/>
    <w:rsid w:val="002777A5"/>
    <w:rsid w:val="002811F0"/>
    <w:rsid w:val="002A2B01"/>
    <w:rsid w:val="002F1A78"/>
    <w:rsid w:val="0034315D"/>
    <w:rsid w:val="003503D0"/>
    <w:rsid w:val="00387274"/>
    <w:rsid w:val="003A515F"/>
    <w:rsid w:val="0040564B"/>
    <w:rsid w:val="00422858"/>
    <w:rsid w:val="004A5A63"/>
    <w:rsid w:val="00522EE8"/>
    <w:rsid w:val="005818D4"/>
    <w:rsid w:val="005A6E97"/>
    <w:rsid w:val="0063397D"/>
    <w:rsid w:val="00663884"/>
    <w:rsid w:val="00691CE9"/>
    <w:rsid w:val="007051F6"/>
    <w:rsid w:val="00724E10"/>
    <w:rsid w:val="0079148B"/>
    <w:rsid w:val="0088618E"/>
    <w:rsid w:val="009008E8"/>
    <w:rsid w:val="00913BF9"/>
    <w:rsid w:val="0095740B"/>
    <w:rsid w:val="009A2AA8"/>
    <w:rsid w:val="009B76A4"/>
    <w:rsid w:val="00A04F67"/>
    <w:rsid w:val="00A41D95"/>
    <w:rsid w:val="00AF3039"/>
    <w:rsid w:val="00B5098E"/>
    <w:rsid w:val="00B77FA5"/>
    <w:rsid w:val="00C05B0E"/>
    <w:rsid w:val="00C158A9"/>
    <w:rsid w:val="00C27A31"/>
    <w:rsid w:val="00C354F2"/>
    <w:rsid w:val="00C576C6"/>
    <w:rsid w:val="00C72DDC"/>
    <w:rsid w:val="00CA5C11"/>
    <w:rsid w:val="00CE13C7"/>
    <w:rsid w:val="00CF0BA5"/>
    <w:rsid w:val="00E346DA"/>
    <w:rsid w:val="00E44FAF"/>
    <w:rsid w:val="00EE1D4D"/>
    <w:rsid w:val="00EF1775"/>
    <w:rsid w:val="00F27304"/>
    <w:rsid w:val="00FA1CEB"/>
    <w:rsid w:val="00FD25EE"/>
    <w:rsid w:val="1FD49876"/>
    <w:rsid w:val="40D9DB71"/>
    <w:rsid w:val="45D230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E1BA"/>
  <w15:chartTrackingRefBased/>
  <w15:docId w15:val="{0DD67968-242A-4496-8459-0473EF0A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before="10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5F"/>
  </w:style>
  <w:style w:type="paragraph" w:styleId="Heading1">
    <w:name w:val="heading 1"/>
    <w:basedOn w:val="Normal"/>
    <w:next w:val="Normal"/>
    <w:link w:val="Heading1Char"/>
    <w:uiPriority w:val="9"/>
    <w:qFormat/>
    <w:rsid w:val="003A515F"/>
    <w:pPr>
      <w:pBdr>
        <w:top w:val="single" w:sz="24" w:space="0" w:color="99CB38" w:themeColor="accent1"/>
        <w:left w:val="single" w:sz="24" w:space="0" w:color="99CB38" w:themeColor="accent1"/>
        <w:bottom w:val="single" w:sz="24" w:space="0" w:color="99CB38" w:themeColor="accent1"/>
        <w:right w:val="single" w:sz="24" w:space="0" w:color="99CB38" w:themeColor="accent1"/>
      </w:pBdr>
      <w:shd w:val="clear" w:color="auto" w:fill="99CB38" w:themeFill="accent1"/>
      <w:spacing w:after="0"/>
      <w:outlineLvl w:val="0"/>
    </w:pPr>
    <w:rPr>
      <w:caps/>
      <w:color w:val="FFFFFF" w:themeColor="background1"/>
      <w:spacing w:val="15"/>
    </w:rPr>
  </w:style>
  <w:style w:type="paragraph" w:styleId="Heading2">
    <w:name w:val="heading 2"/>
    <w:basedOn w:val="Normal"/>
    <w:next w:val="Normal"/>
    <w:link w:val="Heading2Char"/>
    <w:uiPriority w:val="9"/>
    <w:unhideWhenUsed/>
    <w:qFormat/>
    <w:rsid w:val="003A515F"/>
    <w:pPr>
      <w:pBdr>
        <w:top w:val="single" w:sz="24" w:space="0" w:color="EAF4D7" w:themeColor="accent1" w:themeTint="33"/>
        <w:left w:val="single" w:sz="24" w:space="0" w:color="EAF4D7" w:themeColor="accent1" w:themeTint="33"/>
        <w:bottom w:val="single" w:sz="24" w:space="0" w:color="EAF4D7" w:themeColor="accent1" w:themeTint="33"/>
        <w:right w:val="single" w:sz="24" w:space="0" w:color="EAF4D7" w:themeColor="accent1" w:themeTint="33"/>
      </w:pBdr>
      <w:shd w:val="clear" w:color="auto" w:fill="EAF4D7"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A515F"/>
    <w:pPr>
      <w:pBdr>
        <w:top w:val="single" w:sz="6" w:space="2" w:color="99CB38" w:themeColor="accent1"/>
      </w:pBdr>
      <w:spacing w:before="300" w:after="0"/>
      <w:outlineLvl w:val="2"/>
    </w:pPr>
    <w:rPr>
      <w:caps/>
      <w:color w:val="4C661A" w:themeColor="accent1" w:themeShade="7F"/>
      <w:spacing w:val="15"/>
    </w:rPr>
  </w:style>
  <w:style w:type="paragraph" w:styleId="Heading4">
    <w:name w:val="heading 4"/>
    <w:basedOn w:val="Normal"/>
    <w:next w:val="Normal"/>
    <w:link w:val="Heading4Char"/>
    <w:uiPriority w:val="9"/>
    <w:unhideWhenUsed/>
    <w:qFormat/>
    <w:rsid w:val="003A515F"/>
    <w:pPr>
      <w:pBdr>
        <w:top w:val="dotted" w:sz="6" w:space="2" w:color="99CB38" w:themeColor="accent1"/>
      </w:pBdr>
      <w:spacing w:before="200" w:after="0"/>
      <w:outlineLvl w:val="3"/>
    </w:pPr>
    <w:rPr>
      <w:caps/>
      <w:color w:val="729928" w:themeColor="accent1" w:themeShade="BF"/>
      <w:spacing w:val="10"/>
    </w:rPr>
  </w:style>
  <w:style w:type="paragraph" w:styleId="Heading5">
    <w:name w:val="heading 5"/>
    <w:basedOn w:val="Normal"/>
    <w:next w:val="Normal"/>
    <w:link w:val="Heading5Char"/>
    <w:uiPriority w:val="9"/>
    <w:unhideWhenUsed/>
    <w:qFormat/>
    <w:rsid w:val="003A515F"/>
    <w:pPr>
      <w:pBdr>
        <w:bottom w:val="single" w:sz="6" w:space="1" w:color="99CB38" w:themeColor="accent1"/>
      </w:pBdr>
      <w:spacing w:before="200" w:after="0"/>
      <w:outlineLvl w:val="4"/>
    </w:pPr>
    <w:rPr>
      <w:caps/>
      <w:color w:val="729928" w:themeColor="accent1" w:themeShade="BF"/>
      <w:spacing w:val="10"/>
    </w:rPr>
  </w:style>
  <w:style w:type="paragraph" w:styleId="Heading6">
    <w:name w:val="heading 6"/>
    <w:basedOn w:val="Normal"/>
    <w:next w:val="Normal"/>
    <w:link w:val="Heading6Char"/>
    <w:uiPriority w:val="9"/>
    <w:semiHidden/>
    <w:unhideWhenUsed/>
    <w:qFormat/>
    <w:rsid w:val="003A515F"/>
    <w:pPr>
      <w:pBdr>
        <w:bottom w:val="dotted" w:sz="6" w:space="1" w:color="99CB38" w:themeColor="accent1"/>
      </w:pBdr>
      <w:spacing w:before="200" w:after="0"/>
      <w:outlineLvl w:val="5"/>
    </w:pPr>
    <w:rPr>
      <w:caps/>
      <w:color w:val="729928" w:themeColor="accent1" w:themeShade="BF"/>
      <w:spacing w:val="10"/>
    </w:rPr>
  </w:style>
  <w:style w:type="paragraph" w:styleId="Heading7">
    <w:name w:val="heading 7"/>
    <w:basedOn w:val="Normal"/>
    <w:next w:val="Normal"/>
    <w:link w:val="Heading7Char"/>
    <w:uiPriority w:val="9"/>
    <w:semiHidden/>
    <w:unhideWhenUsed/>
    <w:qFormat/>
    <w:rsid w:val="003A515F"/>
    <w:pPr>
      <w:spacing w:before="200" w:after="0"/>
      <w:outlineLvl w:val="6"/>
    </w:pPr>
    <w:rPr>
      <w:caps/>
      <w:color w:val="729928" w:themeColor="accent1" w:themeShade="BF"/>
      <w:spacing w:val="10"/>
    </w:rPr>
  </w:style>
  <w:style w:type="paragraph" w:styleId="Heading8">
    <w:name w:val="heading 8"/>
    <w:basedOn w:val="Normal"/>
    <w:next w:val="Normal"/>
    <w:link w:val="Heading8Char"/>
    <w:uiPriority w:val="9"/>
    <w:semiHidden/>
    <w:unhideWhenUsed/>
    <w:qFormat/>
    <w:rsid w:val="003A515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515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15F"/>
    <w:rPr>
      <w:caps/>
      <w:color w:val="FFFFFF" w:themeColor="background1"/>
      <w:spacing w:val="15"/>
      <w:shd w:val="clear" w:color="auto" w:fill="99CB38" w:themeFill="accent1"/>
    </w:rPr>
  </w:style>
  <w:style w:type="character" w:customStyle="1" w:styleId="Heading2Char">
    <w:name w:val="Heading 2 Char"/>
    <w:basedOn w:val="DefaultParagraphFont"/>
    <w:link w:val="Heading2"/>
    <w:uiPriority w:val="9"/>
    <w:rsid w:val="003A515F"/>
    <w:rPr>
      <w:caps/>
      <w:spacing w:val="15"/>
      <w:shd w:val="clear" w:color="auto" w:fill="EAF4D7" w:themeFill="accent1" w:themeFillTint="33"/>
    </w:rPr>
  </w:style>
  <w:style w:type="character" w:customStyle="1" w:styleId="Heading3Char">
    <w:name w:val="Heading 3 Char"/>
    <w:basedOn w:val="DefaultParagraphFont"/>
    <w:link w:val="Heading3"/>
    <w:uiPriority w:val="9"/>
    <w:rsid w:val="003A515F"/>
    <w:rPr>
      <w:caps/>
      <w:color w:val="4C661A" w:themeColor="accent1" w:themeShade="7F"/>
      <w:spacing w:val="15"/>
    </w:rPr>
  </w:style>
  <w:style w:type="character" w:customStyle="1" w:styleId="Heading4Char">
    <w:name w:val="Heading 4 Char"/>
    <w:basedOn w:val="DefaultParagraphFont"/>
    <w:link w:val="Heading4"/>
    <w:uiPriority w:val="9"/>
    <w:rsid w:val="003A515F"/>
    <w:rPr>
      <w:caps/>
      <w:color w:val="729928" w:themeColor="accent1" w:themeShade="BF"/>
      <w:spacing w:val="10"/>
    </w:rPr>
  </w:style>
  <w:style w:type="character" w:customStyle="1" w:styleId="Heading5Char">
    <w:name w:val="Heading 5 Char"/>
    <w:basedOn w:val="DefaultParagraphFont"/>
    <w:link w:val="Heading5"/>
    <w:uiPriority w:val="9"/>
    <w:rsid w:val="003A515F"/>
    <w:rPr>
      <w:caps/>
      <w:color w:val="729928" w:themeColor="accent1" w:themeShade="BF"/>
      <w:spacing w:val="10"/>
    </w:rPr>
  </w:style>
  <w:style w:type="character" w:customStyle="1" w:styleId="Heading6Char">
    <w:name w:val="Heading 6 Char"/>
    <w:basedOn w:val="DefaultParagraphFont"/>
    <w:link w:val="Heading6"/>
    <w:uiPriority w:val="9"/>
    <w:semiHidden/>
    <w:rsid w:val="003A515F"/>
    <w:rPr>
      <w:caps/>
      <w:color w:val="729928" w:themeColor="accent1" w:themeShade="BF"/>
      <w:spacing w:val="10"/>
    </w:rPr>
  </w:style>
  <w:style w:type="character" w:customStyle="1" w:styleId="Heading7Char">
    <w:name w:val="Heading 7 Char"/>
    <w:basedOn w:val="DefaultParagraphFont"/>
    <w:link w:val="Heading7"/>
    <w:uiPriority w:val="9"/>
    <w:semiHidden/>
    <w:rsid w:val="003A515F"/>
    <w:rPr>
      <w:caps/>
      <w:color w:val="729928" w:themeColor="accent1" w:themeShade="BF"/>
      <w:spacing w:val="10"/>
    </w:rPr>
  </w:style>
  <w:style w:type="character" w:customStyle="1" w:styleId="Heading8Char">
    <w:name w:val="Heading 8 Char"/>
    <w:basedOn w:val="DefaultParagraphFont"/>
    <w:link w:val="Heading8"/>
    <w:uiPriority w:val="9"/>
    <w:semiHidden/>
    <w:rsid w:val="003A515F"/>
    <w:rPr>
      <w:caps/>
      <w:spacing w:val="10"/>
      <w:sz w:val="18"/>
      <w:szCs w:val="18"/>
    </w:rPr>
  </w:style>
  <w:style w:type="character" w:customStyle="1" w:styleId="Heading9Char">
    <w:name w:val="Heading 9 Char"/>
    <w:basedOn w:val="DefaultParagraphFont"/>
    <w:link w:val="Heading9"/>
    <w:uiPriority w:val="9"/>
    <w:semiHidden/>
    <w:rsid w:val="003A515F"/>
    <w:rPr>
      <w:i/>
      <w:iCs/>
      <w:caps/>
      <w:spacing w:val="10"/>
      <w:sz w:val="18"/>
      <w:szCs w:val="18"/>
    </w:rPr>
  </w:style>
  <w:style w:type="paragraph" w:styleId="Caption">
    <w:name w:val="caption"/>
    <w:basedOn w:val="Normal"/>
    <w:next w:val="Normal"/>
    <w:uiPriority w:val="35"/>
    <w:unhideWhenUsed/>
    <w:qFormat/>
    <w:rsid w:val="003A515F"/>
    <w:rPr>
      <w:b/>
      <w:bCs/>
      <w:color w:val="729928" w:themeColor="accent1" w:themeShade="BF"/>
      <w:sz w:val="16"/>
      <w:szCs w:val="16"/>
    </w:rPr>
  </w:style>
  <w:style w:type="paragraph" w:styleId="Title">
    <w:name w:val="Title"/>
    <w:basedOn w:val="Normal"/>
    <w:next w:val="Normal"/>
    <w:link w:val="TitleChar"/>
    <w:uiPriority w:val="10"/>
    <w:qFormat/>
    <w:rsid w:val="003A515F"/>
    <w:pPr>
      <w:spacing w:before="0" w:after="0"/>
    </w:pPr>
    <w:rPr>
      <w:rFonts w:asciiTheme="majorHAnsi" w:eastAsiaTheme="majorEastAsia" w:hAnsiTheme="majorHAnsi" w:cstheme="majorBidi"/>
      <w:caps/>
      <w:color w:val="99CB38" w:themeColor="accent1"/>
      <w:spacing w:val="10"/>
      <w:sz w:val="52"/>
      <w:szCs w:val="52"/>
    </w:rPr>
  </w:style>
  <w:style w:type="character" w:customStyle="1" w:styleId="TitleChar">
    <w:name w:val="Title Char"/>
    <w:basedOn w:val="DefaultParagraphFont"/>
    <w:link w:val="Title"/>
    <w:uiPriority w:val="10"/>
    <w:rsid w:val="003A515F"/>
    <w:rPr>
      <w:rFonts w:asciiTheme="majorHAnsi" w:eastAsiaTheme="majorEastAsia" w:hAnsiTheme="majorHAnsi" w:cstheme="majorBidi"/>
      <w:caps/>
      <w:color w:val="99CB38" w:themeColor="accent1"/>
      <w:spacing w:val="10"/>
      <w:sz w:val="52"/>
      <w:szCs w:val="52"/>
    </w:rPr>
  </w:style>
  <w:style w:type="paragraph" w:styleId="Subtitle">
    <w:name w:val="Subtitle"/>
    <w:basedOn w:val="Normal"/>
    <w:next w:val="Normal"/>
    <w:link w:val="SubtitleChar"/>
    <w:uiPriority w:val="11"/>
    <w:qFormat/>
    <w:rsid w:val="003A515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A515F"/>
    <w:rPr>
      <w:caps/>
      <w:color w:val="595959" w:themeColor="text1" w:themeTint="A6"/>
      <w:spacing w:val="10"/>
      <w:sz w:val="21"/>
      <w:szCs w:val="21"/>
    </w:rPr>
  </w:style>
  <w:style w:type="character" w:styleId="Strong">
    <w:name w:val="Strong"/>
    <w:uiPriority w:val="22"/>
    <w:qFormat/>
    <w:rsid w:val="003A515F"/>
    <w:rPr>
      <w:b/>
      <w:bCs/>
    </w:rPr>
  </w:style>
  <w:style w:type="character" w:styleId="Emphasis">
    <w:name w:val="Emphasis"/>
    <w:uiPriority w:val="20"/>
    <w:qFormat/>
    <w:rsid w:val="003A515F"/>
    <w:rPr>
      <w:caps/>
      <w:color w:val="4C661A" w:themeColor="accent1" w:themeShade="7F"/>
      <w:spacing w:val="5"/>
    </w:rPr>
  </w:style>
  <w:style w:type="paragraph" w:styleId="NoSpacing">
    <w:name w:val="No Spacing"/>
    <w:link w:val="NoSpacingChar"/>
    <w:uiPriority w:val="1"/>
    <w:qFormat/>
    <w:rsid w:val="003A515F"/>
    <w:pPr>
      <w:spacing w:after="0" w:line="240" w:lineRule="auto"/>
    </w:pPr>
  </w:style>
  <w:style w:type="character" w:customStyle="1" w:styleId="NoSpacingChar">
    <w:name w:val="No Spacing Char"/>
    <w:basedOn w:val="DefaultParagraphFont"/>
    <w:link w:val="NoSpacing"/>
    <w:uiPriority w:val="1"/>
    <w:rsid w:val="003A515F"/>
  </w:style>
  <w:style w:type="paragraph" w:styleId="ListParagraph">
    <w:name w:val="List Paragraph"/>
    <w:basedOn w:val="Normal"/>
    <w:uiPriority w:val="34"/>
    <w:qFormat/>
    <w:rsid w:val="003A515F"/>
    <w:pPr>
      <w:ind w:left="720"/>
      <w:contextualSpacing/>
    </w:pPr>
  </w:style>
  <w:style w:type="paragraph" w:styleId="Quote">
    <w:name w:val="Quote"/>
    <w:basedOn w:val="Normal"/>
    <w:next w:val="Normal"/>
    <w:link w:val="QuoteChar"/>
    <w:uiPriority w:val="29"/>
    <w:qFormat/>
    <w:rsid w:val="003A515F"/>
    <w:rPr>
      <w:i/>
      <w:iCs/>
      <w:sz w:val="24"/>
      <w:szCs w:val="24"/>
    </w:rPr>
  </w:style>
  <w:style w:type="character" w:customStyle="1" w:styleId="QuoteChar">
    <w:name w:val="Quote Char"/>
    <w:basedOn w:val="DefaultParagraphFont"/>
    <w:link w:val="Quote"/>
    <w:uiPriority w:val="29"/>
    <w:rsid w:val="003A515F"/>
    <w:rPr>
      <w:i/>
      <w:iCs/>
      <w:sz w:val="24"/>
      <w:szCs w:val="24"/>
    </w:rPr>
  </w:style>
  <w:style w:type="paragraph" w:styleId="IntenseQuote">
    <w:name w:val="Intense Quote"/>
    <w:basedOn w:val="Normal"/>
    <w:next w:val="Normal"/>
    <w:link w:val="IntenseQuoteChar"/>
    <w:uiPriority w:val="30"/>
    <w:qFormat/>
    <w:rsid w:val="003A515F"/>
    <w:pPr>
      <w:spacing w:before="240" w:after="240" w:line="240" w:lineRule="auto"/>
      <w:ind w:left="1080" w:right="1080"/>
      <w:jc w:val="center"/>
    </w:pPr>
    <w:rPr>
      <w:color w:val="99CB38" w:themeColor="accent1"/>
      <w:sz w:val="24"/>
      <w:szCs w:val="24"/>
    </w:rPr>
  </w:style>
  <w:style w:type="character" w:customStyle="1" w:styleId="IntenseQuoteChar">
    <w:name w:val="Intense Quote Char"/>
    <w:basedOn w:val="DefaultParagraphFont"/>
    <w:link w:val="IntenseQuote"/>
    <w:uiPriority w:val="30"/>
    <w:rsid w:val="003A515F"/>
    <w:rPr>
      <w:color w:val="99CB38" w:themeColor="accent1"/>
      <w:sz w:val="24"/>
      <w:szCs w:val="24"/>
    </w:rPr>
  </w:style>
  <w:style w:type="character" w:styleId="SubtleEmphasis">
    <w:name w:val="Subtle Emphasis"/>
    <w:uiPriority w:val="19"/>
    <w:qFormat/>
    <w:rsid w:val="003A515F"/>
    <w:rPr>
      <w:i/>
      <w:iCs/>
      <w:color w:val="4C661A" w:themeColor="accent1" w:themeShade="7F"/>
    </w:rPr>
  </w:style>
  <w:style w:type="character" w:styleId="IntenseEmphasis">
    <w:name w:val="Intense Emphasis"/>
    <w:uiPriority w:val="21"/>
    <w:qFormat/>
    <w:rsid w:val="003A515F"/>
    <w:rPr>
      <w:b/>
      <w:bCs/>
      <w:caps/>
      <w:color w:val="4C661A" w:themeColor="accent1" w:themeShade="7F"/>
      <w:spacing w:val="10"/>
    </w:rPr>
  </w:style>
  <w:style w:type="character" w:styleId="SubtleReference">
    <w:name w:val="Subtle Reference"/>
    <w:uiPriority w:val="31"/>
    <w:qFormat/>
    <w:rsid w:val="003A515F"/>
    <w:rPr>
      <w:b/>
      <w:bCs/>
      <w:color w:val="99CB38" w:themeColor="accent1"/>
    </w:rPr>
  </w:style>
  <w:style w:type="character" w:styleId="IntenseReference">
    <w:name w:val="Intense Reference"/>
    <w:uiPriority w:val="32"/>
    <w:qFormat/>
    <w:rsid w:val="003A515F"/>
    <w:rPr>
      <w:b/>
      <w:bCs/>
      <w:i/>
      <w:iCs/>
      <w:caps/>
      <w:color w:val="99CB38" w:themeColor="accent1"/>
    </w:rPr>
  </w:style>
  <w:style w:type="character" w:styleId="BookTitle">
    <w:name w:val="Book Title"/>
    <w:uiPriority w:val="33"/>
    <w:qFormat/>
    <w:rsid w:val="003A515F"/>
    <w:rPr>
      <w:b/>
      <w:bCs/>
      <w:i/>
      <w:iCs/>
      <w:spacing w:val="0"/>
    </w:rPr>
  </w:style>
  <w:style w:type="paragraph" w:styleId="TOCHeading">
    <w:name w:val="TOC Heading"/>
    <w:basedOn w:val="Heading1"/>
    <w:next w:val="Normal"/>
    <w:uiPriority w:val="39"/>
    <w:unhideWhenUsed/>
    <w:qFormat/>
    <w:rsid w:val="003A515F"/>
    <w:pPr>
      <w:outlineLvl w:val="9"/>
    </w:pPr>
  </w:style>
  <w:style w:type="paragraph" w:customStyle="1" w:styleId="TableStyle1">
    <w:name w:val="Table Style 1"/>
    <w:rsid w:val="009A2AA8"/>
    <w:pPr>
      <w:pBdr>
        <w:top w:val="nil"/>
        <w:left w:val="nil"/>
        <w:bottom w:val="nil"/>
        <w:right w:val="nil"/>
        <w:between w:val="nil"/>
        <w:bar w:val="nil"/>
      </w:pBdr>
      <w:spacing w:before="0" w:after="0" w:line="240" w:lineRule="auto"/>
    </w:pPr>
    <w:rPr>
      <w:rFonts w:ascii="Helvetica Neue" w:eastAsia="Helvetica Neue" w:hAnsi="Helvetica Neue" w:cs="Helvetica Neue"/>
      <w:b/>
      <w:bCs/>
      <w:color w:val="000000"/>
      <w:kern w:val="0"/>
      <w:sz w:val="20"/>
      <w:szCs w:val="20"/>
      <w:bdr w:val="nil"/>
      <w:lang w:eastAsia="nl-NL"/>
      <w14:textOutline w14:w="0" w14:cap="flat" w14:cmpd="sng" w14:algn="ctr">
        <w14:noFill/>
        <w14:prstDash w14:val="solid"/>
        <w14:bevel/>
      </w14:textOutline>
      <w14:ligatures w14:val="none"/>
    </w:rPr>
  </w:style>
  <w:style w:type="paragraph" w:customStyle="1" w:styleId="TableStyle2">
    <w:name w:val="Table Style 2"/>
    <w:rsid w:val="009A2AA8"/>
    <w:pPr>
      <w:pBdr>
        <w:top w:val="nil"/>
        <w:left w:val="nil"/>
        <w:bottom w:val="nil"/>
        <w:right w:val="nil"/>
        <w:between w:val="nil"/>
        <w:bar w:val="nil"/>
      </w:pBdr>
      <w:spacing w:before="0" w:after="0" w:line="240" w:lineRule="auto"/>
    </w:pPr>
    <w:rPr>
      <w:rFonts w:ascii="Helvetica Neue" w:eastAsia="Arial Unicode MS" w:hAnsi="Helvetica Neue" w:cs="Arial Unicode MS"/>
      <w:color w:val="000000"/>
      <w:kern w:val="0"/>
      <w:sz w:val="20"/>
      <w:szCs w:val="20"/>
      <w:bdr w:val="nil"/>
      <w:lang w:val="en-US" w:eastAsia="nl-NL"/>
      <w14:textOutline w14:w="0" w14:cap="flat" w14:cmpd="sng" w14:algn="ctr">
        <w14:noFill/>
        <w14:prstDash w14:val="solid"/>
        <w14:bevel/>
      </w14:textOutline>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oengeel">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44E7D8CDF21640A2CB411A004C26AA" ma:contentTypeVersion="10" ma:contentTypeDescription="Een nieuw document maken." ma:contentTypeScope="" ma:versionID="5571d524830e1e711489a780dd207a60">
  <xsd:schema xmlns:xsd="http://www.w3.org/2001/XMLSchema" xmlns:xs="http://www.w3.org/2001/XMLSchema" xmlns:p="http://schemas.microsoft.com/office/2006/metadata/properties" xmlns:ns2="99b56041-f469-46ab-a667-ae07b6fc5753" xmlns:ns3="0aaef11e-1ec4-4946-9315-49494f9dd8f0" targetNamespace="http://schemas.microsoft.com/office/2006/metadata/properties" ma:root="true" ma:fieldsID="a2e7f60d39c59efe92c4fc60ff36ba6f" ns2:_="" ns3:_="">
    <xsd:import namespace="99b56041-f469-46ab-a667-ae07b6fc5753"/>
    <xsd:import namespace="0aaef11e-1ec4-4946-9315-49494f9dd8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b56041-f469-46ab-a667-ae07b6fc5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c6f371a7-af1e-4863-b830-9db92276c56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aef11e-1ec4-4946-9315-49494f9dd8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ff2cf2-b4c2-4aac-9eec-a8b1a547ebdd}" ma:internalName="TaxCatchAll" ma:showField="CatchAllData" ma:web="0aaef11e-1ec4-4946-9315-49494f9dd8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b56041-f469-46ab-a667-ae07b6fc5753">
      <Terms xmlns="http://schemas.microsoft.com/office/infopath/2007/PartnerControls"/>
    </lcf76f155ced4ddcb4097134ff3c332f>
    <TaxCatchAll xmlns="0aaef11e-1ec4-4946-9315-49494f9dd8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28537-C2CE-4179-8EF4-92D5A53D2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b56041-f469-46ab-a667-ae07b6fc5753"/>
    <ds:schemaRef ds:uri="0aaef11e-1ec4-4946-9315-49494f9dd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AFDCCC-58B0-417A-B5D6-B74C60AB107E}">
  <ds:schemaRefs>
    <ds:schemaRef ds:uri="http://schemas.microsoft.com/office/2006/metadata/properties"/>
    <ds:schemaRef ds:uri="http://schemas.microsoft.com/office/infopath/2007/PartnerControls"/>
    <ds:schemaRef ds:uri="99b56041-f469-46ab-a667-ae07b6fc5753"/>
    <ds:schemaRef ds:uri="0aaef11e-1ec4-4946-9315-49494f9dd8f0"/>
  </ds:schemaRefs>
</ds:datastoreItem>
</file>

<file path=customXml/itemProps3.xml><?xml version="1.0" encoding="utf-8"?>
<ds:datastoreItem xmlns:ds="http://schemas.openxmlformats.org/officeDocument/2006/customXml" ds:itemID="{43DF24B1-E576-48C4-AFD7-90D395EA30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8542</Words>
  <Characters>48695</Characters>
  <Application>Microsoft Office Word</Application>
  <DocSecurity>0</DocSecurity>
  <Lines>405</Lines>
  <Paragraphs>114</Paragraphs>
  <ScaleCrop>false</ScaleCrop>
  <Company/>
  <LinksUpToDate>false</LinksUpToDate>
  <CharactersWithSpaces>57123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Maurits van der Graaf</dc:creator>
  <cp:keywords/>
  <dc:description/>
  <cp:lastModifiedBy>Maurice Vanderfeesten</cp:lastModifiedBy>
  <cp:revision>12</cp:revision>
  <dcterms:created xsi:type="dcterms:W3CDTF">2026-07-08T15:01:00Z</dcterms:created>
  <dcterms:modified xsi:type="dcterms:W3CDTF">2026-09-17T11:51:00Z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0x010100A444E7D8CDF21640A2CB411A004C26AA</vt:lpwstr>
  </property>
  <property fmtid="{D5CDD505-2E9C-101B-9397-08002B2CF9AE}" pid="3" name="MediaServiceImageTags">
    <vt:lpwstr/>
  </property>
</Properties>
</file>