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0F181D"/>
  <w:body>
    <w:p>
      <w:pPr>
        <w:spacing w:after="200"/>
      </w:pPr>
      <w:r>
        <w:drawing>
          <wp:inline distT="0" distB="0" distL="0" distR="0">
            <wp:extent cx="95250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JetBrains Mono" w:cs="JetBrains Mono" w:eastAsia="JetBrains Mono" w:hAnsi="JetBrains Mono"/>
          <w:color w:val="93A4AE"/>
          <w:spacing w:val="20"/>
          <w:sz w:val="15"/>
          <w:szCs w:val="15"/>
        </w:rPr>
        <w:t xml:space="preserve">REDBELLY DAO TASK BOARD  ·  TASK-20</w:t>
      </w:r>
    </w:p>
    <w:p>
      <w:pPr>
        <w:spacing w:after="60"/>
      </w:pPr>
      <w:r>
        <w:rPr>
          <w:rFonts w:ascii="Be Vietnam Pro" w:cs="Be Vietnam Pro" w:eastAsia="Be Vietnam Pro" w:hAnsi="Be Vietnam Pro"/>
          <w:b/>
          <w:bCs/>
          <w:color w:val="EF5350"/>
          <w:spacing w:val="20"/>
          <w:sz w:val="15"/>
          <w:szCs w:val="15"/>
        </w:rPr>
        <w:t xml:space="preserve">COMPANION  ·  PAIRS WITH THE VENUE GRAPHIC</w:t>
      </w:r>
    </w:p>
    <w:p>
      <w:pPr>
        <w:spacing w:after="120"/>
      </w:pPr>
      <w:r>
        <w:rPr>
          <w:rFonts w:ascii="Be Vietnam Pro" w:cs="Be Vietnam Pro" w:eastAsia="Be Vietnam Pro" w:hAnsi="Be Vietnam Pro"/>
          <w:b/>
          <w:bCs/>
          <w:color w:val="E4EBF0"/>
          <w:sz w:val="44"/>
          <w:szCs w:val="44"/>
        </w:rPr>
        <w:t xml:space="preserve">Spot vs Futures, in Plain Terms</w:t>
      </w:r>
    </w:p>
    <w:p>
      <w:pPr>
        <w:pBdr>
          <w:bottom w:val="single" w:color="EF5350" w:sz="24" w:space="1"/>
        </w:pBdr>
        <w:spacing w:after="10"/>
        <w:ind w:right="8500"/>
      </w:pPr>
      <w:r>
        <w:rPr>
          <w:sz w:val="2"/>
          <w:szCs w:val="2"/>
        </w:rPr>
        <w:t xml:space="preserve"> </w:t>
      </w:r>
    </w:p>
    <w:p>
      <w:pPr>
        <w:spacing w:after="260" w:before="200"/>
      </w:pPr>
      <w:r>
        <w:rPr>
          <w:rFonts w:ascii="JetBrains Mono" w:cs="JetBrains Mono" w:eastAsia="JetBrains Mono" w:hAnsi="JetBrains Mono"/>
          <w:color w:val="B8C4CC"/>
          <w:spacing w:val="10"/>
          <w:sz w:val="15"/>
          <w:szCs w:val="15"/>
        </w:rPr>
        <w:t xml:space="preserve">LAST VERIFIED AUGUST 21, 2026</w:t>
      </w:r>
    </w:p>
    <w:p>
      <w:pPr>
        <w:spacing w:after="160"/>
      </w:pPr>
      <w:r>
        <w:rPr>
          <w:rFonts w:ascii="Be Vietnam Pro" w:cs="Be Vietnam Pro" w:eastAsia="Be Vietnam Pro" w:hAnsi="Be Vietnam Pro"/>
          <w:b/>
          <w:bCs/>
          <w:color w:val="E4EBF0"/>
          <w:sz w:val="24"/>
          <w:szCs w:val="24"/>
        </w:rPr>
        <w:t xml:space="preserve">A spot listing </w:t>
      </w:r>
      <w:r>
        <w:rPr>
          <w:rFonts w:ascii="Be Vietnam Pro" w:cs="Be Vietnam Pro" w:eastAsia="Be Vietnam Pro" w:hAnsi="Be Vietnam Pro"/>
          <w:color w:val="E4EBF0"/>
          <w:sz w:val="24"/>
          <w:szCs w:val="24"/>
        </w:rPr>
        <w:t xml:space="preserve">lets you buy and sell the actual token. Once the trade settles, you own RBNT or wRBNT.</w:t>
      </w:r>
    </w:p>
    <w:p>
      <w:pPr>
        <w:spacing w:after="160"/>
      </w:pPr>
      <w:r>
        <w:rPr>
          <w:rFonts w:ascii="Be Vietnam Pro" w:cs="Be Vietnam Pro" w:eastAsia="Be Vietnam Pro" w:hAnsi="Be Vietnam Pro"/>
          <w:b/>
          <w:bCs/>
          <w:color w:val="E4EBF0"/>
          <w:sz w:val="24"/>
          <w:szCs w:val="24"/>
        </w:rPr>
        <w:t xml:space="preserve">A futures listing </w:t>
      </w:r>
      <w:r>
        <w:rPr>
          <w:rFonts w:ascii="Be Vietnam Pro" w:cs="Be Vietnam Pro" w:eastAsia="Be Vietnam Pro" w:hAnsi="Be Vietnam Pro"/>
          <w:color w:val="E4EBF0"/>
          <w:sz w:val="24"/>
          <w:szCs w:val="24"/>
        </w:rPr>
        <w:t xml:space="preserve">is a leveraged contract on RBNT's price. You never own the token, and the position can be liquidated.</w:t>
      </w:r>
    </w:p>
    <w:p>
      <w:pPr>
        <w:spacing w:after="160"/>
      </w:pPr>
      <w:r>
        <w:rPr>
          <w:rFonts w:ascii="Be Vietnam Pro" w:cs="Be Vietnam Pro" w:eastAsia="Be Vietnam Pro" w:hAnsi="Be Vietnam Pro"/>
          <w:b/>
          <w:bCs/>
          <w:color w:val="E4EBF0"/>
          <w:sz w:val="24"/>
          <w:szCs w:val="24"/>
        </w:rPr>
        <w:t xml:space="preserve">These are two separate things. </w:t>
      </w:r>
      <w:r>
        <w:rPr>
          <w:rFonts w:ascii="Be Vietnam Pro" w:cs="Be Vietnam Pro" w:eastAsia="Be Vietnam Pro" w:hAnsi="Be Vietnam Pro"/>
          <w:color w:val="E4EBF0"/>
          <w:sz w:val="24"/>
          <w:szCs w:val="24"/>
        </w:rPr>
        <w:t xml:space="preserve">One being delisted does not mean the other changed. A spot delisting is not a futures delisting, and a futures delisting is not a spot delisting. Check each one independently before reacting.</w:t>
      </w:r>
    </w:p>
    <w:p>
      <w:pPr>
        <w:pBdr>
          <w:top w:val="single" w:color="27323A" w:sz="4" w:space="8"/>
          <w:bottom w:val="single" w:color="27323A" w:sz="4" w:space="8"/>
          <w:left w:val="single" w:color="EF5350" w:sz="12" w:space="8"/>
          <w:right w:val="single" w:color="27323A" w:sz="4" w:space="8"/>
        </w:pBdr>
        <w:shd w:fill="1B252A"/>
        <w:spacing w:after="280"/>
      </w:pPr>
      <w:r>
        <w:rPr>
          <w:rFonts w:ascii="Be Vietnam Pro" w:cs="Be Vietnam Pro" w:eastAsia="Be Vietnam Pro" w:hAnsi="Be Vietnam Pro"/>
          <w:i/>
          <w:iCs/>
          <w:color w:val="E4EBF0"/>
          <w:sz w:val="22"/>
          <w:szCs w:val="22"/>
        </w:rPr>
        <w:t xml:space="preserve">No live futures or perpetual market currently exists for RBNT on any tracked exchange.</w:t>
      </w:r>
    </w:p>
    <w:p>
      <w:pPr>
        <w:pBdr>
          <w:top w:val="single" w:color="27323A" w:sz="4" w:space="6"/>
        </w:pBdr>
        <w:spacing w:after="80" w:before="40"/>
      </w:pPr>
      <w:r>
        <w:rPr>
          <w:sz w:val="2"/>
          <w:szCs w:val="2"/>
        </w:rPr>
        <w:t xml:space="preserve"> </w:t>
      </w:r>
    </w:p>
    <w:p>
      <w:r>
        <w:rPr>
          <w:rFonts w:ascii="Be Vietnam Pro" w:cs="Be Vietnam Pro" w:eastAsia="Be Vietnam Pro" w:hAnsi="Be Vietnam Pro"/>
          <w:color w:val="93A4AE"/>
          <w:sz w:val="18"/>
          <w:szCs w:val="18"/>
        </w:rPr>
        <w:t xml:space="preserve">Full venue list, contract addresses, and verification steps: </w:t>
      </w:r>
      <w:r>
        <w:rPr>
          <w:rFonts w:ascii="Be Vietnam Pro" w:cs="Be Vietnam Pro" w:eastAsia="Be Vietnam Pro" w:hAnsi="Be Vietnam Pro"/>
          <w:b/>
          <w:bCs/>
          <w:color w:val="FFB3AE"/>
          <w:sz w:val="18"/>
          <w:szCs w:val="18"/>
        </w:rPr>
        <w:t xml:space="preserve">see the canonical reference, Where to Buy &amp; Trade RBNT.</w:t>
      </w:r>
    </w:p>
    <w:sectPr>
      <w:pgSz w:w="12240" w:h="15840" w:orient="portrait"/>
      <w:pgMar w:top="900" w:right="950" w:bottom="90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ce26885ec70fc20ae49b3e2b6b61f58a65450a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2026-08-21T08:00:08.087Z</dcterms:created>
  <dcterms:modified xsi:type="dcterms:W3CDTF">2026-08-21T08:00:08.087Z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