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PartName="/word/header_watermark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 w:line="360"/>
        <w:jc w:val="center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888888"/>
          <w:sz w:val="36"/>
          <w:szCs w:val="36"/>
        </w:rPr>
        <w:t xml:space="preserve">Product Requirements Document</w:t>
      </w:r>
    </w:p>
    <w:p>
      <w:pPr>
        <w:spacing w:after="80"/>
      </w:pPr>
    </w:p>
    <w:p>
      <w:pPr>
        <w:spacing w:after="200" w:line="360"/>
        <w:jc w:val="center"/>
      </w:pPr>
      <w:r>
        <w:rPr>
          <w:rFonts w:ascii="Arial" w:eastAsia="Microsoft YaHei" w:hAnsi="Arial"/>
          <w:b/>
          <w:bCs/>
          <w:i w:val="false"/>
          <w:iCs w:val="false"/>
          <w:color w:val="2C3E50"/>
          <w:sz w:val="72"/>
          <w:szCs w:val="72"/>
        </w:rPr>
        <w:t xml:space="preserve">零件 OTS 认可 AI Agent v2.0</w:t>
      </w:r>
    </w:p>
    <w:p>
      <w:pPr>
        <w:spacing w:after="80"/>
      </w:pPr>
    </w:p>
    <w:p>
      <w:pPr>
        <w:spacing w:after="300" w:line="360"/>
        <w:jc w:val="center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555555"/>
          <w:sz w:val="44"/>
          <w:szCs w:val="44"/>
        </w:rPr>
        <w:t xml:space="preserve">智能辅助汽车零部件工装样件认可全流程自动化</w:t>
      </w: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40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项目</w:t>
            </w:r>
          </w:p>
        </w:tc>
        <w:tc>
          <w:tcPr>
            <w:tcW w:type="dxa" w:w="40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版本号</w:t>
            </w:r>
          </w:p>
        </w:tc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V2.0</w:t>
            </w:r>
          </w:p>
        </w:tc>
      </w:tr>
      <w:tr>
        <w:trPr>
          <w:cantSplit/>
        </w:trPr>
        <w:tc>
          <w:tcPr>
            <w:tcW w:type="dxa" w:w="40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作者</w:t>
            </w:r>
          </w:p>
        </w:tc>
        <w:tc>
          <w:tcPr>
            <w:tcW w:type="dxa" w:w="40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AI PM (SOLO)</w:t>
            </w:r>
          </w:p>
        </w:tc>
      </w:tr>
      <w:tr>
        <w:trPr>
          <w:cantSplit/>
        </w:trPr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日期</w:t>
            </w:r>
          </w:p>
        </w:tc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2026-05-26</w:t>
            </w:r>
          </w:p>
        </w:tc>
      </w:tr>
      <w:tr>
        <w:trPr>
          <w:cantSplit/>
        </w:trPr>
        <w:tc>
          <w:tcPr>
            <w:tcW w:type="dxa" w:w="40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状态</w:t>
            </w:r>
          </w:p>
        </w:tc>
        <w:tc>
          <w:tcPr>
            <w:tcW w:type="dxa" w:w="40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修订版（架构优化）</w:t>
            </w:r>
          </w:p>
        </w:tc>
      </w:tr>
    </w:tbl>
    <w:p>
      <w:pPr>
        <w:pageBreakBefore/>
      </w:pPr>
    </w:p>
    <w:p>
      <w:pPr>
        <w:pStyle w:val="Heading1"/>
        <w:spacing w:after="200" w:before="400"/>
      </w:pPr>
      <w:r>
        <w:rPr>
          <w:rFonts w:ascii="Arial" w:eastAsia="Microsoft YaHei" w:hAnsi="Arial"/>
          <w:b/>
          <w:bCs/>
          <w:i w:val="false"/>
          <w:iCs w:val="false"/>
          <w:color w:val="1A1A1A"/>
          <w:sz w:val="56"/>
          <w:szCs w:val="56"/>
        </w:rPr>
        <w:t xml:space="preserve">1. 产品概述</w:t>
      </w:r>
    </w:p>
    <w:p>
      <w:pPr>
        <w:pStyle w:val="Heading2"/>
        <w:spacing w:after="200" w:before="300"/>
      </w:pPr>
      <w:r>
        <w:rPr>
          <w:rFonts w:ascii="Arial" w:eastAsia="Microsoft YaHei" w:hAnsi="Arial"/>
          <w:b/>
          <w:bCs/>
          <w:i w:val="false"/>
          <w:iCs w:val="false"/>
          <w:color w:val="1A1A1A"/>
          <w:sz w:val="44"/>
          <w:szCs w:val="44"/>
        </w:rPr>
        <w:t xml:space="preserve">1.1 产品愿景</w:t>
      </w:r>
    </w:p>
    <w:p>
      <w:pPr>
        <w:spacing w:after="120" w:line="36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构建一个AI驱动的智能Agent系统，实现汽车零部件工装样件（Off-Tooling Sample, OTS）认可全流程的自动化处理。通过多Agent协同架构，将传统依赖人工沟通、纸质文档流转、经验判断的零件认可流程，转变为由AI编排、自动化执行、智能决策的高效数字工作流。</w:t>
      </w:r>
    </w:p>
    <w:p>
      <w:pPr>
        <w:pStyle w:val="Heading2"/>
        <w:spacing w:after="200" w:before="300"/>
      </w:pPr>
      <w:r>
        <w:rPr>
          <w:rFonts w:ascii="Arial" w:eastAsia="Microsoft YaHei" w:hAnsi="Arial"/>
          <w:b/>
          <w:bCs/>
          <w:i w:val="false"/>
          <w:iCs w:val="false"/>
          <w:color w:val="1A1A1A"/>
          <w:sz w:val="44"/>
          <w:szCs w:val="44"/>
        </w:rPr>
        <w:t xml:space="preserve">1.2 核心价值主张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/>
          <w:bCs/>
          <w:i w:val="false"/>
          <w:iCs w:val="false"/>
          <w:color w:val="000000"/>
          <w:sz w:val="24"/>
          <w:szCs w:val="24"/>
        </w:rPr>
        <w:t xml:space="preserve">降本增效：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将单零件认可周期从平均15个工作日缩短至3个工作日以内，人工干预次数减少80%以上。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/>
          <w:bCs/>
          <w:i w:val="false"/>
          <w:iCs w:val="false"/>
          <w:color w:val="000000"/>
          <w:sz w:val="24"/>
          <w:szCs w:val="24"/>
        </w:rPr>
        <w:t xml:space="preserve">质量提升：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通过AI驱动的完整性检查和字段校验，将资料缺失率从当前的35%降低至5%以下。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/>
          <w:bCs/>
          <w:i w:val="false"/>
          <w:iCs w:val="false"/>
          <w:color w:val="000000"/>
          <w:sz w:val="24"/>
          <w:szCs w:val="24"/>
        </w:rPr>
        <w:t xml:space="preserve">知识沉淀：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将资深工程师的认可经验转化为可复用的规则引擎和AI模型，避免因人员流动导致的知识断层。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/>
          <w:bCs/>
          <w:i w:val="false"/>
          <w:iCs w:val="false"/>
          <w:color w:val="000000"/>
          <w:sz w:val="24"/>
          <w:szCs w:val="24"/>
        </w:rPr>
        <w:t xml:space="preserve">可追溯性：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全流程数字化记录，每个决策节点均可审计追溯，满足IATF 16949等汽车行业质量体系要求。</w:t>
      </w:r>
    </w:p>
    <w:p>
      <w:pPr>
        <w:pStyle w:val="Heading2"/>
        <w:spacing w:after="200" w:before="300"/>
      </w:pPr>
      <w:r>
        <w:rPr>
          <w:rFonts w:ascii="Arial" w:eastAsia="Microsoft YaHei" w:hAnsi="Arial"/>
          <w:b/>
          <w:bCs/>
          <w:i w:val="false"/>
          <w:iCs w:val="false"/>
          <w:color w:val="1A1A1A"/>
          <w:sz w:val="44"/>
          <w:szCs w:val="44"/>
        </w:rPr>
        <w:t xml:space="preserve">1.3 量化目标</w:t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8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指标</w:t>
            </w:r>
          </w:p>
        </w:tc>
        <w:tc>
          <w:tcPr>
            <w:tcW w:type="dxa" w:w="22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当前基线</w:t>
            </w:r>
          </w:p>
        </w:tc>
        <w:tc>
          <w:tcPr>
            <w:tcW w:type="dxa" w:w="22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目标值 (MVP)</w:t>
            </w:r>
          </w:p>
        </w:tc>
        <w:tc>
          <w:tcPr>
            <w:tcW w:type="dxa" w:w="22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目标值 (V3.0)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单零件认可周期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15个工作日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≤5个工作日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≤3个工作日</w:t>
            </w:r>
          </w:p>
        </w:tc>
      </w:tr>
      <w:tr>
        <w:trPr>
          <w:cantSplit/>
        </w:trPr>
        <w:tc>
          <w:tcPr>
            <w:tcW w:type="dxa" w:w="28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资料完整性一次通过率</w:t>
            </w:r>
          </w:p>
        </w:tc>
        <w:tc>
          <w:tcPr>
            <w:tcW w:type="dxa" w:w="22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65%</w:t>
            </w:r>
          </w:p>
        </w:tc>
        <w:tc>
          <w:tcPr>
            <w:tcW w:type="dxa" w:w="22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≥85%</w:t>
            </w:r>
          </w:p>
        </w:tc>
        <w:tc>
          <w:tcPr>
            <w:tcW w:type="dxa" w:w="22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≥95%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人工干预次数/零件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8-12次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≤3次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≤1次</w:t>
            </w:r>
          </w:p>
        </w:tc>
      </w:tr>
      <w:tr>
        <w:trPr>
          <w:cantSplit/>
        </w:trPr>
        <w:tc>
          <w:tcPr>
            <w:tcW w:type="dxa" w:w="28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字段提取准确率</w:t>
            </w:r>
          </w:p>
        </w:tc>
        <w:tc>
          <w:tcPr>
            <w:tcW w:type="dxa" w:w="22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N/A（人工）</w:t>
            </w:r>
          </w:p>
        </w:tc>
        <w:tc>
          <w:tcPr>
            <w:tcW w:type="dxa" w:w="22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≥90%</w:t>
            </w:r>
          </w:p>
        </w:tc>
        <w:tc>
          <w:tcPr>
            <w:tcW w:type="dxa" w:w="22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≥97%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异常检测召回率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N/A（人工）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≥85%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≥95%</w:t>
            </w:r>
          </w:p>
        </w:tc>
      </w:tr>
    </w:tbl>
    <w:p>
      <w:pPr>
        <w:pStyle w:val="Heading2"/>
        <w:spacing w:after="200" w:before="300"/>
      </w:pPr>
      <w:r>
        <w:rPr>
          <w:rFonts w:ascii="Arial" w:eastAsia="Microsoft YaHei" w:hAnsi="Arial"/>
          <w:b/>
          <w:bCs/>
          <w:i w:val="false"/>
          <w:iCs w:val="false"/>
          <w:color w:val="1A1A1A"/>
          <w:sz w:val="44"/>
          <w:szCs w:val="44"/>
        </w:rPr>
        <w:t xml:space="preserve">1.4 AI 介入深度（L3 级别）</w:t>
      </w:r>
    </w:p>
    <w:p>
      <w:pPr>
        <w:spacing w:after="120" w:line="36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本系统定义AI介入深度为 L3 级别（辅助决策 + 自动执行），具体表现为：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/>
          <w:bCs/>
          <w:i w:val="false"/>
          <w:iCs w:val="false"/>
          <w:color w:val="000000"/>
          <w:sz w:val="24"/>
          <w:szCs w:val="24"/>
        </w:rPr>
        <w:t xml:space="preserve">L1 - 数据展示：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Agent仅展示结构化数据，由人工判断（如：初期报表展示）。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/>
          <w:bCs/>
          <w:i w:val="false"/>
          <w:iCs w:val="false"/>
          <w:color w:val="000000"/>
          <w:sz w:val="24"/>
          <w:szCs w:val="24"/>
        </w:rPr>
        <w:t xml:space="preserve">L2 - 建议提醒：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Agent提供分析建议和异常提醒，人工确认后执行（如：资料缺失提醒）。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/>
          <w:bCs/>
          <w:i w:val="false"/>
          <w:iCs w:val="false"/>
          <w:color w:val="000000"/>
          <w:sz w:val="24"/>
          <w:szCs w:val="24"/>
        </w:rPr>
        <w:t xml:space="preserve">L3 - 辅助决策 + 自动执行：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Agent自动执行确定性操作（解析、提取、核对），仅在置信度低于阈值或异常场景时请求人工确认。本系统主要运行在此级别。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/>
          <w:bCs/>
          <w:i w:val="false"/>
          <w:iCs w:val="false"/>
          <w:color w:val="000000"/>
          <w:sz w:val="24"/>
          <w:szCs w:val="24"/>
        </w:rPr>
        <w:t xml:space="preserve">L4 - 全自动：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Agent完全自主决策和执行。本系统在资料完整性通过且置信度高于95%的场景下，部分节点可达L4级别（远期目标）。</w:t>
      </w:r>
    </w:p>
    <w:p>
      <w:pPr>
        <w:pStyle w:val="Heading1"/>
        <w:spacing w:after="200" w:before="400"/>
      </w:pPr>
      <w:r>
        <w:rPr>
          <w:rFonts w:ascii="Arial" w:eastAsia="Microsoft YaHei" w:hAnsi="Arial"/>
          <w:b/>
          <w:bCs/>
          <w:i w:val="false"/>
          <w:iCs w:val="false"/>
          <w:color w:val="1A1A1A"/>
          <w:sz w:val="56"/>
          <w:szCs w:val="56"/>
        </w:rPr>
        <w:t xml:space="preserve">2. 项目背景</w:t>
      </w:r>
    </w:p>
    <w:p>
      <w:pPr>
        <w:pStyle w:val="Heading2"/>
        <w:spacing w:after="200" w:before="300"/>
      </w:pPr>
      <w:r>
        <w:rPr>
          <w:rFonts w:ascii="Arial" w:eastAsia="Microsoft YaHei" w:hAnsi="Arial"/>
          <w:b/>
          <w:bCs/>
          <w:i w:val="false"/>
          <w:iCs w:val="false"/>
          <w:color w:val="1A1A1A"/>
          <w:sz w:val="44"/>
          <w:szCs w:val="44"/>
        </w:rPr>
        <w:t xml:space="preserve">2.1 业务现状</w:t>
      </w:r>
    </w:p>
    <w:p>
      <w:pPr>
        <w:spacing w:after="120" w:line="36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当前汽车零部件OTS认可流程面临以下挑战：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供应商通过邮件提交零件认可申请，格式不统一（PDF、Word、图片、纸质扫描件），解析困难。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工程师需逐份人工阅读并提取关键字段（零件号、材料牌号、尺寸公差、性能参数等），耗时且易出错。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资料完整性依靠工程师经验判断，不同工程师标准不一，返工率高达35%。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供应商资质、零件分类、试验标准等信息散落在多个系统中，缺乏统一查询入口。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流程节点状态依赖邮件和电话沟通，缺乏可视化进度追踪，供应商频繁催促进度。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历史认可案例和典型缺陷模式积累在资深工程师头脑中，无法系统化复用。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硬件工程团队对公差配合、材料性能、热处理工艺有额外的专业审查需求，现有流程缺乏支撑。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跨部门（采购、质量、工程、SQE）协同依赖线下会议和邮件抄送，信息同步滞后。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零件版本变更时，历史版本资料查找困难，版本对比依赖人工，易遗漏变更点。</w:t>
      </w:r>
    </w:p>
    <w:p>
      <w:pPr>
        <w:pStyle w:val="Heading2"/>
        <w:spacing w:after="200" w:before="300"/>
      </w:pPr>
      <w:r>
        <w:rPr>
          <w:rFonts w:ascii="Arial" w:eastAsia="Microsoft YaHei" w:hAnsi="Arial"/>
          <w:b/>
          <w:bCs/>
          <w:i w:val="false"/>
          <w:iCs w:val="false"/>
          <w:color w:val="1A1A1A"/>
          <w:sz w:val="44"/>
          <w:szCs w:val="44"/>
        </w:rPr>
        <w:t xml:space="preserve">2.2 流程耗时分析</w:t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2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流程节点</w:t>
            </w:r>
          </w:p>
        </w:tc>
        <w:tc>
          <w:tcPr>
            <w:tcW w:type="dxa" w:w="20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当前耗时</w:t>
            </w:r>
          </w:p>
        </w:tc>
        <w:tc>
          <w:tcPr>
            <w:tcW w:type="dxa" w:w="28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主要瓶颈</w:t>
            </w:r>
          </w:p>
        </w:tc>
        <w:tc>
          <w:tcPr>
            <w:tcW w:type="dxa" w:w="28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AI Agent优化方案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零件信息录入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1-2天</w:t>
            </w:r>
          </w:p>
        </w:tc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手动转录，格式不统一</w:t>
            </w:r>
          </w:p>
        </w:tc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AI自动解析提取</w:t>
            </w:r>
          </w:p>
        </w:tc>
      </w:tr>
      <w:tr>
        <w:trPr>
          <w:cantSplit/>
        </w:trPr>
        <w:tc>
          <w:tcPr>
            <w:tcW w:type="dxa" w:w="22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资料完整性检查</w:t>
            </w:r>
          </w:p>
        </w:tc>
        <w:tc>
          <w:tcPr>
            <w:tcW w:type="dxa" w:w="20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2-3天</w:t>
            </w:r>
          </w:p>
        </w:tc>
        <w:tc>
          <w:tcPr>
            <w:tcW w:type="dxa" w:w="28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依赖经验，标准不一</w:t>
            </w:r>
          </w:p>
        </w:tc>
        <w:tc>
          <w:tcPr>
            <w:tcW w:type="dxa" w:w="28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规则引擎+AI语义核对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技术评审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3-5天</w:t>
            </w:r>
          </w:p>
        </w:tc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跨部门协同困难</w:t>
            </w:r>
          </w:p>
        </w:tc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自动路由+状态机管理</w:t>
            </w:r>
          </w:p>
        </w:tc>
      </w:tr>
      <w:tr>
        <w:trPr>
          <w:cantSplit/>
        </w:trPr>
        <w:tc>
          <w:tcPr>
            <w:tcW w:type="dxa" w:w="22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试验报告审核</w:t>
            </w:r>
          </w:p>
        </w:tc>
        <w:tc>
          <w:tcPr>
            <w:tcW w:type="dxa" w:w="20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3-4天</w:t>
            </w:r>
          </w:p>
        </w:tc>
        <w:tc>
          <w:tcPr>
            <w:tcW w:type="dxa" w:w="28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计算验证耗时</w:t>
            </w:r>
          </w:p>
        </w:tc>
        <w:tc>
          <w:tcPr>
            <w:tcW w:type="dxa" w:w="28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AI辅助数值校验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结论签署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2-3天</w:t>
            </w:r>
          </w:p>
        </w:tc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流程节点等待</w:t>
            </w:r>
          </w:p>
        </w:tc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自动流转+超时升级</w:t>
            </w:r>
          </w:p>
        </w:tc>
      </w:tr>
      <w:tr>
        <w:trPr>
          <w:cantSplit/>
        </w:trPr>
        <w:tc>
          <w:tcPr>
            <w:tcW w:type="dxa" w:w="22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合计</w:t>
            </w:r>
          </w:p>
        </w:tc>
        <w:tc>
          <w:tcPr>
            <w:tcW w:type="dxa" w:w="20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11-17天</w:t>
            </w:r>
          </w:p>
        </w:tc>
        <w:tc>
          <w:tcPr>
            <w:tcW w:type="dxa" w:w="28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28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目标≤5天</w:t>
            </w:r>
          </w:p>
        </w:tc>
      </w:tr>
    </w:tbl>
    <w:p>
      <w:pPr>
        <w:pStyle w:val="Heading2"/>
        <w:spacing w:after="200" w:before="300"/>
      </w:pPr>
      <w:r>
        <w:rPr>
          <w:rFonts w:ascii="Arial" w:eastAsia="Microsoft YaHei" w:hAnsi="Arial"/>
          <w:b/>
          <w:bCs/>
          <w:i w:val="false"/>
          <w:iCs w:val="false"/>
          <w:color w:val="1A1A1A"/>
          <w:sz w:val="44"/>
          <w:szCs w:val="44"/>
        </w:rPr>
        <w:t xml:space="preserve">2.3 硬件工程特定关注</w:t>
      </w:r>
    </w:p>
    <w:p>
      <w:pPr>
        <w:spacing w:after="120" w:line="36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本系统在通用OTS认可流程基础上，针对硬件工程团队的特殊需求增加了以下能力：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公差链分析支持：关键尺寸公差带自动对比，超差预警。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材料等效性判定：基于材料数据库和RAG技术，辅助判定替代材料的等效性。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热处理工艺参数校验：自动提取热处理报告中的关键参数并与标准对比。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表面处理规范匹配：根据零件使用环境自动匹配表面处理标准。</w:t>
      </w:r>
    </w:p>
    <w:p>
      <w:pPr>
        <w:pageBreakBefore/>
      </w:pPr>
    </w:p>
    <w:p>
      <w:pPr>
        <w:pStyle w:val="Heading1"/>
        <w:spacing w:after="200" w:before="400"/>
      </w:pPr>
      <w:r>
        <w:rPr>
          <w:rFonts w:ascii="Arial" w:eastAsia="Microsoft YaHei" w:hAnsi="Arial"/>
          <w:b/>
          <w:bCs/>
          <w:i w:val="false"/>
          <w:iCs w:val="false"/>
          <w:color w:val="1A1A1A"/>
          <w:sz w:val="56"/>
          <w:szCs w:val="56"/>
        </w:rPr>
        <w:t xml:space="preserve">3. 用户与场景</w:t>
      </w:r>
    </w:p>
    <w:p>
      <w:pPr>
        <w:pStyle w:val="Heading2"/>
        <w:spacing w:after="200" w:before="300"/>
      </w:pPr>
      <w:r>
        <w:rPr>
          <w:rFonts w:ascii="Arial" w:eastAsia="Microsoft YaHei" w:hAnsi="Arial"/>
          <w:b/>
          <w:bCs/>
          <w:i w:val="false"/>
          <w:iCs w:val="false"/>
          <w:color w:val="1A1A1A"/>
          <w:sz w:val="44"/>
          <w:szCs w:val="44"/>
        </w:rPr>
        <w:t xml:space="preserve">3.1 用户画像</w:t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18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dxa" w:w="22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核心职责</w:t>
            </w:r>
          </w:p>
        </w:tc>
        <w:tc>
          <w:tcPr>
            <w:tcW w:type="dxa" w:w="15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使用频率</w:t>
            </w:r>
          </w:p>
        </w:tc>
        <w:tc>
          <w:tcPr>
            <w:tcW w:type="dxa" w:w="26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关键痛点</w:t>
            </w:r>
          </w:p>
        </w:tc>
        <w:tc>
          <w:tcPr>
            <w:tcW w:type="dxa" w:w="26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期望收益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SQE工程师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零件认可审核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每日</w:t>
            </w:r>
          </w:p>
        </w:tc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资料反复补充、字段手工提取</w:t>
            </w:r>
          </w:p>
        </w:tc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减少80%重复工作</w:t>
            </w:r>
          </w:p>
        </w:tc>
      </w:tr>
      <w:tr>
        <w:trPr>
          <w:cantSplit/>
        </w:trPr>
        <w:tc>
          <w:tcPr>
            <w:tcW w:type="dxa" w:w="18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硬件工程师</w:t>
            </w:r>
          </w:p>
        </w:tc>
        <w:tc>
          <w:tcPr>
            <w:tcW w:type="dxa" w:w="22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技术参数审核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每周3-5次</w:t>
            </w:r>
          </w:p>
        </w:tc>
        <w:tc>
          <w:tcPr>
            <w:tcW w:type="dxa" w:w="26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公差/材料审核耗时长</w:t>
            </w:r>
          </w:p>
        </w:tc>
        <w:tc>
          <w:tcPr>
            <w:tcW w:type="dxa" w:w="26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自动化校验+智能提醒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采购工程师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供应商管理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每周2-3次</w:t>
            </w:r>
          </w:p>
        </w:tc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进度不透明、催促进度</w:t>
            </w:r>
          </w:p>
        </w:tc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实时状态可视化</w:t>
            </w:r>
          </w:p>
        </w:tc>
      </w:tr>
      <w:tr>
        <w:trPr>
          <w:cantSplit/>
        </w:trPr>
        <w:tc>
          <w:tcPr>
            <w:tcW w:type="dxa" w:w="18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供应商联系人</w:t>
            </w:r>
          </w:p>
        </w:tc>
        <w:tc>
          <w:tcPr>
            <w:tcW w:type="dxa" w:w="22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提交认可资料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按需</w:t>
            </w:r>
          </w:p>
        </w:tc>
        <w:tc>
          <w:tcPr>
            <w:tcW w:type="dxa" w:w="26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不清楚资料要求、格式约束</w:t>
            </w:r>
          </w:p>
        </w:tc>
        <w:tc>
          <w:tcPr>
            <w:tcW w:type="dxa" w:w="26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智能引导+模板生成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质量经理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认可质量监控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每周</w:t>
            </w:r>
          </w:p>
        </w:tc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缺乏全局视角、指标不清晰</w:t>
            </w:r>
          </w:p>
        </w:tc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数据驾驶舱+KPI看板</w:t>
            </w:r>
          </w:p>
        </w:tc>
      </w:tr>
      <w:tr>
        <w:trPr>
          <w:cantSplit/>
        </w:trPr>
        <w:tc>
          <w:tcPr>
            <w:tcW w:type="dxa" w:w="18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系统配置维护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按需</w:t>
            </w:r>
          </w:p>
        </w:tc>
        <w:tc>
          <w:tcPr>
            <w:tcW w:type="dxa" w:w="26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PE规则配置复杂</w:t>
            </w:r>
          </w:p>
        </w:tc>
        <w:tc>
          <w:tcPr>
            <w:tcW w:type="dxa" w:w="26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可视化规则编辑器</w:t>
            </w:r>
          </w:p>
        </w:tc>
      </w:tr>
    </w:tbl>
    <w:p>
      <w:pPr>
        <w:pStyle w:val="Heading2"/>
        <w:spacing w:after="200" w:before="300"/>
      </w:pPr>
      <w:r>
        <w:rPr>
          <w:rFonts w:ascii="Arial" w:eastAsia="Microsoft YaHei" w:hAnsi="Arial"/>
          <w:b/>
          <w:bCs/>
          <w:i w:val="false"/>
          <w:iCs w:val="false"/>
          <w:color w:val="1A1A1A"/>
          <w:sz w:val="44"/>
          <w:szCs w:val="44"/>
        </w:rPr>
        <w:t xml:space="preserve">3.2 核心用户场景</w:t>
      </w:r>
    </w:p>
    <w:p>
      <w:pPr>
        <w:spacing w:after="120" w:line="360"/>
        <w:jc w:val="both"/>
      </w:pPr>
      <w:r>
        <w:rPr>
          <w:rFonts w:ascii="Arial" w:eastAsia="Microsoft YaHei" w:hAnsi="Arial"/>
          <w:b/>
          <w:bCs/>
          <w:i w:val="false"/>
          <w:iCs w:val="false"/>
          <w:color w:val="000000"/>
          <w:sz w:val="24"/>
          <w:szCs w:val="24"/>
        </w:rPr>
        <w:t xml:space="preserve">场景一：供应商提交新零件认可申请 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供应商通过系统上传零件资料（图纸、试验报告、材质证明等），系统自动解析提取关键字段，生成结构化零件档案，并进行初步完整性检查。如有资料缺失，系统自动生成补充清单并邮件通知供应商。</w:t>
      </w:r>
    </w:p>
    <w:p>
      <w:pPr>
        <w:spacing w:after="80"/>
      </w:pPr>
    </w:p>
    <w:p>
      <w:pPr>
        <w:spacing w:after="120" w:line="360"/>
        <w:jc w:val="both"/>
      </w:pPr>
      <w:r>
        <w:rPr>
          <w:rFonts w:ascii="Arial" w:eastAsia="Microsoft YaHei" w:hAnsi="Arial"/>
          <w:b/>
          <w:bCs/>
          <w:i w:val="false"/>
          <w:iCs w:val="false"/>
          <w:color w:val="000000"/>
          <w:sz w:val="24"/>
          <w:szCs w:val="24"/>
        </w:rPr>
        <w:t xml:space="preserve">场景二：工程师审核零件认可 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SQE工程师收到系统通知后，在工作台查看AI预处理结果（已提取字段、完整性报告、异常标记）。对于AI高置信度的项目直接确认通过，低置信度或异常项目手动审核。审核完成后系统自动生成认可报告草稿。</w:t>
      </w:r>
    </w:p>
    <w:p>
      <w:pPr>
        <w:spacing w:after="80"/>
      </w:pPr>
    </w:p>
    <w:p>
      <w:pPr>
        <w:spacing w:after="120" w:line="360"/>
        <w:jc w:val="both"/>
      </w:pPr>
      <w:r>
        <w:rPr>
          <w:rFonts w:ascii="Arial" w:eastAsia="Microsoft YaHei" w:hAnsi="Arial"/>
          <w:b/>
          <w:bCs/>
          <w:i w:val="false"/>
          <w:iCs w:val="false"/>
          <w:color w:val="000000"/>
          <w:sz w:val="24"/>
          <w:szCs w:val="24"/>
        </w:rPr>
        <w:t xml:space="preserve">场景三：异常处理与返工管理 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当系统检测到资料问题（字段不一致、试验结果超标、资料缺失超时等），自动标记为异常并创建返工任务。系统追踪返工状态，超时未处理自动升级通知。供应商在系统中查看问题清单，补充资料后重新提交。</w:t>
      </w:r>
    </w:p>
    <w:p>
      <w:pPr>
        <w:spacing w:after="80"/>
      </w:pPr>
    </w:p>
    <w:p>
      <w:pPr>
        <w:spacing w:after="120" w:line="360"/>
        <w:jc w:val="both"/>
      </w:pPr>
      <w:r>
        <w:rPr>
          <w:rFonts w:ascii="Arial" w:eastAsia="Microsoft YaHei" w:hAnsi="Arial"/>
          <w:b/>
          <w:bCs/>
          <w:i w:val="false"/>
          <w:iCs w:val="false"/>
          <w:color w:val="000000"/>
          <w:sz w:val="24"/>
          <w:szCs w:val="24"/>
        </w:rPr>
        <w:t xml:space="preserve">场景四：管理驾驶舱查看 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质量经理登录系统，查看零件认可的整体状况：进行中/已完成/异常零件数量、平均处理周期、供应商表现排名、资料一次通过率趋势等关键指标。</w:t>
      </w:r>
    </w:p>
    <w:p>
      <w:pPr>
        <w:pageBreakBefore/>
      </w:pPr>
    </w:p>
    <w:p>
      <w:pPr>
        <w:pStyle w:val="Heading1"/>
        <w:spacing w:after="200" w:before="400"/>
      </w:pPr>
      <w:r>
        <w:rPr>
          <w:rFonts w:ascii="Arial" w:eastAsia="Microsoft YaHei" w:hAnsi="Arial"/>
          <w:b/>
          <w:bCs/>
          <w:i w:val="false"/>
          <w:iCs w:val="false"/>
          <w:color w:val="1A1A1A"/>
          <w:sz w:val="56"/>
          <w:szCs w:val="56"/>
        </w:rPr>
        <w:t xml:space="preserve">4. 功能需求 (MoSCoW)</w:t>
      </w:r>
    </w:p>
    <w:p>
      <w:pPr>
        <w:pStyle w:val="Heading2"/>
        <w:spacing w:after="200" w:before="300"/>
      </w:pPr>
      <w:r>
        <w:rPr>
          <w:rFonts w:ascii="Arial" w:eastAsia="Microsoft YaHei" w:hAnsi="Arial"/>
          <w:b/>
          <w:bCs/>
          <w:i w:val="false"/>
          <w:iCs w:val="false"/>
          <w:color w:val="1A1A1A"/>
          <w:sz w:val="44"/>
          <w:szCs w:val="44"/>
        </w:rPr>
        <w:t xml:space="preserve">4.1 Must Have (M1 - M5)</w:t>
      </w:r>
    </w:p>
    <w:p>
      <w:pPr>
        <w:spacing w:after="120" w:line="36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MVP阶段必须实现的核心功能，按优先级排序：</w:t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7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优先级</w:t>
            </w:r>
          </w:p>
        </w:tc>
        <w:tc>
          <w:tcPr>
            <w:tcW w:type="dxa" w:w="7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dxa" w:w="16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功能模块</w:t>
            </w:r>
          </w:p>
        </w:tc>
        <w:tc>
          <w:tcPr>
            <w:tcW w:type="dxa" w:w="38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功能描述</w:t>
            </w:r>
          </w:p>
        </w:tc>
        <w:tc>
          <w:tcPr>
            <w:tcW w:type="dxa" w:w="30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验收标准</w:t>
            </w:r>
          </w:p>
        </w:tc>
      </w:tr>
      <w:tr>
        <w:trPr>
          <w:cantSplit/>
        </w:trPr>
        <w:tc>
          <w:tcPr>
            <w:tcW w:type="dxa" w:w="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P0</w:t>
            </w:r>
          </w:p>
        </w:tc>
        <w:tc>
          <w:tcPr>
            <w:tcW w:type="dxa" w:w="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M1</w:t>
            </w:r>
          </w:p>
        </w:tc>
        <w:tc>
          <w:tcPr>
            <w:tcW w:type="dxa" w:w="1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零件信息录入</w:t>
            </w:r>
          </w:p>
        </w:tc>
        <w:tc>
          <w:tcPr>
            <w:tcW w:type="dxa" w:w="3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支持供应商通过Web表单提交零件基本信息，自动创建认可任务并分配唯一标识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从提交到任务创建≤30秒</w:t>
            </w:r>
          </w:p>
        </w:tc>
      </w:tr>
      <w:tr>
        <w:trPr>
          <w:cantSplit/>
        </w:trPr>
        <w:tc>
          <w:tcPr>
            <w:tcW w:type="dxa" w:w="7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P0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M2</w:t>
            </w:r>
          </w:p>
        </w:tc>
        <w:tc>
          <w:tcPr>
            <w:tcW w:type="dxa" w:w="16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邮件监听与解析</w:t>
            </w:r>
          </w:p>
        </w:tc>
        <w:tc>
          <w:tcPr>
            <w:tcW w:type="dxa" w:w="38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IMAP监听收件箱，自动识别OTS相关邮件，下载附件并触发解析流程</w:t>
            </w:r>
          </w:p>
        </w:tc>
        <w:tc>
          <w:tcPr>
            <w:tcW w:type="dxa" w:w="30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邮件识别准确率≥95%，附件自动下载率≥99%</w:t>
            </w:r>
          </w:p>
        </w:tc>
      </w:tr>
      <w:tr>
        <w:trPr>
          <w:cantSplit/>
        </w:trPr>
        <w:tc>
          <w:tcPr>
            <w:tcW w:type="dxa" w:w="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P0</w:t>
            </w:r>
          </w:p>
        </w:tc>
        <w:tc>
          <w:tcPr>
            <w:tcW w:type="dxa" w:w="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M3</w:t>
            </w:r>
          </w:p>
        </w:tc>
        <w:tc>
          <w:tcPr>
            <w:tcW w:type="dxa" w:w="1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多模态字段提取</w:t>
            </w:r>
          </w:p>
        </w:tc>
        <w:tc>
          <w:tcPr>
            <w:tcW w:type="dxa" w:w="3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基于LLM从PDF/图片/Word中提取零件号、材料、尺寸、性能参数等关键字段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字段提取准确率≥90%（与人工标注对比）</w:t>
            </w:r>
          </w:p>
        </w:tc>
      </w:tr>
      <w:tr>
        <w:trPr>
          <w:cantSplit/>
        </w:trPr>
        <w:tc>
          <w:tcPr>
            <w:tcW w:type="dxa" w:w="7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P0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M4</w:t>
            </w:r>
          </w:p>
        </w:tc>
        <w:tc>
          <w:tcPr>
            <w:tcW w:type="dxa" w:w="16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完整性检查</w:t>
            </w:r>
          </w:p>
        </w:tc>
        <w:tc>
          <w:tcPr>
            <w:tcW w:type="dxa" w:w="38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基于动态清单模板自动检查资料完整性，生成缺失项清单和补充通知</w:t>
            </w:r>
          </w:p>
        </w:tc>
        <w:tc>
          <w:tcPr>
            <w:tcW w:type="dxa" w:w="30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检查覆盖率100%，误报率≤10%</w:t>
            </w:r>
          </w:p>
        </w:tc>
      </w:tr>
      <w:tr>
        <w:trPr>
          <w:cantSplit/>
        </w:trPr>
        <w:tc>
          <w:tcPr>
            <w:tcW w:type="dxa" w:w="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P1</w:t>
            </w:r>
          </w:p>
        </w:tc>
        <w:tc>
          <w:tcPr>
            <w:tcW w:type="dxa" w:w="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M5</w:t>
            </w:r>
          </w:p>
        </w:tc>
        <w:tc>
          <w:tcPr>
            <w:tcW w:type="dxa" w:w="1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异常检测与告警</w:t>
            </w:r>
          </w:p>
        </w:tc>
        <w:tc>
          <w:tcPr>
            <w:tcW w:type="dxa" w:w="3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检测字段不一致、数值超标、版本冲突等异常，自动标记并通知责任人（v2.0升级至P0权重）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异常召回率≥85%，通知发送率100%</w:t>
            </w:r>
          </w:p>
        </w:tc>
      </w:tr>
    </w:tbl>
    <w:p>
      <w:pPr>
        <w:pStyle w:val="Heading2"/>
        <w:spacing w:after="200" w:before="300"/>
      </w:pPr>
      <w:r>
        <w:rPr>
          <w:rFonts w:ascii="Arial" w:eastAsia="Microsoft YaHei" w:hAnsi="Arial"/>
          <w:b/>
          <w:bCs/>
          <w:i w:val="false"/>
          <w:iCs w:val="false"/>
          <w:color w:val="1A1A1A"/>
          <w:sz w:val="44"/>
          <w:szCs w:val="44"/>
        </w:rPr>
        <w:t xml:space="preserve">4.2 Should Have (S1 - S5)</w:t>
      </w:r>
    </w:p>
    <w:p>
      <w:pPr>
        <w:spacing w:after="120" w:line="36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MVP阶段条件实现或在V1.1快速迭代的功能：</w:t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7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优先级</w:t>
            </w:r>
          </w:p>
        </w:tc>
        <w:tc>
          <w:tcPr>
            <w:tcW w:type="dxa" w:w="7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dxa" w:w="18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功能模块</w:t>
            </w:r>
          </w:p>
        </w:tc>
        <w:tc>
          <w:tcPr>
            <w:tcW w:type="dxa" w:w="65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功能描述</w:t>
            </w:r>
          </w:p>
        </w:tc>
      </w:tr>
      <w:tr>
        <w:trPr>
          <w:cantSplit/>
        </w:trPr>
        <w:tc>
          <w:tcPr>
            <w:tcW w:type="dxa" w:w="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P0</w:t>
            </w:r>
          </w:p>
        </w:tc>
        <w:tc>
          <w:tcPr>
            <w:tcW w:type="dxa" w:w="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S1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基础工作台</w:t>
            </w:r>
          </w:p>
        </w:tc>
        <w:tc>
          <w:tcPr>
            <w:tcW w:type="dxa" w:w="6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为工程师提供任务列表、详情页、审核操作界面，支持Web端访问（v2.0独立为报告Agent模块）</w:t>
            </w:r>
          </w:p>
        </w:tc>
      </w:tr>
      <w:tr>
        <w:trPr>
          <w:cantSplit/>
        </w:trPr>
        <w:tc>
          <w:tcPr>
            <w:tcW w:type="dxa" w:w="7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P1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S2</w:t>
            </w:r>
          </w:p>
        </w:tc>
        <w:tc>
          <w:tcPr>
            <w:tcW w:type="dxa" w:w="18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供应商协作门户</w:t>
            </w:r>
          </w:p>
        </w:tc>
        <w:tc>
          <w:tcPr>
            <w:tcW w:type="dxa" w:w="65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供应商自主查询进度、查看补充要求、在线补充资料（v2.0升级为P0）</w:t>
            </w:r>
          </w:p>
        </w:tc>
      </w:tr>
      <w:tr>
        <w:trPr>
          <w:cantSplit/>
        </w:trPr>
        <w:tc>
          <w:tcPr>
            <w:tcW w:type="dxa" w:w="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P2</w:t>
            </w:r>
          </w:p>
        </w:tc>
        <w:tc>
          <w:tcPr>
            <w:tcW w:type="dxa" w:w="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S3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RAG历史案例查询</w:t>
            </w:r>
          </w:p>
        </w:tc>
        <w:tc>
          <w:tcPr>
            <w:tcW w:type="dxa" w:w="6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基于向量数据库检索相似历史零件认可案例，辅助工程师决策</w:t>
            </w:r>
          </w:p>
        </w:tc>
      </w:tr>
      <w:tr>
        <w:trPr>
          <w:cantSplit/>
        </w:trPr>
        <w:tc>
          <w:tcPr>
            <w:tcW w:type="dxa" w:w="7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P2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S4</w:t>
            </w:r>
          </w:p>
        </w:tc>
        <w:tc>
          <w:tcPr>
            <w:tcW w:type="dxa" w:w="18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简易数据看板</w:t>
            </w:r>
          </w:p>
        </w:tc>
        <w:tc>
          <w:tcPr>
            <w:tcW w:type="dxa" w:w="65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实时展示关键指标：进行中/已完成/异常任务数、平均处理周期</w:t>
            </w:r>
          </w:p>
        </w:tc>
      </w:tr>
      <w:tr>
        <w:trPr>
          <w:cantSplit/>
        </w:trPr>
        <w:tc>
          <w:tcPr>
            <w:tcW w:type="dxa" w:w="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P3</w:t>
            </w:r>
          </w:p>
        </w:tc>
        <w:tc>
          <w:tcPr>
            <w:tcW w:type="dxa" w:w="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S5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PDF报告草稿生成</w:t>
            </w:r>
          </w:p>
        </w:tc>
        <w:tc>
          <w:tcPr>
            <w:tcW w:type="dxa" w:w="6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基于模板自动生成OTS认可报告草稿，工程师审核后正式发布</w:t>
            </w:r>
          </w:p>
        </w:tc>
      </w:tr>
    </w:tbl>
    <w:p>
      <w:pPr>
        <w:pStyle w:val="Heading2"/>
        <w:spacing w:after="200" w:before="300"/>
      </w:pPr>
      <w:r>
        <w:rPr>
          <w:rFonts w:ascii="Arial" w:eastAsia="Microsoft YaHei" w:hAnsi="Arial"/>
          <w:b/>
          <w:bCs/>
          <w:i w:val="false"/>
          <w:iCs w:val="false"/>
          <w:color w:val="1A1A1A"/>
          <w:sz w:val="44"/>
          <w:szCs w:val="44"/>
        </w:rPr>
        <w:t xml:space="preserve">4.3 Could Have / Won't Have</w:t>
      </w:r>
    </w:p>
    <w:p>
      <w:pPr>
        <w:spacing w:after="120" w:line="360"/>
        <w:jc w:val="both"/>
      </w:pPr>
      <w:r>
        <w:rPr>
          <w:rFonts w:ascii="Arial" w:eastAsia="Microsoft YaHei" w:hAnsi="Arial"/>
          <w:b/>
          <w:bCs/>
          <w:i w:val="false"/>
          <w:iCs w:val="false"/>
          <w:color w:val="000000"/>
          <w:sz w:val="24"/>
          <w:szCs w:val="24"/>
        </w:rPr>
        <w:t xml:space="preserve">以下功能不在MVP范围内，将在后续版本中评估：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Could Have: 公差链自动分析、材料等效性智能判定、供应商绩效评级系统、移动端应用。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Won't Have (MVP): 与PLM/ERP系统深度集成、电子签章系统对接、多语言支持（中英文外）、AI自主决策无需人工确认。</w:t>
      </w:r>
    </w:p>
    <w:p>
      <w:pPr>
        <w:pageBreakBefore/>
      </w:pPr>
    </w:p>
    <w:p>
      <w:pPr>
        <w:pStyle w:val="Heading1"/>
        <w:spacing w:after="200" w:before="400"/>
      </w:pPr>
      <w:r>
        <w:rPr>
          <w:rFonts w:ascii="Arial" w:eastAsia="Microsoft YaHei" w:hAnsi="Arial"/>
          <w:b/>
          <w:bCs/>
          <w:i w:val="false"/>
          <w:iCs w:val="false"/>
          <w:color w:val="1A1A1A"/>
          <w:sz w:val="56"/>
          <w:szCs w:val="56"/>
        </w:rPr>
        <w:t xml:space="preserve">5. 关键设计决策</w:t>
      </w:r>
    </w:p>
    <w:p>
      <w:pPr>
        <w:pStyle w:val="Heading2"/>
        <w:spacing w:after="200" w:before="300"/>
      </w:pPr>
      <w:r>
        <w:rPr>
          <w:rFonts w:ascii="Arial" w:eastAsia="Microsoft YaHei" w:hAnsi="Arial"/>
          <w:b/>
          <w:bCs/>
          <w:i w:val="false"/>
          <w:iCs w:val="false"/>
          <w:color w:val="1A1A1A"/>
          <w:sz w:val="44"/>
          <w:szCs w:val="44"/>
        </w:rPr>
        <w:t xml:space="preserve">5.1 PE纠错机制（三层自动修复 + 重试终止规则）</w:t>
      </w:r>
    </w:p>
    <w:p>
      <w:pPr>
        <w:spacing w:after="120" w:line="36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Prompt Engineering（PE）提示词是LLM调用的核心输入。当LLM输出不符合预期时，系统采用三层自动修复机制：</w:t>
      </w:r>
    </w:p>
    <w:p>
      <w:pPr>
        <w:pStyle w:val="Heading3"/>
        <w:spacing w:after="200" w:before="300"/>
      </w:pPr>
      <w:r>
        <w:rPr>
          <w:rFonts w:ascii="Arial" w:eastAsia="Microsoft YaHei" w:hAnsi="Arial"/>
          <w:b/>
          <w:bCs/>
          <w:i w:val="false"/>
          <w:iCs w:val="false"/>
          <w:color w:val="1A1A1A"/>
          <w:sz w:val="36"/>
          <w:szCs w:val="36"/>
        </w:rPr>
        <w:t xml:space="preserve">L1 - 格式修复（Format Fix）</w:t>
      </w:r>
    </w:p>
    <w:p>
      <w:pPr>
        <w:spacing w:after="120" w:line="36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检测到输出格式不符合预定义的JSON Schema时，自动注入格式约束提示并重新调用LLM。适用场景：字段缺失、类型错误、JSON解析失败。重试次数：最多2次。</w:t>
      </w:r>
    </w:p>
    <w:p>
      <w:pPr>
        <w:spacing w:after="80"/>
      </w:pPr>
    </w:p>
    <w:p>
      <w:pPr>
        <w:pStyle w:val="Heading3"/>
        <w:spacing w:after="200" w:before="300"/>
      </w:pPr>
      <w:r>
        <w:rPr>
          <w:rFonts w:ascii="Arial" w:eastAsia="Microsoft YaHei" w:hAnsi="Arial"/>
          <w:b/>
          <w:bCs/>
          <w:i w:val="false"/>
          <w:iCs w:val="false"/>
          <w:color w:val="1A1A1A"/>
          <w:sz w:val="36"/>
          <w:szCs w:val="36"/>
        </w:rPr>
        <w:t xml:space="preserve">L2 - 语义修复（Semantic Fix）</w:t>
      </w:r>
    </w:p>
    <w:p>
      <w:pPr>
        <w:spacing w:after="120" w:line="36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当格式正确但字段值明显不合理（如零件号格式不匹配、数值超出物理范围）时，系统注入领域约束规则提示并重新调用LLM。适用场景：数值范围异常、格式规则不匹配。重试次数：最多1次。</w:t>
      </w:r>
    </w:p>
    <w:p>
      <w:pPr>
        <w:spacing w:after="80"/>
      </w:pPr>
    </w:p>
    <w:p>
      <w:pPr>
        <w:pStyle w:val="Heading3"/>
        <w:spacing w:after="200" w:before="300"/>
      </w:pPr>
      <w:r>
        <w:rPr>
          <w:rFonts w:ascii="Arial" w:eastAsia="Microsoft YaHei" w:hAnsi="Arial"/>
          <w:b/>
          <w:bCs/>
          <w:i w:val="false"/>
          <w:iCs w:val="false"/>
          <w:color w:val="1A1A1A"/>
          <w:sz w:val="36"/>
          <w:szCs w:val="36"/>
        </w:rPr>
        <w:t xml:space="preserve">L3 - 降级处理（Fallback）</w:t>
      </w:r>
    </w:p>
    <w:p>
      <w:pPr>
        <w:spacing w:after="120" w:line="36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L1+L2均失败后，系统将该字段标记为低置信度，不阻塞主流程，交由人工确认节点处理。适用场景：所有自动修复失败的场景。</w:t>
      </w:r>
    </w:p>
    <w:p>
      <w:pPr>
        <w:spacing w:after="80"/>
      </w:pPr>
    </w:p>
    <w:p>
      <w:pPr>
        <w:spacing w:after="120" w:line="360"/>
        <w:jc w:val="both"/>
      </w:pPr>
      <w:r>
        <w:rPr>
          <w:rFonts w:ascii="Arial" w:eastAsia="Microsoft YaHei" w:hAnsi="Arial"/>
          <w:b/>
          <w:bCs/>
          <w:i w:val="false"/>
          <w:iCs w:val="false"/>
          <w:color w:val="1A5276"/>
          <w:sz w:val="24"/>
          <w:szCs w:val="24"/>
        </w:rPr>
        <w:t xml:space="preserve">重试终止规则：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单次LLM调用累计3次失败（含L1+L2），终止该条目的自动处理，写入异常队列等待人工介入。系统记录完整调用链日志供问题排查。</w:t>
      </w:r>
    </w:p>
    <w:p>
      <w:pPr>
        <w:pStyle w:val="Heading2"/>
        <w:spacing w:after="200" w:before="300"/>
      </w:pPr>
      <w:r>
        <w:rPr>
          <w:rFonts w:ascii="Arial" w:eastAsia="Microsoft YaHei" w:hAnsi="Arial"/>
          <w:b/>
          <w:bCs/>
          <w:i w:val="false"/>
          <w:iCs w:val="false"/>
          <w:color w:val="1A1A1A"/>
          <w:sz w:val="44"/>
          <w:szCs w:val="44"/>
        </w:rPr>
        <w:t xml:space="preserve">5.2 状态机纠错流转表</w:t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0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当前状态</w:t>
            </w:r>
          </w:p>
        </w:tc>
        <w:tc>
          <w:tcPr>
            <w:tcW w:type="dxa" w:w="22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触发事件</w:t>
            </w:r>
          </w:p>
        </w:tc>
        <w:tc>
          <w:tcPr>
            <w:tcW w:type="dxa" w:w="24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正常下一状态</w:t>
            </w:r>
          </w:p>
        </w:tc>
        <w:tc>
          <w:tcPr>
            <w:tcW w:type="dxa" w:w="24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异常处理</w:t>
            </w:r>
          </w:p>
        </w:tc>
        <w:tc>
          <w:tcPr>
            <w:tcW w:type="dxa" w:w="20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超时规则</w:t>
            </w:r>
          </w:p>
        </w:tc>
      </w:tr>
      <w:tr>
        <w:trPr>
          <w:cantSplit/>
        </w:trP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INIT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零件录入完成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PARSING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PARSING</w:t>
            </w:r>
          </w:p>
        </w:tc>
        <w:tc>
          <w:tcPr>
            <w:tcW w:type="dxa" w:w="22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LLM解析完成</w:t>
            </w:r>
          </w:p>
        </w:tc>
        <w:tc>
          <w:tcPr>
            <w:tcW w:type="dxa" w:w="24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CHECKING</w:t>
            </w:r>
          </w:p>
        </w:tc>
        <w:tc>
          <w:tcPr>
            <w:tcW w:type="dxa" w:w="24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解析失败→PARSING_FAILED</w:t>
            </w:r>
          </w:p>
        </w:tc>
        <w:tc>
          <w:tcPr>
            <w:tcW w:type="dxa" w:w="20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单次解析≤300s</w:t>
            </w:r>
          </w:p>
        </w:tc>
      </w:tr>
      <w:tr>
        <w:trPr>
          <w:cantSplit/>
        </w:trP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PARSING_FAILED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L1/L2修复重试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PARSING→CHECKING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3次失败→HUMAN_PENDING flag=true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累计≤600s</w:t>
            </w:r>
          </w:p>
        </w:tc>
      </w:tr>
      <w:tr>
        <w:trPr>
          <w:cantSplit/>
        </w:trPr>
        <w:tc>
          <w:tcPr>
            <w:tcW w:type="dxa" w:w="20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CHECKING</w:t>
            </w:r>
          </w:p>
        </w:tc>
        <w:tc>
          <w:tcPr>
            <w:tcW w:type="dxa" w:w="22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完整性检查通过</w:t>
            </w:r>
          </w:p>
        </w:tc>
        <w:tc>
          <w:tcPr>
            <w:tcW w:type="dxa" w:w="24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REVIEW</w:t>
            </w:r>
          </w:p>
        </w:tc>
        <w:tc>
          <w:tcPr>
            <w:tcW w:type="dxa" w:w="24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检查不通过→NEED_SUPPLEMENT</w:t>
            </w:r>
          </w:p>
        </w:tc>
        <w:tc>
          <w:tcPr>
            <w:tcW w:type="dxa" w:w="20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NEED_SUPPLEMENT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供应商补充资料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CHECKING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3天未补充→自动升级通知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3天超时升级</w:t>
            </w:r>
          </w:p>
        </w:tc>
      </w:tr>
      <w:tr>
        <w:trPr>
          <w:cantSplit/>
        </w:trPr>
        <w:tc>
          <w:tcPr>
            <w:tcW w:type="dxa" w:w="20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REVIEW</w:t>
            </w:r>
          </w:p>
        </w:tc>
        <w:tc>
          <w:tcPr>
            <w:tcW w:type="dxa" w:w="22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工程师审核通过</w:t>
            </w:r>
          </w:p>
        </w:tc>
        <w:tc>
          <w:tcPr>
            <w:tcW w:type="dxa" w:w="24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APPROVED</w:t>
            </w:r>
          </w:p>
        </w:tc>
        <w:tc>
          <w:tcPr>
            <w:tcW w:type="dxa" w:w="24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审核退回→NEED_SUPPLEMENT</w:t>
            </w:r>
          </w:p>
        </w:tc>
        <w:tc>
          <w:tcPr>
            <w:tcW w:type="dxa" w:w="20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5天未审核→升级通知</w:t>
            </w:r>
          </w:p>
        </w:tc>
      </w:tr>
      <w:tr>
        <w:trPr>
          <w:cantSplit/>
        </w:trP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APPROVED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报告生成完成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CLOSED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CLOSED</w:t>
            </w:r>
          </w:p>
        </w:tc>
        <w:tc>
          <w:tcPr>
            <w:tcW w:type="dxa" w:w="22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—（终态）</w:t>
            </w:r>
          </w:p>
        </w:tc>
        <w:tc>
          <w:tcPr>
            <w:tcW w:type="dxa" w:w="24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spacing w:after="200" w:before="300"/>
      </w:pPr>
      <w:r>
        <w:rPr>
          <w:rFonts w:ascii="Arial" w:eastAsia="Microsoft YaHei" w:hAnsi="Arial"/>
          <w:b/>
          <w:bCs/>
          <w:i w:val="false"/>
          <w:iCs w:val="false"/>
          <w:color w:val="1A1A1A"/>
          <w:sz w:val="44"/>
          <w:szCs w:val="44"/>
        </w:rPr>
        <w:t xml:space="preserve">5.3 置信度机制</w:t>
      </w:r>
    </w:p>
    <w:p>
      <w:pPr>
        <w:spacing w:after="120" w:line="36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MVP阶段采用固定阈值方案，避免引入额外模型训练复杂度：</w:t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2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置信节点</w:t>
            </w:r>
          </w:p>
        </w:tc>
        <w:tc>
          <w:tcPr>
            <w:tcW w:type="dxa" w:w="15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阈值</w:t>
            </w:r>
          </w:p>
        </w:tc>
        <w:tc>
          <w:tcPr>
            <w:tcW w:type="dxa" w:w="35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低于阈值行为</w:t>
            </w:r>
          </w:p>
        </w:tc>
        <w:tc>
          <w:tcPr>
            <w:tcW w:type="dxa" w:w="35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典型场景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字段提取置信度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≥ 0.85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标记为低置信度，PENDING人工确认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模糊扫描件、手写字体</w:t>
            </w:r>
          </w:p>
        </w:tc>
      </w:tr>
      <w:tr>
        <w:trPr>
          <w:cantSplit/>
        </w:trPr>
        <w:tc>
          <w:tcPr>
            <w:tcW w:type="dxa" w:w="22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数值提取置信度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≥ 0.90</w:t>
            </w:r>
          </w:p>
        </w:tc>
        <w:tc>
          <w:tcPr>
            <w:tcW w:type="dxa" w:w="35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标记待审，高亮字段</w:t>
            </w:r>
          </w:p>
        </w:tc>
        <w:tc>
          <w:tcPr>
            <w:tcW w:type="dxa" w:w="35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表格单元格误分割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分类置信度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≥ 0.80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标记待审，提供Top-3候选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非标零件类型</w:t>
            </w:r>
          </w:p>
        </w:tc>
      </w:tr>
      <w:tr>
        <w:trPr>
          <w:cantSplit/>
        </w:trPr>
        <w:tc>
          <w:tcPr>
            <w:tcW w:type="dxa" w:w="22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语义等价判定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≥ 0.85</w:t>
            </w:r>
          </w:p>
        </w:tc>
        <w:tc>
          <w:tcPr>
            <w:tcW w:type="dxa" w:w="35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标记待审，展示对比结果</w:t>
            </w:r>
          </w:p>
        </w:tc>
        <w:tc>
          <w:tcPr>
            <w:tcW w:type="dxa" w:w="35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材料牌号等效判定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异常检测置信度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≥ 0.80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通知但不阻塞流程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边界值判断</w:t>
            </w:r>
          </w:p>
        </w:tc>
      </w:tr>
    </w:tbl>
    <w:p>
      <w:pPr>
        <w:spacing w:after="120" w:line="360"/>
        <w:jc w:val="both"/>
      </w:pPr>
      <w:r>
        <w:rPr>
          <w:rFonts w:ascii="Arial" w:eastAsia="Microsoft YaHei" w:hAnsi="Arial"/>
          <w:b w:val="false"/>
          <w:bCs w:val="false"/>
          <w:i/>
          <w:iCs/>
          <w:color w:val="888888"/>
          <w:sz w:val="20"/>
          <w:szCs w:val="20"/>
        </w:rPr>
        <w:t xml:space="preserve">说明：MVP使用固定阈值，待积累≥500条纠错数据后，通过SFT微调模型提升置信度准确率，届时引入动态阈值机制。</w:t>
      </w:r>
    </w:p>
    <w:p>
      <w:pPr>
        <w:pStyle w:val="Heading2"/>
        <w:spacing w:after="200" w:before="300"/>
      </w:pPr>
      <w:r>
        <w:rPr>
          <w:rFonts w:ascii="Arial" w:eastAsia="Microsoft YaHei" w:hAnsi="Arial"/>
          <w:b/>
          <w:bCs/>
          <w:i w:val="false"/>
          <w:iCs w:val="false"/>
          <w:color w:val="1A1A1A"/>
          <w:sz w:val="44"/>
          <w:szCs w:val="44"/>
        </w:rPr>
        <w:t xml:space="preserve">5.4 SFT时机</w:t>
      </w:r>
    </w:p>
    <w:p>
      <w:pPr>
        <w:spacing w:after="120" w:line="36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MVP阶段不上线SFT（Supervised Fine-Tuning）。启动SFT训练的准入条件：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累积纠错样本量 ≥ 500条（含字段提取纠正、分类纠正、异常判定纠正）。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连续2周模型输出误差率稳定（波动范围≤±5%）。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错误模式可聚类分析（至少识别出3类以上可复现的错误模式）。</w:t>
      </w:r>
    </w:p>
    <w:p>
      <w:pPr>
        <w:spacing w:after="120" w:line="36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满足上述条件后，启动第一轮SFT实验，目标是将字段提取准确率从90%提升至95%以上。</w:t>
      </w:r>
    </w:p>
    <w:p>
      <w:pPr>
        <w:pageBreakBefore/>
      </w:pPr>
    </w:p>
    <w:p>
      <w:pPr>
        <w:pStyle w:val="Heading1"/>
        <w:spacing w:after="200" w:before="400"/>
      </w:pPr>
      <w:r>
        <w:rPr>
          <w:rFonts w:ascii="Arial" w:eastAsia="Microsoft YaHei" w:hAnsi="Arial"/>
          <w:b/>
          <w:bCs/>
          <w:i w:val="false"/>
          <w:iCs w:val="false"/>
          <w:color w:val="1A1A1A"/>
          <w:sz w:val="56"/>
          <w:szCs w:val="56"/>
        </w:rPr>
        <w:t xml:space="preserve">6. 非功能需求</w:t>
      </w:r>
    </w:p>
    <w:p>
      <w:pPr>
        <w:pStyle w:val="Heading2"/>
        <w:spacing w:after="200" w:before="300"/>
      </w:pPr>
      <w:r>
        <w:rPr>
          <w:rFonts w:ascii="Arial" w:eastAsia="Microsoft YaHei" w:hAnsi="Arial"/>
          <w:b/>
          <w:bCs/>
          <w:i w:val="false"/>
          <w:iCs w:val="false"/>
          <w:color w:val="1A1A1A"/>
          <w:sz w:val="44"/>
          <w:szCs w:val="44"/>
        </w:rPr>
        <w:t xml:space="preserve">6.1 数据安全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所有零件数据传输采用TLS 1.3加密。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零件图纸和试验报告在MinIO中存储，启用服务端加密（SSE）。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数据库访问采用最小权限原则，按Agent类型分配独立数据库账号。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LLM调用日志脱敏处理：零件号、供应商名称等敏感字段进行哈希处理后再记录。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用户认证采用JWT Token，有效期4小时，支持Refresh Token续期。</w:t>
      </w:r>
    </w:p>
    <w:p>
      <w:pPr>
        <w:pStyle w:val="Heading2"/>
        <w:spacing w:after="200" w:before="300"/>
      </w:pPr>
      <w:r>
        <w:rPr>
          <w:rFonts w:ascii="Arial" w:eastAsia="Microsoft YaHei" w:hAnsi="Arial"/>
          <w:b/>
          <w:bCs/>
          <w:i w:val="false"/>
          <w:iCs w:val="false"/>
          <w:color w:val="1A1A1A"/>
          <w:sz w:val="44"/>
          <w:szCs w:val="44"/>
        </w:rPr>
        <w:t xml:space="preserve">6.2 响应时效</w:t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40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场景</w:t>
            </w:r>
          </w:p>
        </w:tc>
        <w:tc>
          <w:tcPr>
            <w:tcW w:type="dxa" w:w="30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时效要求</w:t>
            </w:r>
          </w:p>
        </w:tc>
        <w:tc>
          <w:tcPr>
            <w:tcW w:type="dxa" w:w="40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备注</w:t>
            </w:r>
          </w:p>
        </w:tc>
      </w:tr>
      <w:tr>
        <w:trPr>
          <w:cantSplit/>
        </w:trPr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邮件接收→解析触发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≤ 30秒</w:t>
            </w:r>
          </w:p>
        </w:tc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IMAP IDLE实时监听</w:t>
            </w:r>
          </w:p>
        </w:tc>
      </w:tr>
      <w:tr>
        <w:trPr>
          <w:cantSplit/>
        </w:trPr>
        <w:tc>
          <w:tcPr>
            <w:tcW w:type="dxa" w:w="40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单附件解析（≤20页）</w:t>
            </w:r>
          </w:p>
        </w:tc>
        <w:tc>
          <w:tcPr>
            <w:tcW w:type="dxa" w:w="30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≤ 120秒</w:t>
            </w:r>
          </w:p>
        </w:tc>
        <w:tc>
          <w:tcPr>
            <w:tcW w:type="dxa" w:w="40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含LLM推理时间</w:t>
            </w:r>
          </w:p>
        </w:tc>
      </w:tr>
      <w:tr>
        <w:trPr>
          <w:cantSplit/>
        </w:trPr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完整性检查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≤ 10秒</w:t>
            </w:r>
          </w:p>
        </w:tc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规则引擎毫秒级+LLM异步</w:t>
            </w:r>
          </w:p>
        </w:tc>
      </w:tr>
      <w:tr>
        <w:trPr>
          <w:cantSplit/>
        </w:trPr>
        <w:tc>
          <w:tcPr>
            <w:tcW w:type="dxa" w:w="40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Web页面加载</w:t>
            </w:r>
          </w:p>
        </w:tc>
        <w:tc>
          <w:tcPr>
            <w:tcW w:type="dxa" w:w="30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≤ 2秒</w:t>
            </w:r>
          </w:p>
        </w:tc>
        <w:tc>
          <w:tcPr>
            <w:tcW w:type="dxa" w:w="40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首屏渲染</w:t>
            </w:r>
          </w:p>
        </w:tc>
      </w:tr>
      <w:tr>
        <w:trPr>
          <w:cantSplit/>
        </w:trPr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通知发送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≤ 60秒</w:t>
            </w:r>
          </w:p>
        </w:tc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邮件+IM异步</w:t>
            </w:r>
          </w:p>
        </w:tc>
      </w:tr>
    </w:tbl>
    <w:p>
      <w:pPr>
        <w:pStyle w:val="Heading2"/>
        <w:spacing w:after="200" w:before="300"/>
      </w:pPr>
      <w:r>
        <w:rPr>
          <w:rFonts w:ascii="Arial" w:eastAsia="Microsoft YaHei" w:hAnsi="Arial"/>
          <w:b/>
          <w:bCs/>
          <w:i w:val="false"/>
          <w:iCs w:val="false"/>
          <w:color w:val="1A1A1A"/>
          <w:sz w:val="44"/>
          <w:szCs w:val="44"/>
        </w:rPr>
        <w:t xml:space="preserve">6.3 成本预算</w:t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5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成本项</w:t>
            </w:r>
          </w:p>
        </w:tc>
        <w:tc>
          <w:tcPr>
            <w:tcW w:type="dxa" w:w="35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MVP月预算</w:t>
            </w:r>
          </w:p>
        </w:tc>
        <w:tc>
          <w:tcPr>
            <w:tcW w:type="dxa" w:w="40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LLM推理（DeepSeek V4 API 云端调用）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￥6,000 - 10,000</w:t>
            </w:r>
          </w:p>
        </w:tc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DeepSeek V4 统一模型，按 token 量</w:t>
            </w:r>
          </w:p>
        </w:tc>
      </w:tr>
      <w:tr>
        <w:trPr>
          <w:cantSplit/>
        </w:trPr>
        <w:tc>
          <w:tcPr>
            <w:tcW w:type="dxa" w:w="35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云服务器（FastAPI宿主）</w:t>
            </w:r>
          </w:p>
        </w:tc>
        <w:tc>
          <w:tcPr>
            <w:tcW w:type="dxa" w:w="35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￥1,500 - 3,000</w:t>
            </w:r>
          </w:p>
        </w:tc>
        <w:tc>
          <w:tcPr>
            <w:tcW w:type="dxa" w:w="40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4C8G（轻量 API 调用）</w:t>
            </w:r>
          </w:p>
        </w:tc>
      </w:tr>
      <w:tr>
        <w:trPr>
          <w:cantSplit/>
        </w:trPr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对象存储（MinIO）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￥500 - 1,000</w:t>
            </w:r>
          </w:p>
        </w:tc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图纸和报告存储，按容量</w:t>
            </w:r>
          </w:p>
        </w:tc>
      </w:tr>
      <w:tr>
        <w:trPr>
          <w:cantSplit/>
        </w:trPr>
        <w:tc>
          <w:tcPr>
            <w:tcW w:type="dxa" w:w="35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数据库（PostgreSQL）</w:t>
            </w:r>
          </w:p>
        </w:tc>
        <w:tc>
          <w:tcPr>
            <w:tcW w:type="dxa" w:w="35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￥800 - 1,500</w:t>
            </w:r>
          </w:p>
        </w:tc>
        <w:tc>
          <w:tcPr>
            <w:tcW w:type="dxa" w:w="40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云数据库基础版</w:t>
            </w:r>
          </w:p>
        </w:tc>
      </w:tr>
      <w:tr>
        <w:trPr>
          <w:cantSplit/>
        </w:trPr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合计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￥8,800 - 15,500</w:t>
            </w:r>
          </w:p>
        </w:tc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spacing w:after="200" w:before="300"/>
      </w:pPr>
      <w:r>
        <w:rPr>
          <w:rFonts w:ascii="Arial" w:eastAsia="Microsoft YaHei" w:hAnsi="Arial"/>
          <w:b/>
          <w:bCs/>
          <w:i w:val="false"/>
          <w:iCs w:val="false"/>
          <w:color w:val="1A1A1A"/>
          <w:sz w:val="44"/>
          <w:szCs w:val="44"/>
        </w:rPr>
        <w:t xml:space="preserve">6.4 准确率基线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字段提取准确率 ≥ 90%（以人工标注为基准，取100个典型零件测试集）。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完整性检查覆盖率 = 100%（清单模板覆盖率，不含语义判定）。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异常检测召回率 ≥ 85%，精确率 ≥ 75%。</w:t>
      </w:r>
    </w:p>
    <w:p>
      <w:pPr>
        <w:pStyle w:val="Heading2"/>
        <w:spacing w:after="200" w:before="300"/>
      </w:pPr>
      <w:r>
        <w:rPr>
          <w:rFonts w:ascii="Arial" w:eastAsia="Microsoft YaHei" w:hAnsi="Arial"/>
          <w:b/>
          <w:bCs/>
          <w:i w:val="false"/>
          <w:iCs w:val="false"/>
          <w:color w:val="1A1A1A"/>
          <w:sz w:val="44"/>
          <w:szCs w:val="44"/>
        </w:rPr>
        <w:t xml:space="preserve">6.5 可用性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系统可用性 ≥ 99.5%（月度统计，不含计划维护窗口）。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单Agent故障不应导致整个系统不可用（编排Agent降级：手动状态流转）。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LLM服务不可用时，系统降级为纯人工模式（保留数据入口和任务管理功能）。</w:t>
      </w:r>
    </w:p>
    <w:p>
      <w:pPr>
        <w:pStyle w:val="Heading2"/>
        <w:spacing w:after="200" w:before="300"/>
      </w:pPr>
      <w:r>
        <w:rPr>
          <w:rFonts w:ascii="Arial" w:eastAsia="Microsoft YaHei" w:hAnsi="Arial"/>
          <w:b/>
          <w:bCs/>
          <w:i w:val="false"/>
          <w:iCs w:val="false"/>
          <w:color w:val="1A1A1A"/>
          <w:sz w:val="44"/>
          <w:szCs w:val="44"/>
        </w:rPr>
        <w:t xml:space="preserve">6.6 多PE隔离</w:t>
      </w:r>
    </w:p>
    <w:p>
      <w:pPr>
        <w:spacing w:after="120" w:line="36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不同解析场景使用独立的PE配置文件（Prompt模板+JSON Schema），采用版本化存储。PE更新走Git PR流程，变更需通过5个回归测试用例验证后方可合并。避免单一PE变更影响全局解析质量。</w:t>
      </w:r>
    </w:p>
    <w:p>
      <w:pPr>
        <w:pageBreakBefore/>
      </w:pPr>
    </w:p>
    <w:p>
      <w:pPr>
        <w:pStyle w:val="Heading1"/>
        <w:spacing w:after="200" w:before="400"/>
      </w:pPr>
      <w:r>
        <w:rPr>
          <w:rFonts w:ascii="Arial" w:eastAsia="Microsoft YaHei" w:hAnsi="Arial"/>
          <w:b/>
          <w:bCs/>
          <w:i w:val="false"/>
          <w:iCs w:val="false"/>
          <w:color w:val="1A1A1A"/>
          <w:sz w:val="56"/>
          <w:szCs w:val="56"/>
        </w:rPr>
        <w:t xml:space="preserve">7. 成功指标 (KPIs)</w:t>
      </w:r>
    </w:p>
    <w:p>
      <w:pPr>
        <w:pStyle w:val="Heading2"/>
        <w:spacing w:after="200" w:before="300"/>
      </w:pPr>
      <w:r>
        <w:rPr>
          <w:rFonts w:ascii="Arial" w:eastAsia="Microsoft YaHei" w:hAnsi="Arial"/>
          <w:b/>
          <w:bCs/>
          <w:i w:val="false"/>
          <w:iCs w:val="false"/>
          <w:color w:val="1A1A1A"/>
          <w:sz w:val="44"/>
          <w:szCs w:val="44"/>
        </w:rPr>
        <w:t xml:space="preserve">7.1 业务三期目标</w:t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5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指标</w:t>
            </w:r>
          </w:p>
        </w:tc>
        <w:tc>
          <w:tcPr>
            <w:tcW w:type="dxa" w:w="25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MVP (Month 1-3)</w:t>
            </w:r>
          </w:p>
        </w:tc>
        <w:tc>
          <w:tcPr>
            <w:tcW w:type="dxa" w:w="25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V1.5 (Month 4-6)</w:t>
            </w:r>
          </w:p>
        </w:tc>
        <w:tc>
          <w:tcPr>
            <w:tcW w:type="dxa" w:w="25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V3.0 (Month 7-12)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月处理零件数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≥ 50个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≥ 150个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≥ 500个</w:t>
            </w:r>
          </w:p>
        </w:tc>
      </w:tr>
      <w:tr>
        <w:trPr>
          <w:cantSplit/>
        </w:trPr>
        <w:tc>
          <w:tcPr>
            <w:tcW w:type="dxa" w:w="25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平均认可周期</w:t>
            </w:r>
          </w:p>
        </w:tc>
        <w:tc>
          <w:tcPr>
            <w:tcW w:type="dxa" w:w="25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≤ 5天</w:t>
            </w:r>
          </w:p>
        </w:tc>
        <w:tc>
          <w:tcPr>
            <w:tcW w:type="dxa" w:w="25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≤ 4天</w:t>
            </w:r>
          </w:p>
        </w:tc>
        <w:tc>
          <w:tcPr>
            <w:tcW w:type="dxa" w:w="25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≤ 3天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人工干预率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≤ 30%节点需人工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≤ 20%节点需人工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≤ 10%节点需人工</w:t>
            </w:r>
          </w:p>
        </w:tc>
      </w:tr>
      <w:tr>
        <w:trPr>
          <w:cantSplit/>
        </w:trPr>
        <w:tc>
          <w:tcPr>
            <w:tcW w:type="dxa" w:w="25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资料一次通过率</w:t>
            </w:r>
          </w:p>
        </w:tc>
        <w:tc>
          <w:tcPr>
            <w:tcW w:type="dxa" w:w="25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≥ 85%</w:t>
            </w:r>
          </w:p>
        </w:tc>
        <w:tc>
          <w:tcPr>
            <w:tcW w:type="dxa" w:w="25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≥ 90%</w:t>
            </w:r>
          </w:p>
        </w:tc>
        <w:tc>
          <w:tcPr>
            <w:tcW w:type="dxa" w:w="25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≥ 95%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用户满意度 (NPS)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≥ +20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≥ +35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≥ +50</w:t>
            </w:r>
          </w:p>
        </w:tc>
      </w:tr>
      <w:tr>
        <w:trPr>
          <w:cantSplit/>
        </w:trPr>
        <w:tc>
          <w:tcPr>
            <w:tcW w:type="dxa" w:w="25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异常漏检率</w:t>
            </w:r>
          </w:p>
        </w:tc>
        <w:tc>
          <w:tcPr>
            <w:tcW w:type="dxa" w:w="25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≤ 15%</w:t>
            </w:r>
          </w:p>
        </w:tc>
        <w:tc>
          <w:tcPr>
            <w:tcW w:type="dxa" w:w="25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≤ 10%</w:t>
            </w:r>
          </w:p>
        </w:tc>
        <w:tc>
          <w:tcPr>
            <w:tcW w:type="dxa" w:w="25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≤ 5%</w:t>
            </w:r>
          </w:p>
        </w:tc>
      </w:tr>
    </w:tbl>
    <w:p>
      <w:pPr>
        <w:pStyle w:val="Heading2"/>
        <w:spacing w:after="200" w:before="300"/>
      </w:pPr>
      <w:r>
        <w:rPr>
          <w:rFonts w:ascii="Arial" w:eastAsia="Microsoft YaHei" w:hAnsi="Arial"/>
          <w:b/>
          <w:bCs/>
          <w:i w:val="false"/>
          <w:iCs w:val="false"/>
          <w:color w:val="1A1A1A"/>
          <w:sz w:val="44"/>
          <w:szCs w:val="44"/>
        </w:rPr>
        <w:t xml:space="preserve">7.2 模型目标</w:t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8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模型指标</w:t>
            </w:r>
          </w:p>
        </w:tc>
        <w:tc>
          <w:tcPr>
            <w:tcW w:type="dxa" w:w="22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MVP基线</w:t>
            </w:r>
          </w:p>
        </w:tc>
        <w:tc>
          <w:tcPr>
            <w:tcW w:type="dxa" w:w="22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SFT后目标</w:t>
            </w:r>
          </w:p>
        </w:tc>
        <w:tc>
          <w:tcPr>
            <w:tcW w:type="dxa" w:w="28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评估方法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字段提取准确率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≥ 90%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≥ 95%</w:t>
            </w:r>
          </w:p>
        </w:tc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100样本人工标注对比</w:t>
            </w:r>
          </w:p>
        </w:tc>
      </w:tr>
      <w:tr>
        <w:trPr>
          <w:cantSplit/>
        </w:trPr>
        <w:tc>
          <w:tcPr>
            <w:tcW w:type="dxa" w:w="28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字段提取召回率</w:t>
            </w:r>
          </w:p>
        </w:tc>
        <w:tc>
          <w:tcPr>
            <w:tcW w:type="dxa" w:w="22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≥ 88%</w:t>
            </w:r>
          </w:p>
        </w:tc>
        <w:tc>
          <w:tcPr>
            <w:tcW w:type="dxa" w:w="22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≥ 93%</w:t>
            </w:r>
          </w:p>
        </w:tc>
        <w:tc>
          <w:tcPr>
            <w:tcW w:type="dxa" w:w="28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遗漏字段/总字段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分类准确率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≥ 85%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≥ 92%</w:t>
            </w:r>
          </w:p>
        </w:tc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混淆矩阵</w:t>
            </w:r>
          </w:p>
        </w:tc>
      </w:tr>
      <w:tr>
        <w:trPr>
          <w:cantSplit/>
        </w:trPr>
        <w:tc>
          <w:tcPr>
            <w:tcW w:type="dxa" w:w="28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语义等价判定F1</w:t>
            </w:r>
          </w:p>
        </w:tc>
        <w:tc>
          <w:tcPr>
            <w:tcW w:type="dxa" w:w="22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≥ 0.82</w:t>
            </w:r>
          </w:p>
        </w:tc>
        <w:tc>
          <w:tcPr>
            <w:tcW w:type="dxa" w:w="22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≥ 0.90</w:t>
            </w:r>
          </w:p>
        </w:tc>
        <w:tc>
          <w:tcPr>
            <w:tcW w:type="dxa" w:w="28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人工判定对比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异常检测F1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≥ 0.80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≥ 0.88</w:t>
            </w:r>
          </w:p>
        </w:tc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P/R加权</w:t>
            </w:r>
          </w:p>
        </w:tc>
      </w:tr>
      <w:tr>
        <w:trPr>
          <w:cantSplit/>
        </w:trPr>
        <w:tc>
          <w:tcPr>
            <w:tcW w:type="dxa" w:w="28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LLM调用成功率</w:t>
            </w:r>
          </w:p>
        </w:tc>
        <w:tc>
          <w:tcPr>
            <w:tcW w:type="dxa" w:w="22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≥ 98%</w:t>
            </w:r>
          </w:p>
        </w:tc>
        <w:tc>
          <w:tcPr>
            <w:tcW w:type="dxa" w:w="22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≥ 99.5%</w:t>
            </w:r>
          </w:p>
        </w:tc>
        <w:tc>
          <w:tcPr>
            <w:tcW w:type="dxa" w:w="28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成功调用/总调用</w:t>
            </w:r>
          </w:p>
        </w:tc>
      </w:tr>
    </w:tbl>
    <w:p>
      <w:pPr>
        <w:pStyle w:val="Heading1"/>
        <w:spacing w:after="200" w:before="400"/>
      </w:pPr>
      <w:r>
        <w:rPr>
          <w:rFonts w:ascii="Arial" w:eastAsia="Microsoft YaHei" w:hAnsi="Arial"/>
          <w:b/>
          <w:bCs/>
          <w:i w:val="false"/>
          <w:iCs w:val="false"/>
          <w:color w:val="1A1A1A"/>
          <w:sz w:val="56"/>
          <w:szCs w:val="56"/>
        </w:rPr>
        <w:t xml:space="preserve">8. MVP 范围定义</w:t>
      </w:r>
    </w:p>
    <w:p>
      <w:pPr>
        <w:pStyle w:val="Heading2"/>
        <w:spacing w:after="200" w:before="300"/>
      </w:pPr>
      <w:r>
        <w:rPr>
          <w:rFonts w:ascii="Arial" w:eastAsia="Microsoft YaHei" w:hAnsi="Arial"/>
          <w:b/>
          <w:bCs/>
          <w:i w:val="false"/>
          <w:iCs w:val="false"/>
          <w:color w:val="1A1A1A"/>
          <w:sz w:val="44"/>
          <w:szCs w:val="44"/>
        </w:rPr>
        <w:t xml:space="preserve">8.1 时间与资源</w:t>
      </w:r>
    </w:p>
    <w:p>
      <w:pPr>
        <w:spacing w:after="120" w:line="36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MVP 开发周期：1-3 个月（单人 Vibe Coding 模式）。</w:t>
      </w:r>
    </w:p>
    <w:p>
      <w:pPr>
        <w:pStyle w:val="Heading2"/>
        <w:spacing w:after="200" w:before="300"/>
      </w:pPr>
      <w:r>
        <w:rPr>
          <w:rFonts w:ascii="Arial" w:eastAsia="Microsoft YaHei" w:hAnsi="Arial"/>
          <w:b/>
          <w:bCs/>
          <w:i w:val="false"/>
          <w:iCs w:val="false"/>
          <w:color w:val="1A1A1A"/>
          <w:sz w:val="44"/>
          <w:szCs w:val="44"/>
        </w:rPr>
        <w:t xml:space="preserve">8.2 Agent 范围</w:t>
      </w:r>
    </w:p>
    <w:p>
      <w:pPr>
        <w:spacing w:after="120" w:line="36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MVP阶段上线 1+3 Agent 架构：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/>
          <w:bCs/>
          <w:i w:val="false"/>
          <w:iCs w:val="false"/>
          <w:color w:val="000000"/>
          <w:sz w:val="24"/>
          <w:szCs w:val="24"/>
        </w:rPr>
        <w:t xml:space="preserve">编排 Agent（1个）：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状态机驱动的流程编排，唯一有权修改任务状态。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/>
          <w:bCs/>
          <w:i w:val="false"/>
          <w:iCs w:val="false"/>
          <w:color w:val="000000"/>
          <w:sz w:val="24"/>
          <w:szCs w:val="24"/>
        </w:rPr>
        <w:t xml:space="preserve">功能 Agent（3个）：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邮件网关 Agent（IMAP监听+附件下载，IO密集型）；解析 Agent（多模态字段提取，LLM密集型）；资料 Agent（完整性检查+缺失提醒，混合型）。</w:t>
      </w:r>
    </w:p>
    <w:p>
      <w:pPr>
        <w:spacing w:after="120" w:line="360"/>
        <w:jc w:val="both"/>
      </w:pPr>
      <w:r>
        <w:rPr>
          <w:rFonts w:ascii="Arial" w:eastAsia="Microsoft YaHei" w:hAnsi="Arial"/>
          <w:b/>
          <w:bCs/>
          <w:i w:val="false"/>
          <w:iCs w:val="false"/>
          <w:color w:val="1A5276"/>
          <w:sz w:val="24"/>
          <w:szCs w:val="24"/>
        </w:rPr>
        <w:t xml:space="preserve">报告 Agent 暂不纳入 MVP，待核心流程稳定后（V1.5）独立开发。</w:t>
      </w:r>
    </w:p>
    <w:p>
      <w:pPr>
        <w:pStyle w:val="Heading2"/>
        <w:spacing w:after="200" w:before="300"/>
      </w:pPr>
      <w:r>
        <w:rPr>
          <w:rFonts w:ascii="Arial" w:eastAsia="Microsoft YaHei" w:hAnsi="Arial"/>
          <w:b/>
          <w:bCs/>
          <w:i w:val="false"/>
          <w:iCs w:val="false"/>
          <w:color w:val="1A1A1A"/>
          <w:sz w:val="44"/>
          <w:szCs w:val="44"/>
        </w:rPr>
        <w:t xml:space="preserve">8.3 MVP 核心功能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零件录入：Web表单提交 + 自动任务创建。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邮件监听与解析：IMAP实时监听 + 规则过滤 + 附件自动下载。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字段提取入库：LLM多模态解析 + 结构化存储。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完整性检查：动态清单模板 + 规则引擎 + LLM语义核对。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基础工作台：任务列表、详情页、审核操作。</w:t>
      </w:r>
    </w:p>
    <w:p>
      <w:pPr>
        <w:pStyle w:val="Heading2"/>
        <w:spacing w:after="200" w:before="300"/>
      </w:pPr>
      <w:r>
        <w:rPr>
          <w:rFonts w:ascii="Arial" w:eastAsia="Microsoft YaHei" w:hAnsi="Arial"/>
          <w:b/>
          <w:bCs/>
          <w:i w:val="false"/>
          <w:iCs w:val="false"/>
          <w:color w:val="1A1A1A"/>
          <w:sz w:val="44"/>
          <w:szCs w:val="44"/>
        </w:rPr>
        <w:t xml:space="preserve">8.4 MVP 集成范围</w:t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5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集成系统</w:t>
            </w:r>
          </w:p>
        </w:tc>
        <w:tc>
          <w:tcPr>
            <w:tcW w:type="dxa" w:w="25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集成方式</w:t>
            </w:r>
          </w:p>
        </w:tc>
        <w:tc>
          <w:tcPr>
            <w:tcW w:type="dxa" w:w="25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集成深度</w:t>
            </w:r>
          </w:p>
        </w:tc>
        <w:tc>
          <w:tcPr>
            <w:tcW w:type="dxa" w:w="25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备注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邮件系统（IMAP）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IMAPClient + asyncio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接收+附件下载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支持Office365/Exchange</w:t>
            </w:r>
          </w:p>
        </w:tc>
      </w:tr>
      <w:tr>
        <w:trPr>
          <w:cantSplit/>
        </w:trPr>
        <w:tc>
          <w:tcPr>
            <w:tcW w:type="dxa" w:w="25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文件存储（MinIO）</w:t>
            </w:r>
          </w:p>
        </w:tc>
        <w:tc>
          <w:tcPr>
            <w:tcW w:type="dxa" w:w="25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S3兼容API</w:t>
            </w:r>
          </w:p>
        </w:tc>
        <w:tc>
          <w:tcPr>
            <w:tcW w:type="dxa" w:w="25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上传/下载/预览</w:t>
            </w:r>
          </w:p>
        </w:tc>
        <w:tc>
          <w:tcPr>
            <w:tcW w:type="dxa" w:w="25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私有化部署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LLM推理服务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DeepSeek OpenAI 兼容 API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多模态解析+字段提取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DeepSeek V4</w:t>
            </w:r>
          </w:p>
        </w:tc>
      </w:tr>
      <w:tr>
        <w:trPr>
          <w:cantSplit/>
        </w:trPr>
        <w:tc>
          <w:tcPr>
            <w:tcW w:type="dxa" w:w="25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数据库（PostgreSQL）</w:t>
            </w:r>
          </w:p>
        </w:tc>
        <w:tc>
          <w:tcPr>
            <w:tcW w:type="dxa" w:w="25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SQLAlchemy async</w:t>
            </w:r>
          </w:p>
        </w:tc>
        <w:tc>
          <w:tcPr>
            <w:tcW w:type="dxa" w:w="25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全量CRUD</w:t>
            </w:r>
          </w:p>
        </w:tc>
        <w:tc>
          <w:tcPr>
            <w:tcW w:type="dxa" w:w="25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含pgvector扩展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通知服务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SMTP + Webhook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邮件+IM通知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支持企业微信/飞书</w:t>
            </w:r>
          </w:p>
        </w:tc>
      </w:tr>
    </w:tbl>
    <w:p>
      <w:pPr>
        <w:pStyle w:val="Heading2"/>
        <w:spacing w:after="200" w:before="300"/>
      </w:pPr>
      <w:r>
        <w:rPr>
          <w:rFonts w:ascii="Arial" w:eastAsia="Microsoft YaHei" w:hAnsi="Arial"/>
          <w:b/>
          <w:bCs/>
          <w:i w:val="false"/>
          <w:iCs w:val="false"/>
          <w:color w:val="1A1A1A"/>
          <w:sz w:val="44"/>
          <w:szCs w:val="44"/>
        </w:rPr>
        <w:t xml:space="preserve">8.5 MVP 不包含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报告 Agent（报告自动生成、FAIL分析、返工管理）。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PLM/ERP系统集成。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电子签章对接。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SFT模型微调。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供应商协作门户。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移动端应用。</w:t>
      </w:r>
    </w:p>
    <w:p>
      <w:pPr>
        <w:pageBreakBefore/>
      </w:pPr>
    </w:p>
    <w:p>
      <w:pPr>
        <w:pStyle w:val="Heading1"/>
        <w:spacing w:after="200" w:before="400"/>
      </w:pPr>
      <w:r>
        <w:rPr>
          <w:rFonts w:ascii="Arial" w:eastAsia="Microsoft YaHei" w:hAnsi="Arial"/>
          <w:b/>
          <w:bCs/>
          <w:i w:val="false"/>
          <w:iCs w:val="false"/>
          <w:color w:val="1A1A1A"/>
          <w:sz w:val="56"/>
          <w:szCs w:val="56"/>
        </w:rPr>
        <w:t xml:space="preserve">9. Agent 架构设计 V2.0</w:t>
      </w:r>
    </w:p>
    <w:p>
      <w:pPr>
        <w:pStyle w:val="Heading2"/>
        <w:spacing w:after="200" w:before="300"/>
      </w:pPr>
      <w:r>
        <w:rPr>
          <w:rFonts w:ascii="Arial" w:eastAsia="Microsoft YaHei" w:hAnsi="Arial"/>
          <w:b/>
          <w:bCs/>
          <w:i w:val="false"/>
          <w:iCs w:val="false"/>
          <w:color w:val="1A1A1A"/>
          <w:sz w:val="44"/>
          <w:szCs w:val="44"/>
        </w:rPr>
        <w:t xml:space="preserve">9.1 架构概述</w:t>
      </w:r>
    </w:p>
    <w:p>
      <w:pPr>
        <w:spacing w:after="120" w:line="36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V2.0架构核心设计原则：1 编排 Agent + 3 功能 Agent + 事件总线 + 通知消费者协程。部署方式为单 FastAPI 进程，使用 asyncio.Queue 作为进程内事件总线（MVP阶段）。</w:t>
      </w:r>
    </w:p>
    <w:p>
      <w:pPr>
        <w:spacing w:after="80"/>
      </w:pPr>
    </w:p>
    <w:p>
      <w:pPr>
        <w:spacing w:after="120" w:line="360"/>
        <w:jc w:val="both"/>
      </w:pPr>
      <w:r>
        <w:rPr>
          <w:rFonts w:ascii="Arial" w:eastAsia="Microsoft YaHei" w:hAnsi="Arial"/>
          <w:b/>
          <w:bCs/>
          <w:i w:val="false"/>
          <w:iCs w:val="false"/>
          <w:color w:val="000000"/>
          <w:sz w:val="24"/>
          <w:szCs w:val="24"/>
        </w:rPr>
        <w:t xml:space="preserve">与原V1.0设计的关键变化：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流程 Agent 已撤销，其职责分散到编排 Agent（状态流转）和报告 Agent（报告生成）。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邮件 Agent 拆分为两个独立Agent：邮件网关 Agent（IO密集型，不调LLM）和解析 Agent（AI型，API 调用 DeepSeek V4）。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HUMAN_PENDING 从独立状态改为附加 flag 标记，避免状态机状态数量爆炸。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采用事件驱动通信协议，各Agent通过 asyncio.Queue 解耦。</w:t>
      </w:r>
    </w:p>
    <w:p>
      <w:pPr>
        <w:pStyle w:val="Heading2"/>
        <w:spacing w:after="200" w:before="300"/>
      </w:pPr>
      <w:r>
        <w:rPr>
          <w:rFonts w:ascii="Arial" w:eastAsia="Microsoft YaHei" w:hAnsi="Arial"/>
          <w:b/>
          <w:bCs/>
          <w:i w:val="false"/>
          <w:iCs w:val="false"/>
          <w:color w:val="1A1A1A"/>
          <w:sz w:val="44"/>
          <w:szCs w:val="44"/>
        </w:rPr>
        <w:t xml:space="preserve">9.2 编排 Agent (Host-Agent)</w:t>
      </w:r>
    </w:p>
    <w:p>
      <w:pPr>
        <w:spacing w:after="120" w:line="36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编排 Agent 是整个系统的核心大脑，采用状态机 + 路由决策表驱动，不使用LLM进行流程决策（保证确定性）。</w:t>
      </w:r>
    </w:p>
    <w:p>
      <w:pPr>
        <w:spacing w:after="80"/>
      </w:pPr>
    </w:p>
    <w:p>
      <w:pPr>
        <w:spacing w:after="120" w:line="360"/>
        <w:jc w:val="both"/>
      </w:pPr>
      <w:r>
        <w:rPr>
          <w:rFonts w:ascii="Arial" w:eastAsia="Microsoft YaHei" w:hAnsi="Arial"/>
          <w:b/>
          <w:bCs/>
          <w:i w:val="false"/>
          <w:iCs w:val="false"/>
          <w:color w:val="000000"/>
          <w:sz w:val="24"/>
          <w:szCs w:val="24"/>
        </w:rPr>
        <w:t xml:space="preserve">核心职责：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唯一有权修改任务状态的组件，所有功能Agent只产出数据+事件，不直接修改状态。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维护全局状态机（8个核心状态：INIT → PARSING → CHECKING → REVIEW → APPROVED → CLOSED，含NEED_SUPPLEMENT和PARSING_FAILED分支）。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路由决策：根据完整性检查结果、置信度评分、异常检测结果决定下一步流向。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HUMAN_PENDING 作为 flag 而非状态：在 REVIEW 状态中，低置信度节点标记 HUMAN_PENDING flag=true，高置信度节点可自动流转。</w:t>
      </w:r>
    </w:p>
    <w:p>
      <w:pPr>
        <w:spacing w:after="80"/>
      </w:pPr>
    </w:p>
    <w:p>
      <w:pPr>
        <w:spacing w:after="120" w:line="360"/>
        <w:jc w:val="both"/>
      </w:pPr>
      <w:r>
        <w:rPr>
          <w:rFonts w:ascii="Arial" w:eastAsia="Microsoft YaHei" w:hAnsi="Arial"/>
          <w:b/>
          <w:bCs/>
          <w:i w:val="false"/>
          <w:iCs w:val="false"/>
          <w:color w:val="000000"/>
          <w:sz w:val="24"/>
          <w:szCs w:val="24"/>
        </w:rPr>
        <w:t xml:space="preserve">人工确认节点（10个）：</w:t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12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节点编号</w:t>
            </w:r>
          </w:p>
        </w:tc>
        <w:tc>
          <w:tcPr>
            <w:tcW w:type="dxa" w:w="22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确认场景</w:t>
            </w:r>
          </w:p>
        </w:tc>
        <w:tc>
          <w:tcPr>
            <w:tcW w:type="dxa" w:w="32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触发条件</w:t>
            </w:r>
          </w:p>
        </w:tc>
        <w:tc>
          <w:tcPr>
            <w:tcW w:type="dxa" w:w="20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默认超时</w:t>
            </w:r>
          </w:p>
        </w:tc>
      </w:tr>
      <w:tr>
        <w:trPr>
          <w:cantSplit/>
        </w:trPr>
        <w:tc>
          <w:tcPr>
            <w:tcW w:type="dxa" w:w="1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H1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低置信度字段确认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任一字段置信度&lt;0.85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24小时</w:t>
            </w:r>
          </w:p>
        </w:tc>
      </w:tr>
      <w:tr>
        <w:trPr>
          <w:cantSplit/>
        </w:trPr>
        <w:tc>
          <w:tcPr>
            <w:tcW w:type="dxa" w:w="12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H2</w:t>
            </w:r>
          </w:p>
        </w:tc>
        <w:tc>
          <w:tcPr>
            <w:tcW w:type="dxa" w:w="22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分类不确定确认</w:t>
            </w:r>
          </w:p>
        </w:tc>
        <w:tc>
          <w:tcPr>
            <w:tcW w:type="dxa" w:w="32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分类置信度&lt;0.80</w:t>
            </w:r>
          </w:p>
        </w:tc>
        <w:tc>
          <w:tcPr>
            <w:tcW w:type="dxa" w:w="20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24小时</w:t>
            </w:r>
          </w:p>
        </w:tc>
      </w:tr>
      <w:tr>
        <w:trPr>
          <w:cantSplit/>
        </w:trPr>
        <w:tc>
          <w:tcPr>
            <w:tcW w:type="dxa" w:w="1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H3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异常检测确认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异常检测置信度&lt;0.80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8小时</w:t>
            </w:r>
          </w:p>
        </w:tc>
      </w:tr>
      <w:tr>
        <w:trPr>
          <w:cantSplit/>
        </w:trPr>
        <w:tc>
          <w:tcPr>
            <w:tcW w:type="dxa" w:w="12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H4</w:t>
            </w:r>
          </w:p>
        </w:tc>
        <w:tc>
          <w:tcPr>
            <w:tcW w:type="dxa" w:w="22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语义等价不确定</w:t>
            </w:r>
          </w:p>
        </w:tc>
        <w:tc>
          <w:tcPr>
            <w:tcW w:type="dxa" w:w="32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等价判定&lt;0.85</w:t>
            </w:r>
          </w:p>
        </w:tc>
        <w:tc>
          <w:tcPr>
            <w:tcW w:type="dxa" w:w="20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24小时</w:t>
            </w:r>
          </w:p>
        </w:tc>
      </w:tr>
      <w:tr>
        <w:trPr>
          <w:cantSplit/>
        </w:trPr>
        <w:tc>
          <w:tcPr>
            <w:tcW w:type="dxa" w:w="1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H5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超差判定确认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公差超出标准范围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8小时</w:t>
            </w:r>
          </w:p>
        </w:tc>
      </w:tr>
      <w:tr>
        <w:trPr>
          <w:cantSplit/>
        </w:trPr>
        <w:tc>
          <w:tcPr>
            <w:tcW w:type="dxa" w:w="12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H6</w:t>
            </w:r>
          </w:p>
        </w:tc>
        <w:tc>
          <w:tcPr>
            <w:tcW w:type="dxa" w:w="22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材料偏差确认</w:t>
            </w:r>
          </w:p>
        </w:tc>
        <w:tc>
          <w:tcPr>
            <w:tcW w:type="dxa" w:w="32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材料牌号不匹配</w:t>
            </w:r>
          </w:p>
        </w:tc>
        <w:tc>
          <w:tcPr>
            <w:tcW w:type="dxa" w:w="20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24小时</w:t>
            </w:r>
          </w:p>
        </w:tc>
      </w:tr>
      <w:tr>
        <w:trPr>
          <w:cantSplit/>
        </w:trPr>
        <w:tc>
          <w:tcPr>
            <w:tcW w:type="dxa" w:w="1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H7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供应商资质审核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新供应商或资质过期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48小时</w:t>
            </w:r>
          </w:p>
        </w:tc>
      </w:tr>
      <w:tr>
        <w:trPr>
          <w:cantSplit/>
        </w:trPr>
        <w:tc>
          <w:tcPr>
            <w:tcW w:type="dxa" w:w="12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H8</w:t>
            </w:r>
          </w:p>
        </w:tc>
        <w:tc>
          <w:tcPr>
            <w:tcW w:type="dxa" w:w="22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返工审核</w:t>
            </w:r>
          </w:p>
        </w:tc>
        <w:tc>
          <w:tcPr>
            <w:tcW w:type="dxa" w:w="32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补充资料后重新检查</w:t>
            </w:r>
          </w:p>
        </w:tc>
        <w:tc>
          <w:tcPr>
            <w:tcW w:type="dxa" w:w="20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24小时</w:t>
            </w:r>
          </w:p>
        </w:tc>
      </w:tr>
      <w:tr>
        <w:trPr>
          <w:cantSplit/>
        </w:trPr>
        <w:tc>
          <w:tcPr>
            <w:tcW w:type="dxa" w:w="1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H9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版本冲突确认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检测到多版本并存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8小时</w:t>
            </w:r>
          </w:p>
        </w:tc>
      </w:tr>
      <w:tr>
        <w:trPr>
          <w:cantSplit/>
        </w:trPr>
        <w:tc>
          <w:tcPr>
            <w:tcW w:type="dxa" w:w="12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H10</w:t>
            </w:r>
          </w:p>
        </w:tc>
        <w:tc>
          <w:tcPr>
            <w:tcW w:type="dxa" w:w="22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弃用/终止确认</w:t>
            </w:r>
          </w:p>
        </w:tc>
        <w:tc>
          <w:tcPr>
            <w:tcW w:type="dxa" w:w="32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零件流程终止</w:t>
            </w:r>
          </w:p>
        </w:tc>
        <w:tc>
          <w:tcPr>
            <w:tcW w:type="dxa" w:w="20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48小时</w:t>
            </w:r>
          </w:p>
        </w:tc>
      </w:tr>
    </w:tbl>
    <w:p>
      <w:pPr>
        <w:pStyle w:val="Heading2"/>
        <w:spacing w:after="200" w:before="300"/>
      </w:pPr>
      <w:r>
        <w:rPr>
          <w:rFonts w:ascii="Arial" w:eastAsia="Microsoft YaHei" w:hAnsi="Arial"/>
          <w:b/>
          <w:bCs/>
          <w:i w:val="false"/>
          <w:iCs w:val="false"/>
          <w:color w:val="1A1A1A"/>
          <w:sz w:val="44"/>
          <w:szCs w:val="44"/>
        </w:rPr>
        <w:t xml:space="preserve">9.3 邮件网关 Agent（新增）</w:t>
      </w:r>
    </w:p>
    <w:p>
      <w:pPr>
        <w:spacing w:after="120" w:line="36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邮件网关 Agent 为纯IO密集型组件，不调用任何LLM服务，负责邮件接入层的所有操作。</w:t>
      </w:r>
    </w:p>
    <w:p>
      <w:pPr>
        <w:spacing w:after="80"/>
      </w:pPr>
    </w:p>
    <w:p>
      <w:pPr>
        <w:spacing w:after="120" w:line="360"/>
        <w:jc w:val="both"/>
      </w:pPr>
      <w:r>
        <w:rPr>
          <w:rFonts w:ascii="Arial" w:eastAsia="Microsoft YaHei" w:hAnsi="Arial"/>
          <w:b/>
          <w:bCs/>
          <w:i w:val="false"/>
          <w:iCs w:val="false"/>
          <w:color w:val="000000"/>
          <w:sz w:val="24"/>
          <w:szCs w:val="24"/>
        </w:rPr>
        <w:t xml:space="preserve">核心职责：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IMAP实时监听：使用 IMAP IDLE 协议保持长连接，即时接收新邮件通知。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规则过滤：基于发件人域名、邮件主题关键词（OTS/PPAP/认可/样件）、附件类型（.pdf/.doc/.docx/.xlsx/.jpg/.png/.dwg）过滤有效邮件。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附件下载与预处理：自动下载附件到MinIO临时目录，生成唯一文件ID，校验文件完整性（MD5/HASH）。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Webhook支持：预留Webhook接口，供不支持IMAP的外部系统主动推送。</w:t>
      </w:r>
    </w:p>
    <w:p>
      <w:pPr>
        <w:spacing w:after="80"/>
      </w:pPr>
    </w:p>
    <w:p>
      <w:pPr>
        <w:spacing w:after="120" w:line="360"/>
        <w:jc w:val="both"/>
      </w:pPr>
      <w:r>
        <w:rPr>
          <w:rFonts w:ascii="Arial" w:eastAsia="Microsoft YaHei" w:hAnsi="Arial"/>
          <w:b/>
          <w:bCs/>
          <w:i w:val="false"/>
          <w:iCs w:val="false"/>
          <w:color w:val="000000"/>
          <w:sz w:val="24"/>
          <w:szCs w:val="24"/>
        </w:rPr>
        <w:t xml:space="preserve">技术栈：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Python asyncio + IMAPClient + email模块。不引入额外依赖服务。</w:t>
      </w:r>
    </w:p>
    <w:p>
      <w:pPr>
        <w:spacing w:after="80"/>
      </w:pPr>
    </w:p>
    <w:p>
      <w:pPr>
        <w:spacing w:after="120" w:line="360"/>
        <w:jc w:val="both"/>
      </w:pPr>
      <w:r>
        <w:rPr>
          <w:rFonts w:ascii="Arial" w:eastAsia="Microsoft YaHei" w:hAnsi="Arial"/>
          <w:b/>
          <w:bCs/>
          <w:i w:val="false"/>
          <w:iCs w:val="false"/>
          <w:color w:val="000000"/>
          <w:sz w:val="24"/>
          <w:szCs w:val="24"/>
        </w:rPr>
        <w:t xml:space="preserve">与解析Agent解耦：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通过 asyncio.Queue 传递解析任务（解析请求 = {task_id, file_ids, metadata}），网关不关心下游处理结果。</w:t>
      </w:r>
    </w:p>
    <w:p>
      <w:pPr>
        <w:pStyle w:val="Heading2"/>
        <w:spacing w:after="200" w:before="300"/>
      </w:pPr>
      <w:r>
        <w:rPr>
          <w:rFonts w:ascii="Arial" w:eastAsia="Microsoft YaHei" w:hAnsi="Arial"/>
          <w:b/>
          <w:bCs/>
          <w:i w:val="false"/>
          <w:iCs w:val="false"/>
          <w:color w:val="1A1A1A"/>
          <w:sz w:val="44"/>
          <w:szCs w:val="44"/>
        </w:rPr>
        <w:t xml:space="preserve">9.4 解析 Agent</w:t>
      </w:r>
    </w:p>
    <w:p>
      <w:pPr>
        <w:spacing w:after="120" w:line="36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解析 Agent 从原邮件Agent中拆分而来，专注于 AI 计算任务。通过 API 调用 DeepSeek V4，按 API 速率限制控制并发。</w:t>
      </w:r>
    </w:p>
    <w:p>
      <w:pPr>
        <w:spacing w:after="80"/>
      </w:pPr>
    </w:p>
    <w:p>
      <w:pPr>
        <w:spacing w:after="120" w:line="360"/>
        <w:jc w:val="both"/>
      </w:pPr>
      <w:r>
        <w:rPr>
          <w:rFonts w:ascii="Arial" w:eastAsia="Microsoft YaHei" w:hAnsi="Arial"/>
          <w:b/>
          <w:bCs/>
          <w:i w:val="false"/>
          <w:iCs w:val="false"/>
          <w:color w:val="000000"/>
          <w:sz w:val="24"/>
          <w:szCs w:val="24"/>
        </w:rPr>
        <w:t xml:space="preserve">核心职责：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多模态文件解析：支持PDF、Word、Excel、图片（含扫描件OCR）、CAD图纸（DWG缩略图）的解析。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结构化字段提取：从文档中提取零件号、材料牌号、尺寸公差、性能参数、试验结果等关键字段。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置信度校验：对每个提取字段输出置信度评分（0-1），低置信度字段标记 HUMAN_PENDING flag。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异常检测：数值范围校验、字段一致性校验（跨文档交叉验证）、版本号格式校验。</w:t>
      </w:r>
    </w:p>
    <w:p>
      <w:pPr>
        <w:spacing w:after="80"/>
      </w:pPr>
    </w:p>
    <w:p>
      <w:pPr>
        <w:spacing w:after="120" w:line="360"/>
        <w:jc w:val="both"/>
      </w:pPr>
      <w:r>
        <w:rPr>
          <w:rFonts w:ascii="Arial" w:eastAsia="Microsoft YaHei" w:hAnsi="Arial"/>
          <w:b/>
          <w:bCs/>
          <w:i w:val="false"/>
          <w:iCs w:val="false"/>
          <w:color w:val="1A5276"/>
          <w:sz w:val="24"/>
          <w:szCs w:val="24"/>
        </w:rPr>
        <w:t xml:space="preserve">模型选择：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DeepSeek V4（统一多模态模型，文本+视觉一体）。通过 DeepSeek API 调用，OpenAI 兼容接口。</w:t>
      </w:r>
    </w:p>
    <w:p>
      <w:pPr>
        <w:spacing w:after="80"/>
      </w:pPr>
    </w:p>
    <w:p>
      <w:pPr>
        <w:spacing w:after="120" w:line="360"/>
        <w:jc w:val="both"/>
      </w:pPr>
      <w:r>
        <w:rPr>
          <w:rFonts w:ascii="Arial" w:eastAsia="Microsoft YaHei" w:hAnsi="Arial"/>
          <w:b/>
          <w:bCs/>
          <w:i w:val="false"/>
          <w:iCs w:val="false"/>
          <w:color w:val="000000"/>
          <w:sz w:val="24"/>
          <w:szCs w:val="24"/>
        </w:rPr>
        <w:t xml:space="preserve">并发控制：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按 DeepSeek API 速率限制控制并发（默认 60 RPM）。超出限制自动退避重试。</w:t>
      </w:r>
    </w:p>
    <w:p>
      <w:pPr>
        <w:pStyle w:val="Heading2"/>
        <w:spacing w:after="200" w:before="300"/>
      </w:pPr>
      <w:r>
        <w:rPr>
          <w:rFonts w:ascii="Arial" w:eastAsia="Microsoft YaHei" w:hAnsi="Arial"/>
          <w:b/>
          <w:bCs/>
          <w:i w:val="false"/>
          <w:iCs w:val="false"/>
          <w:color w:val="1A1A1A"/>
          <w:sz w:val="44"/>
          <w:szCs w:val="44"/>
        </w:rPr>
        <w:t xml:space="preserve">9.5 资料 Agent</w:t>
      </w:r>
    </w:p>
    <w:p>
      <w:pPr>
        <w:spacing w:after="120" w:line="36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资料 Agent 为混合型 Agent，结合规则引擎（确定性检查）、LLM（语义理解）和RAG（历史案例检索）三种能力。</w:t>
      </w:r>
    </w:p>
    <w:p>
      <w:pPr>
        <w:spacing w:after="80"/>
      </w:pPr>
    </w:p>
    <w:p>
      <w:pPr>
        <w:spacing w:after="120" w:line="360"/>
        <w:jc w:val="both"/>
      </w:pPr>
      <w:r>
        <w:rPr>
          <w:rFonts w:ascii="Arial" w:eastAsia="Microsoft YaHei" w:hAnsi="Arial"/>
          <w:b/>
          <w:bCs/>
          <w:i w:val="false"/>
          <w:iCs w:val="false"/>
          <w:color w:val="000000"/>
          <w:sz w:val="24"/>
          <w:szCs w:val="24"/>
        </w:rPr>
        <w:t xml:space="preserve">核心职责：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动态清单生成：根据零件类型（金属件/塑料件/电子件）、认可等级（OTS/PPAP）、客户要求，动态拼装资料清单模板。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清单核对（规则引擎）：逐项检查必需文件是否已提交、文件格式是否符合要求、签章是否完整。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语义等值判定（LLM）：判定"提交的材料牌号"和"图样要求材料牌号"是否为等效材料（如不同标准的同种材料）。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历史案例检索（RAG）：基于零件类型、材料、尺寸等维度检索历史相似案例，辅助完整性判断。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缺失提醒与升级：资料缺失自动发送补充通知，3天未补充自动升级通知至更高层级。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版本冲突标记：检测同一零件存在多个版本资料时，标记冲突并请求人工确认。</w:t>
      </w:r>
    </w:p>
    <w:p>
      <w:pPr>
        <w:spacing w:after="80"/>
      </w:pPr>
    </w:p>
    <w:p>
      <w:pPr>
        <w:spacing w:after="120" w:line="360"/>
        <w:jc w:val="both"/>
      </w:pPr>
      <w:r>
        <w:rPr>
          <w:rFonts w:ascii="Arial" w:eastAsia="Microsoft YaHei" w:hAnsi="Arial"/>
          <w:b/>
          <w:bCs/>
          <w:i w:val="false"/>
          <w:iCs w:val="false"/>
          <w:color w:val="000000"/>
          <w:sz w:val="24"/>
          <w:szCs w:val="24"/>
        </w:rPr>
        <w:t xml:space="preserve">技术栈：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规则引擎（Python dict/JSON配置）+ LLM（DeepSeek V4）+ pgvector（RAG向量检索）。</w:t>
      </w:r>
    </w:p>
    <w:p>
      <w:pPr>
        <w:pStyle w:val="Heading2"/>
        <w:spacing w:after="200" w:before="300"/>
      </w:pPr>
      <w:r>
        <w:rPr>
          <w:rFonts w:ascii="Arial" w:eastAsia="Microsoft YaHei" w:hAnsi="Arial"/>
          <w:b/>
          <w:bCs/>
          <w:i w:val="false"/>
          <w:iCs w:val="false"/>
          <w:color w:val="1A1A1A"/>
          <w:sz w:val="44"/>
          <w:szCs w:val="44"/>
        </w:rPr>
        <w:t xml:space="preserve">9.6 报告 Agent（MVP暂缺）</w:t>
      </w:r>
    </w:p>
    <w:p>
      <w:pPr>
        <w:spacing w:after="120" w:line="360"/>
        <w:jc w:val="both"/>
      </w:pPr>
      <w:r>
        <w:rPr>
          <w:rFonts w:ascii="Arial" w:eastAsia="Microsoft YaHei" w:hAnsi="Arial"/>
          <w:b/>
          <w:bCs/>
          <w:i w:val="false"/>
          <w:iCs w:val="false"/>
          <w:color w:val="1A5276"/>
          <w:sz w:val="24"/>
          <w:szCs w:val="24"/>
        </w:rPr>
        <w:t xml:space="preserve">报告 Agent 不在MVP范围，计划在V1.5版本独立开发和上线。</w:t>
      </w:r>
    </w:p>
    <w:p>
      <w:pPr>
        <w:spacing w:after="80"/>
      </w:pPr>
    </w:p>
    <w:p>
      <w:pPr>
        <w:spacing w:after="120" w:line="360"/>
        <w:jc w:val="both"/>
      </w:pPr>
      <w:r>
        <w:rPr>
          <w:rFonts w:ascii="Arial" w:eastAsia="Microsoft YaHei" w:hAnsi="Arial"/>
          <w:b/>
          <w:bCs/>
          <w:i w:val="false"/>
          <w:iCs w:val="false"/>
          <w:color w:val="000000"/>
          <w:sz w:val="24"/>
          <w:szCs w:val="24"/>
        </w:rPr>
        <w:t xml:space="preserve">规划职责：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LLM报告生成：基于审核结果和模板自动生成OTS认可报告草稿（中文专业报告）。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FAIL分析：对不通过的零件，自动分析失败原因并生成结构化归因报告。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严重等级判断：根据偏差程度和影响范围，自动判定FAIL严重等级（Minor/Major/Critical）。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返工管理：追踪返工任务状态、记录返工历史、生成返工统计报告。</w:t>
      </w:r>
    </w:p>
    <w:p>
      <w:pPr>
        <w:spacing w:after="80"/>
      </w:pPr>
    </w:p>
    <w:p>
      <w:pPr>
        <w:spacing w:after="120" w:line="360"/>
        <w:jc w:val="both"/>
      </w:pPr>
      <w:r>
        <w:rPr>
          <w:rFonts w:ascii="Arial" w:eastAsia="Microsoft YaHei" w:hAnsi="Arial"/>
          <w:b/>
          <w:bCs/>
          <w:i w:val="false"/>
          <w:iCs w:val="false"/>
          <w:color w:val="000000"/>
          <w:sz w:val="24"/>
          <w:szCs w:val="24"/>
        </w:rPr>
        <w:t xml:space="preserve">规划模型：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DeepSeek V4（启用 thinking/reasoning 模式，提升报告质量和推理深度）。</w:t>
      </w:r>
    </w:p>
    <w:p>
      <w:pPr>
        <w:pStyle w:val="Heading2"/>
        <w:spacing w:after="200" w:before="300"/>
      </w:pPr>
      <w:r>
        <w:rPr>
          <w:rFonts w:ascii="Arial" w:eastAsia="Microsoft YaHei" w:hAnsi="Arial"/>
          <w:b/>
          <w:bCs/>
          <w:i w:val="false"/>
          <w:iCs w:val="false"/>
          <w:color w:val="1A1A1A"/>
          <w:sz w:val="44"/>
          <w:szCs w:val="44"/>
        </w:rPr>
        <w:t xml:space="preserve">9.7 Agent 间通信协议</w:t>
      </w:r>
    </w:p>
    <w:p>
      <w:pPr>
        <w:spacing w:after="120" w:line="36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V2.0采用事件驱动通信模式，所有Agent间消息通过事件总线传递。</w:t>
      </w:r>
    </w:p>
    <w:p>
      <w:pPr>
        <w:spacing w:after="80"/>
      </w:pPr>
    </w:p>
    <w:p>
      <w:pPr>
        <w:spacing w:after="120" w:line="360"/>
        <w:jc w:val="both"/>
      </w:pPr>
      <w:r>
        <w:rPr>
          <w:rFonts w:ascii="Arial" w:eastAsia="Microsoft YaHei" w:hAnsi="Arial"/>
          <w:b/>
          <w:bCs/>
          <w:i w:val="false"/>
          <w:iCs w:val="false"/>
          <w:color w:val="000000"/>
          <w:sz w:val="24"/>
          <w:szCs w:val="24"/>
        </w:rPr>
        <w:t xml:space="preserve">MVP阶段：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asyncio.Queue 进程内事件总线。单进程内所有Agent作为独立Python模块运行，共享一个全局事件队列。</w:t>
      </w:r>
    </w:p>
    <w:p>
      <w:pPr>
        <w:spacing w:after="80"/>
      </w:pPr>
    </w:p>
    <w:p>
      <w:pPr>
        <w:spacing w:after="120" w:line="360"/>
        <w:jc w:val="both"/>
      </w:pPr>
      <w:r>
        <w:rPr>
          <w:rFonts w:ascii="Arial" w:eastAsia="Microsoft YaHei" w:hAnsi="Arial"/>
          <w:b/>
          <w:bCs/>
          <w:i w:val="false"/>
          <w:iCs w:val="false"/>
          <w:color w:val="000000"/>
          <w:sz w:val="24"/>
          <w:szCs w:val="24"/>
        </w:rPr>
        <w:t xml:space="preserve">生产环境升级路径：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当满足以下任一条件时，升级为 RabbitMQ 消息队列：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日通知量 &gt; 1000条。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消息不可丢失成为硬性要求。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需要跨进程/跨机器Agent部署。</w:t>
      </w:r>
    </w:p>
    <w:p>
      <w:pPr>
        <w:spacing w:after="80"/>
      </w:pPr>
    </w:p>
    <w:p>
      <w:pPr>
        <w:spacing w:after="120" w:line="360"/>
        <w:jc w:val="both"/>
      </w:pPr>
      <w:r>
        <w:rPr>
          <w:rFonts w:ascii="Arial" w:eastAsia="Microsoft YaHei" w:hAnsi="Arial"/>
          <w:b/>
          <w:bCs/>
          <w:i w:val="false"/>
          <w:iCs w:val="false"/>
          <w:color w:val="000000"/>
          <w:sz w:val="24"/>
          <w:szCs w:val="24"/>
        </w:rPr>
        <w:t xml:space="preserve">事件类型规范：</w:t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2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事件类型</w:t>
            </w:r>
          </w:p>
        </w:tc>
        <w:tc>
          <w:tcPr>
            <w:tcW w:type="dxa" w:w="18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生产者</w:t>
            </w:r>
          </w:p>
        </w:tc>
        <w:tc>
          <w:tcPr>
            <w:tcW w:type="dxa" w:w="22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消费者</w:t>
            </w:r>
          </w:p>
        </w:tc>
        <w:tc>
          <w:tcPr>
            <w:tcW w:type="dxa" w:w="35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载荷说明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report.parsed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解析Agent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编排Agent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解析结果JSON，含字段列表+置信度</w:t>
            </w:r>
          </w:p>
        </w:tc>
      </w:tr>
      <w:tr>
        <w:trPr>
          <w:cantSplit/>
        </w:trPr>
        <w:tc>
          <w:tcPr>
            <w:tcW w:type="dxa" w:w="22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completeness.pass</w:t>
            </w:r>
          </w:p>
        </w:tc>
        <w:tc>
          <w:tcPr>
            <w:tcW w:type="dxa" w:w="18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资料Agent</w:t>
            </w:r>
          </w:p>
        </w:tc>
        <w:tc>
          <w:tcPr>
            <w:tcW w:type="dxa" w:w="22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编排Agent</w:t>
            </w:r>
          </w:p>
        </w:tc>
        <w:tc>
          <w:tcPr>
            <w:tcW w:type="dxa" w:w="35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完整性检查通过，含检查明细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completeness.fail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资料Agent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编排Agent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缺失项列表+建议补充清单</w:t>
            </w:r>
          </w:p>
        </w:tc>
      </w:tr>
      <w:tr>
        <w:trPr>
          <w:cantSplit/>
        </w:trPr>
        <w:tc>
          <w:tcPr>
            <w:tcW w:type="dxa" w:w="22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anomaly.detected</w:t>
            </w:r>
          </w:p>
        </w:tc>
        <w:tc>
          <w:tcPr>
            <w:tcW w:type="dxa" w:w="18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解析Agent</w:t>
            </w:r>
          </w:p>
        </w:tc>
        <w:tc>
          <w:tcPr>
            <w:tcW w:type="dxa" w:w="22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编排Agent+通知</w:t>
            </w:r>
          </w:p>
        </w:tc>
        <w:tc>
          <w:tcPr>
            <w:tcW w:type="dxa" w:w="35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异常详情+严重程度+建议处理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human.confirmed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工作台/API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编排Agent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人工确认结果+处理意见</w:t>
            </w:r>
          </w:p>
        </w:tc>
      </w:tr>
      <w:tr>
        <w:trPr>
          <w:cantSplit/>
        </w:trPr>
        <w:tc>
          <w:tcPr>
            <w:tcW w:type="dxa" w:w="22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task.state_changed</w:t>
            </w:r>
          </w:p>
        </w:tc>
        <w:tc>
          <w:tcPr>
            <w:tcW w:type="dxa" w:w="18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编排Agent</w:t>
            </w:r>
          </w:p>
        </w:tc>
        <w:tc>
          <w:tcPr>
            <w:tcW w:type="dxa" w:w="22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通知消费者</w:t>
            </w:r>
          </w:p>
        </w:tc>
        <w:tc>
          <w:tcPr>
            <w:tcW w:type="dxa" w:w="35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新状态+时间戳+触发事件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supplement.reminder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资料Agent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通知消费者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超时提醒（3天升级）</w:t>
            </w:r>
          </w:p>
        </w:tc>
      </w:tr>
    </w:tbl>
    <w:p>
      <w:pPr>
        <w:spacing w:after="80"/>
      </w:pPr>
    </w:p>
    <w:p>
      <w:pPr>
        <w:spacing w:after="120" w:line="360"/>
        <w:jc w:val="both"/>
      </w:pPr>
      <w:r>
        <w:rPr>
          <w:rFonts w:ascii="Arial" w:eastAsia="Microsoft YaHei" w:hAnsi="Arial"/>
          <w:b/>
          <w:bCs/>
          <w:i w:val="false"/>
          <w:iCs w:val="false"/>
          <w:color w:val="1A5276"/>
          <w:sz w:val="24"/>
          <w:szCs w:val="24"/>
        </w:rPr>
        <w:t xml:space="preserve">关键约束：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只有编排 Agent 有权修改任务状态。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功能 Agent 只产出数据 + 发射事件，不直接操作状态机。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通知消费者协程：asyncio.create_task() 创建独立协程，持续消费事件队列中的通知类事件，执行邮件/IM发送。</w:t>
      </w:r>
    </w:p>
    <w:p>
      <w:pPr>
        <w:pStyle w:val="Heading2"/>
        <w:spacing w:after="200" w:before="300"/>
      </w:pPr>
      <w:r>
        <w:rPr>
          <w:rFonts w:ascii="Arial" w:eastAsia="Microsoft YaHei" w:hAnsi="Arial"/>
          <w:b/>
          <w:bCs/>
          <w:i w:val="false"/>
          <w:iCs w:val="false"/>
          <w:color w:val="1A1A1A"/>
          <w:sz w:val="44"/>
          <w:szCs w:val="44"/>
        </w:rPr>
        <w:t xml:space="preserve">9.8 部署方案（单人 Vibe Coding）</w:t>
      </w:r>
    </w:p>
    <w:p>
      <w:pPr>
        <w:spacing w:after="120" w:line="36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V2.0架构贯彻"单人开发+运维"的极简部署理念：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/>
          <w:bCs/>
          <w:i w:val="false"/>
          <w:iCs w:val="false"/>
          <w:color w:val="000000"/>
          <w:sz w:val="24"/>
          <w:szCs w:val="24"/>
        </w:rPr>
        <w:t xml:space="preserve">部署形态：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单 FastAPI 进程，所有 Agent 为独立 Python 模块（同一个包内的不同 .py 文件）。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/>
          <w:bCs/>
          <w:i w:val="false"/>
          <w:iCs w:val="false"/>
          <w:color w:val="000000"/>
          <w:sz w:val="24"/>
          <w:szCs w:val="24"/>
        </w:rPr>
        <w:t xml:space="preserve">事件总线：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asyncio.Queue 进程内事件总线，无需额外中间件。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/>
          <w:bCs/>
          <w:i w:val="false"/>
          <w:iCs w:val="false"/>
          <w:color w:val="000000"/>
          <w:sz w:val="24"/>
          <w:szCs w:val="24"/>
        </w:rPr>
        <w:t xml:space="preserve">升级条件：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通知量 &gt; 1000/天 或 消息不可丢失 → 更换为 RabbitMQ。在此之前坚决不引入消息中间件。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Arial" w:eastAsia="Microsoft YaHei" w:hAnsi="Arial"/>
          <w:b/>
          <w:bCs/>
          <w:i w:val="false"/>
          <w:iCs w:val="false"/>
          <w:color w:val="000000"/>
          <w:sz w:val="24"/>
          <w:szCs w:val="24"/>
        </w:rPr>
        <w:t xml:space="preserve">无需：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微服务拆分、服务发现（Consul/Eureka）、独立部署流水线、容器编排（K8s）。单机Docker Compose即可部署全部服务。</w:t>
      </w:r>
    </w:p>
    <w:p>
      <w:pPr>
        <w:spacing w:after="80"/>
      </w:pPr>
    </w:p>
    <w:p>
      <w:pPr>
        <w:pStyle w:val="Heading2"/>
        <w:spacing w:after="200" w:before="300"/>
      </w:pPr>
      <w:r>
        <w:rPr>
          <w:rFonts w:ascii="Arial" w:eastAsia="Microsoft YaHei" w:hAnsi="Arial"/>
          <w:b/>
          <w:bCs/>
          <w:i w:val="false"/>
          <w:iCs w:val="false"/>
          <w:color w:val="1A1A1A"/>
          <w:sz w:val="44"/>
          <w:szCs w:val="44"/>
        </w:rPr>
        <w:t xml:space="preserve">9.9 与原设计的差异</w:t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4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设计维度</w:t>
            </w:r>
          </w:p>
        </w:tc>
        <w:tc>
          <w:tcPr>
            <w:tcW w:type="dxa" w:w="38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V1.0</w:t>
            </w:r>
          </w:p>
        </w:tc>
        <w:tc>
          <w:tcPr>
            <w:tcW w:type="dxa" w:w="3800"/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V2.0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邮件Agent</w:t>
            </w:r>
          </w:p>
        </w:tc>
        <w:tc>
          <w:tcPr>
            <w:tcW w:type="dxa" w:w="3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1个（耦合IO+LLM）</w:t>
            </w:r>
          </w:p>
        </w:tc>
        <w:tc>
          <w:tcPr>
            <w:tcW w:type="dxa" w:w="3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拆为网关（IO密集）+ 解析（LLM密集）</w:t>
            </w:r>
          </w:p>
        </w:tc>
      </w:tr>
      <w:tr>
        <w:trPr>
          <w:cantSplit/>
        </w:trPr>
        <w:tc>
          <w:tcPr>
            <w:tcW w:type="dxa" w:w="24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流程Agent</w:t>
            </w:r>
          </w:p>
        </w:tc>
        <w:tc>
          <w:tcPr>
            <w:tcW w:type="dxa" w:w="38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独立Agent（状态流转+报告）</w:t>
            </w:r>
          </w:p>
        </w:tc>
        <w:tc>
          <w:tcPr>
            <w:tcW w:type="dxa" w:w="38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已撤销，职责拆分到编排Agent+报告Agent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Agent间通信</w:t>
            </w:r>
          </w:p>
        </w:tc>
        <w:tc>
          <w:tcPr>
            <w:tcW w:type="dxa" w:w="3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未明确定义</w:t>
            </w:r>
          </w:p>
        </w:tc>
        <w:tc>
          <w:tcPr>
            <w:tcW w:type="dxa" w:w="3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asyncio.Queue事件驱动协议，7种标准事件类型</w:t>
            </w:r>
          </w:p>
        </w:tc>
      </w:tr>
      <w:tr>
        <w:trPr>
          <w:cantSplit/>
        </w:trPr>
        <w:tc>
          <w:tcPr>
            <w:tcW w:type="dxa" w:w="24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HUMAN_PENDING</w:t>
            </w:r>
          </w:p>
        </w:tc>
        <w:tc>
          <w:tcPr>
            <w:tcW w:type="dxa" w:w="38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独立状态</w:t>
            </w:r>
          </w:p>
        </w:tc>
        <w:tc>
          <w:tcPr>
            <w:tcW w:type="dxa" w:w="38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改为附加flag标记，避免状态数量爆炸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部署方式</w:t>
            </w:r>
          </w:p>
        </w:tc>
        <w:tc>
          <w:tcPr>
            <w:tcW w:type="dxa" w:w="3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微服务暗示（多进程）</w:t>
            </w:r>
          </w:p>
        </w:tc>
        <w:tc>
          <w:tcPr>
            <w:tcW w:type="dxa" w:w="3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单进程FastAPI，Docker Compose</w:t>
            </w:r>
          </w:p>
        </w:tc>
      </w:tr>
      <w:tr>
        <w:trPr>
          <w:cantSplit/>
        </w:trPr>
        <w:tc>
          <w:tcPr>
            <w:tcW w:type="dxa" w:w="24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Agent数量</w:t>
            </w:r>
          </w:p>
        </w:tc>
        <w:tc>
          <w:tcPr>
            <w:tcW w:type="dxa" w:w="38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1+4 Agent</w:t>
            </w:r>
          </w:p>
        </w:tc>
        <w:tc>
          <w:tcPr>
            <w:tcW w:type="dxa" w:w="38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1+3 Agent（流程Agent已撤销，报告Agent暂缺）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LLM使用策略</w:t>
            </w:r>
          </w:p>
        </w:tc>
        <w:tc>
          <w:tcPr>
            <w:tcW w:type="dxa" w:w="3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未明确定义</w:t>
            </w:r>
          </w:p>
        </w:tc>
        <w:tc>
          <w:tcPr>
            <w:tcW w:type="dxa" w:w="3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编排Agent不用LLM（状态机），网关不用LLM（纯IO），解析和资料用LLM</w:t>
            </w:r>
          </w:p>
        </w:tc>
      </w:tr>
      <w:tr>
        <w:trPr>
          <w:cantSplit/>
        </w:trPr>
        <w:tc>
          <w:tcPr>
            <w:tcW w:type="dxa" w:w="24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并发控制</w:t>
            </w:r>
          </w:p>
        </w:tc>
        <w:tc>
          <w:tcPr>
            <w:tcW w:type="dxa" w:w="38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未定义</w:t>
            </w:r>
          </w:p>
        </w:tc>
        <w:tc>
          <w:tcPr>
            <w:tcW w:type="dxa" w:w="38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解析 Agent 受 API 速率限制，网关不受限</w:t>
            </w:r>
          </w:p>
        </w:tc>
      </w:tr>
    </w:tbl>
    <w:p>
      <w:pPr>
        <w:pageBreakBefore/>
      </w:pPr>
    </w:p>
    <w:p>
      <w:pPr>
        <w:spacing w:after="80"/>
      </w:pPr>
    </w:p>
    <w:p>
      <w:pPr>
        <w:spacing w:after="80"/>
      </w:pPr>
    </w:p>
    <w:p>
      <w:pPr>
        <w:spacing w:after="120" w:line="360"/>
        <w:jc w:val="center"/>
      </w:pPr>
      <w:r>
        <w:rPr>
          <w:rFonts w:ascii="Arial" w:eastAsia="Microsoft YaHei" w:hAnsi="Arial"/>
          <w:b w:val="false"/>
          <w:bCs w:val="false"/>
          <w:i/>
          <w:iCs/>
          <w:color w:val="888888"/>
          <w:sz w:val="44"/>
          <w:szCs w:val="44"/>
        </w:rPr>
        <w:t xml:space="preserve">— 文档结束 —</w:t>
      </w:r>
    </w:p>
    <w:p>
      <w:pPr>
        <w:spacing w:after="80"/>
      </w:pPr>
    </w:p>
    <w:p>
      <w:pPr>
        <w:spacing w:after="120" w:line="360"/>
        <w:jc w:val="center"/>
      </w:pPr>
      <w:r>
        <w:rPr>
          <w:rFonts w:ascii="Arial" w:eastAsia="Microsoft YaHei" w:hAnsi="Arial"/>
          <w:b w:val="false"/>
          <w:bCs w:val="false"/>
          <w:i/>
          <w:iCs/>
          <w:color w:val="888888"/>
          <w:sz w:val="20"/>
          <w:szCs w:val="20"/>
        </w:rPr>
        <w:t xml:space="preserve">本文档 V2.0 基于架构评审结论修正：邮件Agent拆分解决IO/LLM耦合问题，撤销流程Agent简化架构，asyncio.Queue事件总线适配单人Vibe Coding场景，HUMAN_PENDING改为flag避免状态爆炸。配套图纸见 diagrams/ 目录。</w:t>
      </w:r>
    </w:p>
    <w:p>
      <w:pPr>
        <w:spacing w:after="80"/>
      </w:pPr>
    </w:p>
    <w:sectPr>
      <w:headerReference w:type="default" r:id="rId10"/>
      <w:footerReference w:type="default" r:id="rId8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Microsoft YaHei" w:hAnsi="Arial"/>
        <w:b w:val="false"/>
        <w:bCs w:val="false"/>
        <w:i w:val="false"/>
        <w:iCs w:val="false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eastAsia="Microsoft YaHei" w:hAnsi="Arial"/>
        <w:b w:val="false"/>
        <w:bCs w:val="false"/>
        <w:i/>
        <w:iCs/>
        <w:color w:val="888888"/>
        <w:sz w:val="18"/>
        <w:szCs w:val="18"/>
      </w:rPr>
      <w:t xml:space="preserve">OTS AI Agent PRD v2.0</w:t>
    </w:r>
  </w:p>
</w:hdr>
</file>

<file path=word/header_watermark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0" allowOverlap="1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2200000" cy="350000"/>
              <wp:effectExtent l="0" t="0" r="0" b="0"/>
              <wp:wrapNone/>
              <wp:docPr id="1" name="Watermark"/>
              <a:graphic>
                <a:graphicData uri="http://schemas.microsoft.com/office/word/2010/wordprocessingShape">
                  <wps:wsp>
                    <wps:cNvSpPr txBox="1"/>
                    <wps:spPr>
                      <a:xfrm rot="0">
                        <a:off x="0" y="0"/>
                        <a:ext cx="2200000" cy="35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jc w:val="right"/>
                          </w:pPr>
                          <w:r>
                            <w:rPr>
                              <w:sz w:val="32"/>
                              <w:szCs w:val="32"/>
                              <w:rFonts w:eastAsia="SimSun" w:ascii="Arial" w:hAnsi="Arial"/>
                              <w:color w:val="808080"/>
                              <w14:textFill>
                                <w14:solidFill>
                                  <w14:srgbClr w14:val="808080">
                                    <w14:alpha w14:val="19999"/>
                                  </w14:srgbClr>
                                </w14:solidFill>
                              </w14:textFill>
                            </w:rPr>
                            <w:t>TRAE AI 生成</w:t>
                          </w:r>
                        </w:p>
                      </w:txbxContent>
                    </wps:txbx>
                    <wps:bodyPr wrap="square" anchor="b" anchorCtr="0" lIns="0" tIns="0" rIns="91440" bIns="45720"/>
                  </wps:wsp>
                </a:graphicData>
              </a:graphic>
            </wp:anchor>
          </w:drawing>
        </mc:Choice>
        <mc:Fallback/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_watermark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2026-05-26T15:18:53.784Z</dcterms:created>
  <dcterms:modified xsi:type="dcterms:W3CDTF">2026-05-26T15:18:53.784Z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