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 w:line="36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888888"/>
          <w:sz w:val="36"/>
          <w:szCs w:val="36"/>
        </w:rPr>
        <w:t xml:space="preserve">Product Requirements Document</w:t>
      </w:r>
    </w:p>
    <w:p>
      <w:pPr>
        <w:spacing w:after="80"/>
      </w:pPr>
    </w:p>
    <w:p>
      <w:pPr>
        <w:spacing w:after="200" w:line="36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2C3E50"/>
          <w:sz w:val="72"/>
          <w:szCs w:val="72"/>
        </w:rPr>
        <w:t xml:space="preserve">零件 OTS 认可 AI Agent v2.0</w:t>
      </w:r>
    </w:p>
    <w:p>
      <w:pPr>
        <w:spacing w:after="80"/>
      </w:pPr>
    </w:p>
    <w:p>
      <w:pPr>
        <w:spacing w:after="300" w:line="36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55555"/>
          <w:sz w:val="44"/>
          <w:szCs w:val="44"/>
        </w:rPr>
        <w:t xml:space="preserve">智能辅助汽车零部件工装样件认可全流程自动化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40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40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版本号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V2.0</w:t>
            </w:r>
          </w:p>
        </w:tc>
      </w:tr>
      <w:tr>
        <w:trPr>
          <w:cantSplit/>
        </w:trPr>
        <w:tc>
          <w:tcPr>
            <w:tcW w:type="dxa" w:w="4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作者</w:t>
            </w:r>
          </w:p>
        </w:tc>
        <w:tc>
          <w:tcPr>
            <w:tcW w:type="dxa" w:w="4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PM (SOLO)</w:t>
            </w:r>
          </w:p>
        </w:tc>
      </w:tr>
      <w:tr>
        <w:trPr>
          <w:cantSplit/>
        </w:trP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日期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2026-05-26</w:t>
            </w:r>
          </w:p>
        </w:tc>
      </w:tr>
      <w:tr>
        <w:trPr>
          <w:cantSplit/>
        </w:trPr>
        <w:tc>
          <w:tcPr>
            <w:tcW w:type="dxa" w:w="4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状态</w:t>
            </w:r>
          </w:p>
        </w:tc>
        <w:tc>
          <w:tcPr>
            <w:tcW w:type="dxa" w:w="4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修订版（架构优化）</w:t>
            </w:r>
          </w:p>
        </w:tc>
      </w:tr>
    </w:tbl>
    <w:p>
      <w:pPr>
        <w:pageBreakBefore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56"/>
          <w:szCs w:val="56"/>
        </w:rPr>
        <w:t xml:space="preserve">1. 产品概述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1.1 产品愿景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构建一个AI驱动的智能Agent系统，实现汽车零部件工装样件（Off-Tooling Sample, OTS）认可全流程的自动化处理。通过多Agent协同架构，将传统依赖人工沟通、纸质文档流转、经验判断的零件认可流程，转变为由AI编排、自动化执行、智能决策的高效数字工作流。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1.2 核心价值主张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降本增效：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将单零件认可周期从平均15个工作日缩短至3个工作日以内，人工干预次数减少80%以上。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质量提升：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通过AI驱动的完整性检查和字段校验，将资料缺失率从当前的35%降低至5%以下。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知识沉淀：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将资深工程师的认可经验转化为可复用的规则引擎和AI模型，避免因人员流动导致的知识断层。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可追溯性：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全流程数字化记录，每个决策节点均可审计追溯，满足IATF 16949等汽车行业质量体系要求。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1.3 量化目标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8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当前基线</w:t>
            </w:r>
          </w:p>
        </w:tc>
        <w:tc>
          <w:tcPr>
            <w:tcW w:type="dxa" w:w="22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目标值 (MVP)</w:t>
            </w:r>
          </w:p>
        </w:tc>
        <w:tc>
          <w:tcPr>
            <w:tcW w:type="dxa" w:w="22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目标值 (V3.0)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单零件认可周期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15个工作日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≤5个工作日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≤3个工作日</w:t>
            </w:r>
          </w:p>
        </w:tc>
      </w:tr>
      <w:tr>
        <w:trPr>
          <w:cantSplit/>
        </w:trPr>
        <w:tc>
          <w:tcPr>
            <w:tcW w:type="dxa" w:w="2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资料完整性一次通过率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65%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≥85%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≥95%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人工干预次数/零件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8-12次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≤3次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≤1次</w:t>
            </w:r>
          </w:p>
        </w:tc>
      </w:tr>
      <w:tr>
        <w:trPr>
          <w:cantSplit/>
        </w:trPr>
        <w:tc>
          <w:tcPr>
            <w:tcW w:type="dxa" w:w="2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字段提取准确率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N/A（人工）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≥90%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≥97%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异常检测召回率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N/A（人工）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≥85%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≥95%</w:t>
            </w:r>
          </w:p>
        </w:tc>
      </w:tr>
    </w:tbl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1.4 AI 介入深度（L3 级别）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本系统定义AI介入深度为 L3 级别（辅助决策 + 自动执行），具体表现为：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L1 - 数据展示：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Agent仅展示结构化数据，由人工判断（如：初期报表展示）。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L2 - 建议提醒：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Agent提供分析建议和异常提醒，人工确认后执行（如：资料缺失提醒）。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L3 - 辅助决策 + 自动执行：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Agent自动执行确定性操作（解析、提取、核对），仅在置信度低于阈值或异常场景时请求人工确认。本系统主要运行在此级别。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L4 - 全自动：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Agent完全自主决策和执行。本系统在资料完整性通过且置信度高于95%的场景下，部分节点可达L4级别（远期目标）。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56"/>
          <w:szCs w:val="56"/>
        </w:rPr>
        <w:t xml:space="preserve">2. 项目背景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2.1 业务现状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当前汽车零部件OTS认可流程面临以下挑战：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供应商通过邮件提交零件认可申请，格式不统一（PDF、Word、图片、纸质扫描件），解析困难。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工程师需逐份人工阅读并提取关键字段（零件号、材料牌号、尺寸公差、性能参数等），耗时且易出错。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资料完整性依靠工程师经验判断，不同工程师标准不一，返工率高达35%。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供应商资质、零件分类、试验标准等信息散落在多个系统中，缺乏统一查询入口。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流程节点状态依赖邮件和电话沟通，缺乏可视化进度追踪，供应商频繁催促进度。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历史认可案例和典型缺陷模式积累在资深工程师头脑中，无法系统化复用。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硬件工程团队对公差配合、材料性能、热处理工艺有额外的专业审查需求，现有流程缺乏支撑。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跨部门（采购、质量、工程、SQE）协同依赖线下会议和邮件抄送，信息同步滞后。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零件版本变更时，历史版本资料查找困难，版本对比依赖人工，易遗漏变更点。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2.2 流程耗时分析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2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流程节点</w:t>
            </w:r>
          </w:p>
        </w:tc>
        <w:tc>
          <w:tcPr>
            <w:tcW w:type="dxa" w:w="20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当前耗时</w:t>
            </w:r>
          </w:p>
        </w:tc>
        <w:tc>
          <w:tcPr>
            <w:tcW w:type="dxa" w:w="28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主要瓶颈</w:t>
            </w:r>
          </w:p>
        </w:tc>
        <w:tc>
          <w:tcPr>
            <w:tcW w:type="dxa" w:w="28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AI Agent优化方案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零件信息录入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1-2天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手动转录，格式不统一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AI自动解析提取</w:t>
            </w:r>
          </w:p>
        </w:tc>
      </w:tr>
      <w:tr>
        <w:trPr>
          <w:cantSplit/>
        </w:trP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资料完整性检查</w:t>
            </w:r>
          </w:p>
        </w:tc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2-3天</w:t>
            </w:r>
          </w:p>
        </w:tc>
        <w:tc>
          <w:tcPr>
            <w:tcW w:type="dxa" w:w="2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依赖经验，标准不一</w:t>
            </w:r>
          </w:p>
        </w:tc>
        <w:tc>
          <w:tcPr>
            <w:tcW w:type="dxa" w:w="2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规则引擎+AI语义核对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技术评审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3-5天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跨部门协同困难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自动路由+状态机管理</w:t>
            </w:r>
          </w:p>
        </w:tc>
      </w:tr>
      <w:tr>
        <w:trPr>
          <w:cantSplit/>
        </w:trP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试验报告审核</w:t>
            </w:r>
          </w:p>
        </w:tc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3-4天</w:t>
            </w:r>
          </w:p>
        </w:tc>
        <w:tc>
          <w:tcPr>
            <w:tcW w:type="dxa" w:w="2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计算验证耗时</w:t>
            </w:r>
          </w:p>
        </w:tc>
        <w:tc>
          <w:tcPr>
            <w:tcW w:type="dxa" w:w="2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AI辅助数值校验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结论签署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2-3天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流程节点等待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自动流转+超时升级</w:t>
            </w:r>
          </w:p>
        </w:tc>
      </w:tr>
      <w:tr>
        <w:trPr>
          <w:cantSplit/>
        </w:trP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合计</w:t>
            </w:r>
          </w:p>
        </w:tc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11-17天</w:t>
            </w:r>
          </w:p>
        </w:tc>
        <w:tc>
          <w:tcPr>
            <w:tcW w:type="dxa" w:w="2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目标≤5天</w:t>
            </w:r>
          </w:p>
        </w:tc>
      </w:tr>
    </w:tbl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2.3 硬件工程特定关注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本系统在通用OTS认可流程基础上，针对硬件工程团队的特殊需求增加了以下能力：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公差链分析支持：关键尺寸公差带自动对比，超差预警。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材料等效性判定：基于材料数据库和RAG技术，辅助判定替代材料的等效性。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热处理工艺参数校验：自动提取热处理报告中的关键参数并与标准对比。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表面处理规范匹配：根据零件使用环境自动匹配表面处理标准。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56"/>
          <w:szCs w:val="56"/>
        </w:rPr>
        <w:t xml:space="preserve">3. 用户与场景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3.1 用户画像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8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2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核心职责</w:t>
            </w:r>
          </w:p>
        </w:tc>
        <w:tc>
          <w:tcPr>
            <w:tcW w:type="dxa" w:w="15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使用频率</w:t>
            </w:r>
          </w:p>
        </w:tc>
        <w:tc>
          <w:tcPr>
            <w:tcW w:type="dxa" w:w="26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关键痛点</w:t>
            </w:r>
          </w:p>
        </w:tc>
        <w:tc>
          <w:tcPr>
            <w:tcW w:type="dxa" w:w="26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期望收益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SQE工程师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零件认可审核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每日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资料反复补充、字段手工提取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减少80%重复工作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硬件工程师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技术参数审核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每周3-5次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公差/材料审核耗时长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自动化校验+智能提醒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采购工程师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供应商管理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每周2-3次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进度不透明、催促进度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实时状态可视化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供应商联系人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提交认可资料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按需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不清楚资料要求、格式约束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智能引导+模板生成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质量经理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认可质量监控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每周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缺乏全局视角、指标不清晰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数据驾驶舱+KPI看板</w:t>
            </w:r>
          </w:p>
        </w:tc>
      </w:tr>
      <w:tr>
        <w:trPr>
          <w:cantSplit/>
        </w:trPr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系统管理员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系统配置维护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按需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PE规则配置复杂</w:t>
            </w:r>
          </w:p>
        </w:tc>
        <w:tc>
          <w:tcPr>
            <w:tcW w:type="dxa" w:w="2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可视化规则编辑器</w:t>
            </w:r>
          </w:p>
        </w:tc>
      </w:tr>
    </w:tbl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3.2 核心用户场景</w:t>
      </w: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场景一：供应商提交新零件认可申请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供应商通过系统上传零件资料（图纸、试验报告、材质证明等），系统自动解析提取关键字段，生成结构化零件档案，并进行初步完整性检查。如有资料缺失，系统自动生成补充清单并邮件通知供应商。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场景二：工程师审核零件认可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SQE工程师收到系统通知后，在工作台查看AI预处理结果（已提取字段、完整性报告、异常标记）。对于AI高置信度的项目直接确认通过，低置信度或异常项目手动审核。审核完成后系统自动生成认可报告草稿。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场景三：异常处理与返工管理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当系统检测到资料问题（字段不一致、试验结果超标、资料缺失超时等），自动标记为异常并创建返工任务。系统追踪返工状态，超时未处理自动升级通知。供应商在系统中查看问题清单，补充资料后重新提交。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场景四：管理驾驶舱查看 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质量经理登录系统，查看零件认可的整体状况：进行中/已完成/异常零件数量、平均处理周期、供应商表现排名、资料一次通过率趋势等关键指标。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56"/>
          <w:szCs w:val="56"/>
        </w:rPr>
        <w:t xml:space="preserve">4. 功能需求 (MoSCoW)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4.1 Must Have (M1 - M5)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MVP阶段必须实现的核心功能，按优先级排序：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7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7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6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8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30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M1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零件信息录入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支持供应商通过Web表单提交零件基本信息，自动创建认可任务并分配唯一标识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从提交到任务创建≤30秒</w:t>
            </w:r>
          </w:p>
        </w:tc>
      </w:tr>
      <w:tr>
        <w:trPr>
          <w:cantSplit/>
        </w:trPr>
        <w:tc>
          <w:tcPr>
            <w:tcW w:type="dxa" w:w="7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M2</w:t>
            </w:r>
          </w:p>
        </w:tc>
        <w:tc>
          <w:tcPr>
            <w:tcW w:type="dxa" w:w="1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邮件监听与解析</w:t>
            </w:r>
          </w:p>
        </w:tc>
        <w:tc>
          <w:tcPr>
            <w:tcW w:type="dxa" w:w="3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IMAP监听收件箱，自动识别OTS相关邮件，下载附件并触发解析流程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邮件识别准确率≥95%，附件自动下载率≥99%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M3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多模态字段提取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基于LLM从PDF/图片/Word中提取零件号、材料、尺寸、性能参数等关键字段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字段提取准确率≥90%（与人工标注对比）</w:t>
            </w:r>
          </w:p>
        </w:tc>
      </w:tr>
      <w:tr>
        <w:trPr>
          <w:cantSplit/>
        </w:trPr>
        <w:tc>
          <w:tcPr>
            <w:tcW w:type="dxa" w:w="7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M4</w:t>
            </w:r>
          </w:p>
        </w:tc>
        <w:tc>
          <w:tcPr>
            <w:tcW w:type="dxa" w:w="16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完整性检查</w:t>
            </w:r>
          </w:p>
        </w:tc>
        <w:tc>
          <w:tcPr>
            <w:tcW w:type="dxa" w:w="3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基于动态清单模板自动检查资料完整性，生成缺失项清单和补充通知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检查覆盖率100%，误报率≤10%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M5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异常检测与告警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检测字段不一致、数值超标、版本冲突等异常，自动标记并通知责任人（v2.0升级至P0权重）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异常召回率≥85%，通知发送率100%</w:t>
            </w:r>
          </w:p>
        </w:tc>
      </w:tr>
    </w:tbl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4.2 Should Have (S1 - S5)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MVP阶段条件实现或在V1.1快速迭代的功能：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7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7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8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65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基础工作台</w:t>
            </w:r>
          </w:p>
        </w:tc>
        <w:tc>
          <w:tcPr>
            <w:tcW w:type="dxa" w:w="6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为工程师提供任务列表、详情页、审核操作界面，支持Web端访问（v2.0独立为报告Agent模块）</w:t>
            </w:r>
          </w:p>
        </w:tc>
      </w:tr>
      <w:tr>
        <w:trPr>
          <w:cantSplit/>
        </w:trPr>
        <w:tc>
          <w:tcPr>
            <w:tcW w:type="dxa" w:w="7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供应商协作门户</w:t>
            </w:r>
          </w:p>
        </w:tc>
        <w:tc>
          <w:tcPr>
            <w:tcW w:type="dxa" w:w="6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供应商自主查询进度、查看补充要求、在线补充资料（v2.0升级为P0）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RAG历史案例查询</w:t>
            </w:r>
          </w:p>
        </w:tc>
        <w:tc>
          <w:tcPr>
            <w:tcW w:type="dxa" w:w="6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基于向量数据库检索相似历史零件认可案例，辅助工程师决策</w:t>
            </w:r>
          </w:p>
        </w:tc>
      </w:tr>
      <w:tr>
        <w:trPr>
          <w:cantSplit/>
        </w:trPr>
        <w:tc>
          <w:tcPr>
            <w:tcW w:type="dxa" w:w="7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7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简易数据看板</w:t>
            </w:r>
          </w:p>
        </w:tc>
        <w:tc>
          <w:tcPr>
            <w:tcW w:type="dxa" w:w="6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实时展示关键指标：进行中/已完成/异常任务数、平均处理周期</w:t>
            </w:r>
          </w:p>
        </w:tc>
      </w:tr>
      <w:tr>
        <w:trPr>
          <w:cantSplit/>
        </w:trPr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PDF报告草稿生成</w:t>
            </w:r>
          </w:p>
        </w:tc>
        <w:tc>
          <w:tcPr>
            <w:tcW w:type="dxa" w:w="6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基于模板自动生成OTS认可报告草稿，工程师审核后正式发布</w:t>
            </w:r>
          </w:p>
        </w:tc>
      </w:tr>
    </w:tbl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4.3 Could Have / Won't Have</w:t>
      </w: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以下功能不在MVP范围内，将在后续版本中评估：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Could Have: 公差链自动分析、材料等效性智能判定、供应商绩效评级系统、移动端应用。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Won't Have (MVP): 与PLM/ERP系统深度集成、电子签章系统对接、多语言支持（中英文外）、AI自主决策无需人工确认。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56"/>
          <w:szCs w:val="56"/>
        </w:rPr>
        <w:t xml:space="preserve">5. 关键设计决策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5.1 PE纠错机制（三层自动修复 + 重试终止规则）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Prompt Engineering（PE）提示词是LLM调用的核心输入。当LLM输出不符合预期时，系统采用三层自动修复机制：</w:t>
      </w:r>
    </w:p>
    <w:p>
      <w:pPr>
        <w:pStyle w:val="Heading3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36"/>
          <w:szCs w:val="36"/>
        </w:rPr>
        <w:t xml:space="preserve">L1 - 格式修复（Format Fix）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检测到输出格式不符合预定义的JSON Schema时，自动注入格式约束提示并重新调用LLM。适用场景：字段缺失、类型错误、JSON解析失败。重试次数：最多2次。</w:t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36"/>
          <w:szCs w:val="36"/>
        </w:rPr>
        <w:t xml:space="preserve">L2 - 语义修复（Semantic Fix）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当格式正确但字段值明显不合理（如零件号格式不匹配、数值超出物理范围）时，系统注入领域约束规则提示并重新调用LLM。适用场景：数值范围异常、格式规则不匹配。重试次数：最多1次。</w:t>
      </w:r>
    </w:p>
    <w:p>
      <w:pPr>
        <w:spacing w:after="80"/>
      </w:pPr>
    </w:p>
    <w:p>
      <w:pPr>
        <w:pStyle w:val="Heading3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36"/>
          <w:szCs w:val="36"/>
        </w:rPr>
        <w:t xml:space="preserve">L3 - 降级处理（Fallback）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L1+L2均失败后，系统将该字段标记为低置信度，不阻塞主流程，交由人工确认节点处理。适用场景：所有自动修复失败的场景。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1A5276"/>
          <w:sz w:val="24"/>
          <w:szCs w:val="24"/>
        </w:rPr>
        <w:t xml:space="preserve">重试终止规则：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单次LLM调用累计3次失败（含L1+L2），终止该条目的自动处理，写入异常队列等待人工介入。系统记录完整调用链日志供问题排查。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5.2 状态机纠错流转表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22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触发事件</w:t>
            </w:r>
          </w:p>
        </w:tc>
        <w:tc>
          <w:tcPr>
            <w:tcW w:type="dxa" w:w="24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正常下一状态</w:t>
            </w:r>
          </w:p>
        </w:tc>
        <w:tc>
          <w:tcPr>
            <w:tcW w:type="dxa" w:w="24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20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超时规则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零件录入完成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PARSING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PARSING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LLM解析完成</w:t>
            </w:r>
          </w:p>
        </w:tc>
        <w:tc>
          <w:tcPr>
            <w:tcW w:type="dxa" w:w="2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CHECKING</w:t>
            </w:r>
          </w:p>
        </w:tc>
        <w:tc>
          <w:tcPr>
            <w:tcW w:type="dxa" w:w="2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解析失败→PARSING_FAILED</w:t>
            </w:r>
          </w:p>
        </w:tc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单次解析≤300s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PARSING_FAILED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L1/L2修复重试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PARSING→CHECKING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3次失败→HUMAN_PENDING flag=true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累计≤600s</w:t>
            </w:r>
          </w:p>
        </w:tc>
      </w:tr>
      <w:tr>
        <w:trPr>
          <w:cantSplit/>
        </w:trPr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CHECKING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完整性检查通过</w:t>
            </w:r>
          </w:p>
        </w:tc>
        <w:tc>
          <w:tcPr>
            <w:tcW w:type="dxa" w:w="2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REVIEW</w:t>
            </w:r>
          </w:p>
        </w:tc>
        <w:tc>
          <w:tcPr>
            <w:tcW w:type="dxa" w:w="2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检查不通过→NEED_SUPPLEMENT</w:t>
            </w:r>
          </w:p>
        </w:tc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NEED_SUPPLEMENT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供应商补充资料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CHECKING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3天未补充→自动升级通知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3天超时升级</w:t>
            </w:r>
          </w:p>
        </w:tc>
      </w:tr>
      <w:tr>
        <w:trPr>
          <w:cantSplit/>
        </w:trPr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REVIEW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工程师审核通过</w:t>
            </w:r>
          </w:p>
        </w:tc>
        <w:tc>
          <w:tcPr>
            <w:tcW w:type="dxa" w:w="2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APPROVED</w:t>
            </w:r>
          </w:p>
        </w:tc>
        <w:tc>
          <w:tcPr>
            <w:tcW w:type="dxa" w:w="2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审核退回→NEED_SUPPLEMENT</w:t>
            </w:r>
          </w:p>
        </w:tc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5天未审核→升级通知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APPROVED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报告生成完成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CLOSED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CLOSED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—（终态）</w:t>
            </w:r>
          </w:p>
        </w:tc>
        <w:tc>
          <w:tcPr>
            <w:tcW w:type="dxa" w:w="2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5.3 置信度机制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MVP阶段采用固定阈值方案，避免引入额外模型训练复杂度：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2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置信节点</w:t>
            </w:r>
          </w:p>
        </w:tc>
        <w:tc>
          <w:tcPr>
            <w:tcW w:type="dxa" w:w="15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阈值</w:t>
            </w:r>
          </w:p>
        </w:tc>
        <w:tc>
          <w:tcPr>
            <w:tcW w:type="dxa" w:w="35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低于阈值行为</w:t>
            </w:r>
          </w:p>
        </w:tc>
        <w:tc>
          <w:tcPr>
            <w:tcW w:type="dxa" w:w="35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典型场景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字段提取置信度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0.85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标记为低置信度，PENDING人工确认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模糊扫描件、手写字体</w:t>
            </w:r>
          </w:p>
        </w:tc>
      </w:tr>
      <w:tr>
        <w:trPr>
          <w:cantSplit/>
        </w:trP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数值提取置信度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0.90</w:t>
            </w:r>
          </w:p>
        </w:tc>
        <w:tc>
          <w:tcPr>
            <w:tcW w:type="dxa" w:w="3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标记待审，高亮字段</w:t>
            </w:r>
          </w:p>
        </w:tc>
        <w:tc>
          <w:tcPr>
            <w:tcW w:type="dxa" w:w="3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表格单元格误分割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分类置信度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0.80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标记待审，提供Top-3候选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非标零件类型</w:t>
            </w:r>
          </w:p>
        </w:tc>
      </w:tr>
      <w:tr>
        <w:trPr>
          <w:cantSplit/>
        </w:trP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语义等价判定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0.85</w:t>
            </w:r>
          </w:p>
        </w:tc>
        <w:tc>
          <w:tcPr>
            <w:tcW w:type="dxa" w:w="3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标记待审，展示对比结果</w:t>
            </w:r>
          </w:p>
        </w:tc>
        <w:tc>
          <w:tcPr>
            <w:tcW w:type="dxa" w:w="3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材料牌号等效判定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异常检测置信度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0.80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通知但不阻塞流程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边界值判断</w:t>
            </w:r>
          </w:p>
        </w:tc>
      </w:tr>
    </w:tbl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/>
          <w:iCs/>
          <w:color w:val="888888"/>
          <w:sz w:val="20"/>
          <w:szCs w:val="20"/>
        </w:rPr>
        <w:t xml:space="preserve">说明：MVP使用固定阈值，待积累≥500条纠错数据后，通过SFT微调模型提升置信度准确率，届时引入动态阈值机制。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5.4 SFT时机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MVP阶段不上线SFT（Supervised Fine-Tuning）。启动SFT训练的准入条件：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累积纠错样本量 ≥ 500条（含字段提取纠正、分类纠正、异常判定纠正）。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连续2周模型输出误差率稳定（波动范围≤±5%）。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错误模式可聚类分析（至少识别出3类以上可复现的错误模式）。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满足上述条件后，启动第一轮SFT实验，目标是将字段提取准确率从90%提升至95%以上。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56"/>
          <w:szCs w:val="56"/>
        </w:rPr>
        <w:t xml:space="preserve">6. 非功能需求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6.1 数据安全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所有零件数据传输采用TLS 1.3加密。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零件图纸和试验报告在MinIO中存储，启用服务端加密（SSE）。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数据库访问采用最小权限原则，按Agent类型分配独立数据库账号。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LLM调用日志脱敏处理：零件号、供应商名称等敏感字段进行哈希处理后再记录。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用户认证采用JWT Token，有效期4小时，支持Refresh Token续期。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6.2 响应时效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40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0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时效要求</w:t>
            </w:r>
          </w:p>
        </w:tc>
        <w:tc>
          <w:tcPr>
            <w:tcW w:type="dxa" w:w="40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邮件接收→解析触发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30秒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IMAP IDLE实时监听</w:t>
            </w:r>
          </w:p>
        </w:tc>
      </w:tr>
      <w:tr>
        <w:trPr>
          <w:cantSplit/>
        </w:trPr>
        <w:tc>
          <w:tcPr>
            <w:tcW w:type="dxa" w:w="4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单附件解析（≤20页）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120秒</w:t>
            </w:r>
          </w:p>
        </w:tc>
        <w:tc>
          <w:tcPr>
            <w:tcW w:type="dxa" w:w="4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含LLM推理时间</w:t>
            </w:r>
          </w:p>
        </w:tc>
      </w:tr>
      <w:tr>
        <w:trPr>
          <w:cantSplit/>
        </w:trP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完整性检查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10秒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规则引擎毫秒级+LLM异步</w:t>
            </w:r>
          </w:p>
        </w:tc>
      </w:tr>
      <w:tr>
        <w:trPr>
          <w:cantSplit/>
        </w:trPr>
        <w:tc>
          <w:tcPr>
            <w:tcW w:type="dxa" w:w="4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Web页面加载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2秒</w:t>
            </w:r>
          </w:p>
        </w:tc>
        <w:tc>
          <w:tcPr>
            <w:tcW w:type="dxa" w:w="4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首屏渲染</w:t>
            </w:r>
          </w:p>
        </w:tc>
      </w:tr>
      <w:tr>
        <w:trPr>
          <w:cantSplit/>
        </w:trPr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通知发送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60秒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邮件+IM异步</w:t>
            </w:r>
          </w:p>
        </w:tc>
      </w:tr>
    </w:tbl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6.3 成本预算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35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成本项</w:t>
            </w:r>
          </w:p>
        </w:tc>
        <w:tc>
          <w:tcPr>
            <w:tcW w:type="dxa" w:w="35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MVP月预算</w:t>
            </w:r>
          </w:p>
        </w:tc>
        <w:tc>
          <w:tcPr>
            <w:tcW w:type="dxa" w:w="40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LLM推理（vLLM GPU云服务）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￥6,000 - 10,000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Qwen3-VL-32B + Qwen3-32B，按调用量</w:t>
            </w:r>
          </w:p>
        </w:tc>
      </w:tr>
      <w:tr>
        <w:trPr>
          <w:cantSplit/>
        </w:trPr>
        <w:tc>
          <w:tcPr>
            <w:tcW w:type="dxa" w:w="3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云服务器（FastAPI宿主）</w:t>
            </w:r>
          </w:p>
        </w:tc>
        <w:tc>
          <w:tcPr>
            <w:tcW w:type="dxa" w:w="3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￥1,500 - 3,000</w:t>
            </w:r>
          </w:p>
        </w:tc>
        <w:tc>
          <w:tcPr>
            <w:tcW w:type="dxa" w:w="4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8C16G + GPU T4（测试环境）</w:t>
            </w:r>
          </w:p>
        </w:tc>
      </w:tr>
      <w:tr>
        <w:trPr>
          <w:cantSplit/>
        </w:trP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对象存储（MinIO）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￥500 - 1,000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图纸和报告存储，按容量</w:t>
            </w:r>
          </w:p>
        </w:tc>
      </w:tr>
      <w:tr>
        <w:trPr>
          <w:cantSplit/>
        </w:trPr>
        <w:tc>
          <w:tcPr>
            <w:tcW w:type="dxa" w:w="3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数据库（PostgreSQL）</w:t>
            </w:r>
          </w:p>
        </w:tc>
        <w:tc>
          <w:tcPr>
            <w:tcW w:type="dxa" w:w="3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￥800 - 1,500</w:t>
            </w:r>
          </w:p>
        </w:tc>
        <w:tc>
          <w:tcPr>
            <w:tcW w:type="dxa" w:w="4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云数据库基础版</w:t>
            </w:r>
          </w:p>
        </w:tc>
      </w:tr>
      <w:tr>
        <w:trPr>
          <w:cantSplit/>
        </w:trPr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合计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￥8,800 - 15,500</w:t>
            </w:r>
          </w:p>
        </w:tc>
        <w:tc>
          <w:tcPr>
            <w:tcW w:type="dxa" w:w="4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6.4 准确率基线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字段提取准确率 ≥ 90%（以人工标注为基准，取100个典型零件测试集）。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完整性检查覆盖率 = 100%（清单模板覆盖率，不含语义判定）。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异常检测召回率 ≥ 85%，精确率 ≥ 75%。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6.5 可用性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系统可用性 ≥ 99.5%（月度统计，不含计划维护窗口）。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单Agent故障不应导致整个系统不可用（编排Agent降级：手动状态流转）。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LLM服务不可用时，系统降级为纯人工模式（保留数据入口和任务管理功能）。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6.6 多PE隔离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不同解析场景使用独立的PE配置文件（Prompt模板+JSON Schema），采用版本化存储。PE更新走Git PR流程，变更需通过5个回归测试用例验证后方可合并。避免单一PE变更影响全局解析质量。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56"/>
          <w:szCs w:val="56"/>
        </w:rPr>
        <w:t xml:space="preserve">7. 成功指标 (KPIs)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7.1 业务三期目标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5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5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MVP (Month 1-3)</w:t>
            </w:r>
          </w:p>
        </w:tc>
        <w:tc>
          <w:tcPr>
            <w:tcW w:type="dxa" w:w="25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V1.5 (Month 4-6)</w:t>
            </w:r>
          </w:p>
        </w:tc>
        <w:tc>
          <w:tcPr>
            <w:tcW w:type="dxa" w:w="25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V3.0 (Month 7-12)</w:t>
            </w:r>
          </w:p>
        </w:tc>
      </w:tr>
      <w:tr>
        <w:trPr>
          <w:cantSplit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月处理零件数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50个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150个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500个</w:t>
            </w:r>
          </w:p>
        </w:tc>
      </w:tr>
      <w:tr>
        <w:trPr>
          <w:cantSplit/>
        </w:trPr>
        <w:tc>
          <w:tcPr>
            <w:tcW w:type="dxa" w:w="2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平均认可周期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5天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4天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3天</w:t>
            </w:r>
          </w:p>
        </w:tc>
      </w:tr>
      <w:tr>
        <w:trPr>
          <w:cantSplit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人工干预率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30%节点需人工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20%节点需人工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10%节点需人工</w:t>
            </w:r>
          </w:p>
        </w:tc>
      </w:tr>
      <w:tr>
        <w:trPr>
          <w:cantSplit/>
        </w:trPr>
        <w:tc>
          <w:tcPr>
            <w:tcW w:type="dxa" w:w="2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资料一次通过率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85%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90%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95%</w:t>
            </w:r>
          </w:p>
        </w:tc>
      </w:tr>
      <w:tr>
        <w:trPr>
          <w:cantSplit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用户满意度 (NPS)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+20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+35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+50</w:t>
            </w:r>
          </w:p>
        </w:tc>
      </w:tr>
      <w:tr>
        <w:trPr>
          <w:cantSplit/>
        </w:trPr>
        <w:tc>
          <w:tcPr>
            <w:tcW w:type="dxa" w:w="2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异常漏检率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15%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10%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5%</w:t>
            </w:r>
          </w:p>
        </w:tc>
      </w:tr>
    </w:tbl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7.2 模型目标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8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模型指标</w:t>
            </w:r>
          </w:p>
        </w:tc>
        <w:tc>
          <w:tcPr>
            <w:tcW w:type="dxa" w:w="22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MVP基线</w:t>
            </w:r>
          </w:p>
        </w:tc>
        <w:tc>
          <w:tcPr>
            <w:tcW w:type="dxa" w:w="22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SFT后目标</w:t>
            </w:r>
          </w:p>
        </w:tc>
        <w:tc>
          <w:tcPr>
            <w:tcW w:type="dxa" w:w="28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评估方法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字段提取准确率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90%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95%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100样本人工标注对比</w:t>
            </w:r>
          </w:p>
        </w:tc>
      </w:tr>
      <w:tr>
        <w:trPr>
          <w:cantSplit/>
        </w:trPr>
        <w:tc>
          <w:tcPr>
            <w:tcW w:type="dxa" w:w="2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字段提取召回率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88%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93%</w:t>
            </w:r>
          </w:p>
        </w:tc>
        <w:tc>
          <w:tcPr>
            <w:tcW w:type="dxa" w:w="2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遗漏字段/总字段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分类准确率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85%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92%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混淆矩阵</w:t>
            </w:r>
          </w:p>
        </w:tc>
      </w:tr>
      <w:tr>
        <w:trPr>
          <w:cantSplit/>
        </w:trPr>
        <w:tc>
          <w:tcPr>
            <w:tcW w:type="dxa" w:w="2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语义等价判定F1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0.82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0.90</w:t>
            </w:r>
          </w:p>
        </w:tc>
        <w:tc>
          <w:tcPr>
            <w:tcW w:type="dxa" w:w="2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人工判定对比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异常检测F1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0.80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0.88</w:t>
            </w:r>
          </w:p>
        </w:tc>
        <w:tc>
          <w:tcPr>
            <w:tcW w:type="dxa" w:w="2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P/R加权</w:t>
            </w:r>
          </w:p>
        </w:tc>
      </w:tr>
      <w:tr>
        <w:trPr>
          <w:cantSplit/>
        </w:trPr>
        <w:tc>
          <w:tcPr>
            <w:tcW w:type="dxa" w:w="2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LLM调用成功率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98%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99.5%</w:t>
            </w:r>
          </w:p>
        </w:tc>
        <w:tc>
          <w:tcPr>
            <w:tcW w:type="dxa" w:w="2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成功调用/总调用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56"/>
          <w:szCs w:val="56"/>
        </w:rPr>
        <w:t xml:space="preserve">8. MVP 范围定义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8.1 时间与资源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MVP 开发周期：1-3 个月（单人 Vibe Coding 模式）。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8.2 Agent 范围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MVP阶段上线 1+3 Agent 架构：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编排 Agent（1个）：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状态机驱动的流程编排，唯一有权修改任务状态。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功能 Agent（3个）：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邮件网关 Agent（IMAP监听+附件下载，IO密集型）；解析 Agent（多模态字段提取，LLM密集型）；资料 Agent（完整性检查+缺失提醒，混合型）。</w:t>
      </w: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1A5276"/>
          <w:sz w:val="24"/>
          <w:szCs w:val="24"/>
        </w:rPr>
        <w:t xml:space="preserve">报告 Agent 暂不纳入 MVP，待核心流程稳定后（V1.5）独立开发。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8.3 MVP 核心功能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零件录入：Web表单提交 + 自动任务创建。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邮件监听与解析：IMAP实时监听 + 规则过滤 + 附件自动下载。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字段提取入库：LLM多模态解析 + 结构化存储。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完整性检查：动态清单模板 + 规则引擎 + LLM语义核对。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基础工作台：任务列表、详情页、审核操作。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8.4 MVP 集成范围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5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集成系统</w:t>
            </w:r>
          </w:p>
        </w:tc>
        <w:tc>
          <w:tcPr>
            <w:tcW w:type="dxa" w:w="25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集成方式</w:t>
            </w:r>
          </w:p>
        </w:tc>
        <w:tc>
          <w:tcPr>
            <w:tcW w:type="dxa" w:w="25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集成深度</w:t>
            </w:r>
          </w:p>
        </w:tc>
        <w:tc>
          <w:tcPr>
            <w:tcW w:type="dxa" w:w="25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邮件系统（IMAP）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IMAPClient + asyncio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接收+附件下载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支持Office365/Exchange</w:t>
            </w:r>
          </w:p>
        </w:tc>
      </w:tr>
      <w:tr>
        <w:trPr>
          <w:cantSplit/>
        </w:trPr>
        <w:tc>
          <w:tcPr>
            <w:tcW w:type="dxa" w:w="2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文件存储（MinIO）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S3兼容API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上传/下载/预览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私有化部署</w:t>
            </w:r>
          </w:p>
        </w:tc>
      </w:tr>
      <w:tr>
        <w:trPr>
          <w:cantSplit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LLM推理服务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vLLM OpenAI兼容API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多模态解析+字段提取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Qwen3-VL-32B</w:t>
            </w:r>
          </w:p>
        </w:tc>
      </w:tr>
      <w:tr>
        <w:trPr>
          <w:cantSplit/>
        </w:trPr>
        <w:tc>
          <w:tcPr>
            <w:tcW w:type="dxa" w:w="2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数据库（PostgreSQL）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SQLAlchemy async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全量CRUD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含pgvector扩展</w:t>
            </w:r>
          </w:p>
        </w:tc>
      </w:tr>
      <w:tr>
        <w:trPr>
          <w:cantSplit/>
        </w:trPr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通知服务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SMTP + Webhook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邮件+IM通知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支持企业微信/飞书</w:t>
            </w:r>
          </w:p>
        </w:tc>
      </w:tr>
    </w:tbl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8.5 MVP 不包含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报告 Agent（报告自动生成、FAIL分析、返工管理）。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PLM/ERP系统集成。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电子签章对接。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SFT模型微调。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供应商协作门户。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移动端应用。</w:t>
      </w:r>
    </w:p>
    <w:p>
      <w:pPr>
        <w:pageBreakBefore/>
      </w:pP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56"/>
          <w:szCs w:val="56"/>
        </w:rPr>
        <w:t xml:space="preserve">9. Agent 架构设计 V2.0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9.1 架构概述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V2.0架构核心设计原则：1 编排 Agent + 3 功能 Agent + 事件总线 + 通知消费者协程。部署方式为单 FastAPI 进程，使用 asyncio.Queue 作为进程内事件总线（MVP阶段）。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与原V1.0设计的关键变化：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流程 Agent 已撤销，其职责分散到编排 Agent（状态流转）和报告 Agent（报告生成）。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邮件 Agent 拆分为两个独立Agent：邮件网关 Agent（IO密集型，不调LLM）和解析 Agent（LLM密集型，受GPU显存约束）。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HUMAN_PENDING 从独立状态改为附加 flag 标记，避免状态机状态数量爆炸。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采用事件驱动通信协议，各Agent通过 asyncio.Queue 解耦。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9.2 编排 Agent (Host-Agent)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编排 Agent 是整个系统的核心大脑，采用状态机 + 路由决策表驱动，不使用LLM进行流程决策（保证确定性）。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核心职责：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唯一有权修改任务状态的组件，所有功能Agent只产出数据+事件，不直接修改状态。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维护全局状态机（8个核心状态：INIT → PARSING → CHECKING → REVIEW → APPROVED → CLOSED，含NEED_SUPPLEMENT和PARSING_FAILED分支）。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路由决策：根据完整性检查结果、置信度评分、异常检测结果决定下一步流向。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HUMAN_PENDING 作为 flag 而非状态：在 REVIEW 状态中，低置信度节点标记 HUMAN_PENDING flag=true，高置信度节点可自动流转。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人工确认节点（10个）：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2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节点编号</w:t>
            </w:r>
          </w:p>
        </w:tc>
        <w:tc>
          <w:tcPr>
            <w:tcW w:type="dxa" w:w="22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确认场景</w:t>
            </w:r>
          </w:p>
        </w:tc>
        <w:tc>
          <w:tcPr>
            <w:tcW w:type="dxa" w:w="32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0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默认超时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H1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低置信度字段确认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任一字段置信度&lt;0.85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24小时</w:t>
            </w:r>
          </w:p>
        </w:tc>
      </w:tr>
      <w:tr>
        <w:trPr>
          <w:cantSplit/>
        </w:trPr>
        <w:tc>
          <w:tcPr>
            <w:tcW w:type="dxa" w:w="1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H2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分类不确定确认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分类置信度&lt;0.80</w:t>
            </w:r>
          </w:p>
        </w:tc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24小时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H3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异常检测确认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异常检测置信度&lt;0.80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8小时</w:t>
            </w:r>
          </w:p>
        </w:tc>
      </w:tr>
      <w:tr>
        <w:trPr>
          <w:cantSplit/>
        </w:trPr>
        <w:tc>
          <w:tcPr>
            <w:tcW w:type="dxa" w:w="1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H4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语义等价不确定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等价判定&lt;0.85</w:t>
            </w:r>
          </w:p>
        </w:tc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24小时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H5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超差判定确认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公差超出标准范围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8小时</w:t>
            </w:r>
          </w:p>
        </w:tc>
      </w:tr>
      <w:tr>
        <w:trPr>
          <w:cantSplit/>
        </w:trPr>
        <w:tc>
          <w:tcPr>
            <w:tcW w:type="dxa" w:w="1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H6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材料偏差确认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材料牌号不匹配</w:t>
            </w:r>
          </w:p>
        </w:tc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24小时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H7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供应商资质审核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新供应商或资质过期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48小时</w:t>
            </w:r>
          </w:p>
        </w:tc>
      </w:tr>
      <w:tr>
        <w:trPr>
          <w:cantSplit/>
        </w:trPr>
        <w:tc>
          <w:tcPr>
            <w:tcW w:type="dxa" w:w="1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H8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返工审核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补充资料后重新检查</w:t>
            </w:r>
          </w:p>
        </w:tc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24小时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H9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版本冲突确认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检测到多版本并存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8小时</w:t>
            </w:r>
          </w:p>
        </w:tc>
      </w:tr>
      <w:tr>
        <w:trPr>
          <w:cantSplit/>
        </w:trPr>
        <w:tc>
          <w:tcPr>
            <w:tcW w:type="dxa" w:w="1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H10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弃用/终止确认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零件流程终止</w:t>
            </w:r>
          </w:p>
        </w:tc>
        <w:tc>
          <w:tcPr>
            <w:tcW w:type="dxa" w:w="20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48小时</w:t>
            </w:r>
          </w:p>
        </w:tc>
      </w:tr>
    </w:tbl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9.3 邮件网关 Agent（新增）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邮件网关 Agent 为纯IO密集型组件，不调用任何LLM服务，负责邮件接入层的所有操作。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核心职责：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IMAP实时监听：使用 IMAP IDLE 协议保持长连接，即时接收新邮件通知。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规则过滤：基于发件人域名、邮件主题关键词（OTS/PPAP/认可/样件）、附件类型（.pdf/.doc/.docx/.xlsx/.jpg/.png/.dwg）过滤有效邮件。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附件下载与预处理：自动下载附件到MinIO临时目录，生成唯一文件ID，校验文件完整性（MD5/HASH）。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Webhook支持：预留Webhook接口，供不支持IMAP的外部系统主动推送。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技术栈：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Python asyncio + IMAPClient + email模块。不引入额外依赖服务。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与解析Agent解耦：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通过 asyncio.Queue 传递解析任务（解析请求 = {task_id, file_ids, metadata}），网关不关心下游处理结果。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9.4 解析 Agent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解析 Agent 从原邮件Agent中拆分而来，专注于LLM密集型计算任务。受GPU显存约束，需控制并发调用。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核心职责：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多模态文件解析：支持PDF、Word、Excel、图片（含扫描件OCR）、CAD图纸（DWG缩略图）的解析。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结构化字段提取：从文档中提取零件号、材料牌号、尺寸公差、性能参数、试验结果等关键字段。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置信度校验：对每个提取字段输出置信度评分（0-1），低置信度字段标记 HUMAN_PENDING flag。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异常检测：数值范围校验、字段一致性校验（跨文档交叉验证）、版本号格式校验。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1A5276"/>
          <w:sz w:val="24"/>
          <w:szCs w:val="24"/>
        </w:rPr>
        <w:t xml:space="preserve">模型选择：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Qwen3-VL-32B（主力，多模态视觉+文本理解）或 Qwen3-30B-A3B（轻量替代，适用于文本为主的文档）。通过vLLM部署，OpenAI兼容API调用。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并发控制：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单GPU（T4 16GB）最大并发2个VL推理请求。超出并发限制的请求在 asyncio.Queue 中排队，FIFO消费。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9.5 资料 Agent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资料 Agent 为混合型 Agent，结合规则引擎（确定性检查）、LLM（语义理解）和RAG（历史案例检索）三种能力。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核心职责：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动态清单生成：根据零件类型（金属件/塑料件/电子件）、认可等级（OTS/PPAP）、客户要求，动态拼装资料清单模板。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清单核对（规则引擎）：逐项检查必需文件是否已提交、文件格式是否符合要求、签章是否完整。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语义等值判定（LLM）：判定"提交的材料牌号"和"图样要求材料牌号"是否为等效材料（如不同标准的同种材料）。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历史案例检索（RAG）：基于零件类型、材料、尺寸等维度检索历史相似案例，辅助完整性判断。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缺失提醒与升级：资料缺失自动发送补充通知，3天未补充自动升级通知至更高层级。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版本冲突标记：检测同一零件存在多个版本资料时，标记冲突并请求人工确认。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技术栈：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规则引擎（Python dict/JSON配置）+ LLM（Qwen3-32B）+ pgvector（RAG向量检索）。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9.6 报告 Agent（MVP暂缺）</w:t>
      </w: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1A5276"/>
          <w:sz w:val="24"/>
          <w:szCs w:val="24"/>
        </w:rPr>
        <w:t xml:space="preserve">报告 Agent 不在MVP范围，计划在V1.5版本独立开发和上线。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规划职责：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LLM报告生成：基于审核结果和模板自动生成OTS认可报告草稿（中文专业报告）。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FAIL分析：对不通过的零件，自动分析失败原因并生成结构化归因报告。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严重等级判断：根据偏差程度和影响范围，自动判定FAIL严重等级（Minor/Major/Critical）。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返工管理：追踪返工任务状态、记录返工历史、生成返工统计报告。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规划模型：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Qwen3-32B（启用thinking模式，提升报告质量和推理深度）。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9.7 Agent 间通信协议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V2.0采用事件驱动通信模式，所有Agent间消息通过事件总线传递。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MVP阶段：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asyncio.Queue 进程内事件总线。单进程内所有Agent作为独立Python模块运行，共享一个全局事件队列。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生产环境升级路径：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当满足以下任一条件时，升级为 RabbitMQ 消息队列：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日通知量 &gt; 1000条。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消息不可丢失成为硬性要求。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需要跨进程/跨机器Agent部署。</w:t>
      </w:r>
    </w:p>
    <w:p>
      <w:pPr>
        <w:spacing w:after="80"/>
      </w:pP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事件类型规范：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2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事件类型</w:t>
            </w:r>
          </w:p>
        </w:tc>
        <w:tc>
          <w:tcPr>
            <w:tcW w:type="dxa" w:w="18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生产者</w:t>
            </w:r>
          </w:p>
        </w:tc>
        <w:tc>
          <w:tcPr>
            <w:tcW w:type="dxa" w:w="22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消费者</w:t>
            </w:r>
          </w:p>
        </w:tc>
        <w:tc>
          <w:tcPr>
            <w:tcW w:type="dxa" w:w="35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载荷说明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report.parsed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解析Agent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编排Agent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解析结果JSON，含字段列表+置信度</w:t>
            </w:r>
          </w:p>
        </w:tc>
      </w:tr>
      <w:tr>
        <w:trPr>
          <w:cantSplit/>
        </w:trP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completeness.pass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资料Agent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编排Agent</w:t>
            </w:r>
          </w:p>
        </w:tc>
        <w:tc>
          <w:tcPr>
            <w:tcW w:type="dxa" w:w="3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完整性检查通过，含检查明细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completeness.fail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资料Agent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编排Agent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缺失项列表+建议补充清单</w:t>
            </w:r>
          </w:p>
        </w:tc>
      </w:tr>
      <w:tr>
        <w:trPr>
          <w:cantSplit/>
        </w:trP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anomaly.detected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解析Agent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编排Agent+通知</w:t>
            </w:r>
          </w:p>
        </w:tc>
        <w:tc>
          <w:tcPr>
            <w:tcW w:type="dxa" w:w="3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异常详情+严重程度+建议处理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human.confirmed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工作台/API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编排Agent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人工确认结果+处理意见</w:t>
            </w:r>
          </w:p>
        </w:tc>
      </w:tr>
      <w:tr>
        <w:trPr>
          <w:cantSplit/>
        </w:trPr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task.state_changed</w:t>
            </w:r>
          </w:p>
        </w:tc>
        <w:tc>
          <w:tcPr>
            <w:tcW w:type="dxa" w:w="1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编排Agent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通知消费者</w:t>
            </w:r>
          </w:p>
        </w:tc>
        <w:tc>
          <w:tcPr>
            <w:tcW w:type="dxa" w:w="35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新状态+时间戳+触发事件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supplement.reminder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资料Agent</w:t>
            </w:r>
          </w:p>
        </w:tc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通知消费者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超时提醒（3天升级）</w:t>
            </w:r>
          </w:p>
        </w:tc>
      </w:tr>
    </w:tbl>
    <w:p>
      <w:pPr>
        <w:spacing w:after="80"/>
      </w:pPr>
    </w:p>
    <w:p>
      <w:pPr>
        <w:spacing w:after="120" w:line="360"/>
        <w:jc w:val="both"/>
      </w:pPr>
      <w:r>
        <w:rPr>
          <w:rFonts w:ascii="Arial" w:eastAsia="Microsoft YaHei" w:hAnsi="Arial"/>
          <w:b/>
          <w:bCs/>
          <w:i w:val="false"/>
          <w:iCs w:val="false"/>
          <w:color w:val="1A5276"/>
          <w:sz w:val="24"/>
          <w:szCs w:val="24"/>
        </w:rPr>
        <w:t xml:space="preserve">关键约束：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只有编排 Agent 有权修改任务状态。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功能 Agent 只产出数据 + 发射事件，不直接操作状态机。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通知消费者协程：asyncio.create_task() 创建独立协程，持续消费事件队列中的通知类事件，执行邮件/IM发送。</w:t>
      </w: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9.8 部署方案（单人 Vibe Coding）</w:t>
      </w:r>
    </w:p>
    <w:p>
      <w:pPr>
        <w:spacing w:after="120" w:line="360"/>
        <w:jc w:val="both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V2.0架构贯彻"单人开发+运维"的极简部署理念：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部署形态：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单 FastAPI 进程，所有 Agent 为独立 Python 模块（同一个包内的不同 .py 文件）。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事件总线：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asyncio.Queue 进程内事件总线，无需额外中间件。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升级条件：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通知量 &gt; 1000/天 或 消息不可丢失 → 更换为 RabbitMQ。在此之前坚决不引入消息中间件。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4"/>
          <w:szCs w:val="24"/>
        </w:rPr>
        <w:t xml:space="preserve">无需：</w:t>
      </w: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微服务拆分、服务发现（Consul/Eureka）、独立部署流水线、容器编排（K8s）。单机Docker Compose即可部署全部服务。</w:t>
      </w:r>
    </w:p>
    <w:p>
      <w:pPr>
        <w:spacing w:after="80"/>
      </w:pPr>
    </w:p>
    <w:p>
      <w:pPr>
        <w:pStyle w:val="Heading2"/>
        <w:spacing w:after="200" w:before="300"/>
      </w:pPr>
      <w:r>
        <w:rPr>
          <w:rFonts w:ascii="Arial" w:eastAsia="Microsoft YaHei" w:hAnsi="Arial"/>
          <w:b/>
          <w:bCs/>
          <w:i w:val="false"/>
          <w:iCs w:val="false"/>
          <w:color w:val="1A1A1A"/>
          <w:sz w:val="44"/>
          <w:szCs w:val="44"/>
        </w:rPr>
        <w:t xml:space="preserve">9.9 与原设计的差异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4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设计维度</w:t>
            </w:r>
          </w:p>
        </w:tc>
        <w:tc>
          <w:tcPr>
            <w:tcW w:type="dxa" w:w="38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V1.0</w:t>
            </w:r>
          </w:p>
        </w:tc>
        <w:tc>
          <w:tcPr>
            <w:tcW w:type="dxa" w:w="3800"/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V2.0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邮件Agent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1个（耦合IO+LLM）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拆为网关（IO密集）+ 解析（LLM密集）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流程Agent</w:t>
            </w:r>
          </w:p>
        </w:tc>
        <w:tc>
          <w:tcPr>
            <w:tcW w:type="dxa" w:w="3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独立Agent（状态流转+报告）</w:t>
            </w:r>
          </w:p>
        </w:tc>
        <w:tc>
          <w:tcPr>
            <w:tcW w:type="dxa" w:w="3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已撤销，职责拆分到编排Agent+报告Agent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Agent间通信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未明确定义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asyncio.Queue事件驱动协议，7种标准事件类型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HUMAN_PENDING</w:t>
            </w:r>
          </w:p>
        </w:tc>
        <w:tc>
          <w:tcPr>
            <w:tcW w:type="dxa" w:w="3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独立状态</w:t>
            </w:r>
          </w:p>
        </w:tc>
        <w:tc>
          <w:tcPr>
            <w:tcW w:type="dxa" w:w="3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改为附加flag标记，避免状态数量爆炸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微服务暗示（多进程）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单进程FastAPI，Docker Compose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Agent数量</w:t>
            </w:r>
          </w:p>
        </w:tc>
        <w:tc>
          <w:tcPr>
            <w:tcW w:type="dxa" w:w="3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1+4 Agent</w:t>
            </w:r>
          </w:p>
        </w:tc>
        <w:tc>
          <w:tcPr>
            <w:tcW w:type="dxa" w:w="3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1+3 Agent（流程Agent已撤销，报告Agent暂缺）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LLM使用策略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未明确定义</w:t>
            </w:r>
          </w:p>
        </w:tc>
        <w:tc>
          <w:tcPr>
            <w:tcW w:type="dxa" w:w="3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编排Agent不用LLM（状态机），网关不用LLM（纯IO），解析和资料用LLM</w:t>
            </w:r>
          </w:p>
        </w:tc>
      </w:tr>
      <w:tr>
        <w:trPr>
          <w:cantSplit/>
        </w:trPr>
        <w:tc>
          <w:tcPr>
            <w:tcW w:type="dxa" w:w="24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并发控制</w:t>
            </w:r>
          </w:p>
        </w:tc>
        <w:tc>
          <w:tcPr>
            <w:tcW w:type="dxa" w:w="3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未定义</w:t>
            </w:r>
          </w:p>
        </w:tc>
        <w:tc>
          <w:tcPr>
            <w:tcW w:type="dxa" w:w="3800"/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解析Agent受GPU显存约束（T4/2并发），网关不受限</w:t>
            </w:r>
          </w:p>
        </w:tc>
      </w:tr>
    </w:tbl>
    <w:p>
      <w:pPr>
        <w:pageBreakBefore/>
      </w:pPr>
    </w:p>
    <w:p>
      <w:pPr>
        <w:spacing w:after="80"/>
      </w:pPr>
    </w:p>
    <w:p>
      <w:pPr>
        <w:spacing w:after="80"/>
      </w:pPr>
    </w:p>
    <w:p>
      <w:pPr>
        <w:spacing w:after="120" w:line="3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888888"/>
          <w:sz w:val="44"/>
          <w:szCs w:val="44"/>
        </w:rPr>
        <w:t xml:space="preserve">— 文档结束 —</w:t>
      </w:r>
    </w:p>
    <w:p>
      <w:pPr>
        <w:spacing w:after="80"/>
      </w:pPr>
    </w:p>
    <w:p>
      <w:pPr>
        <w:spacing w:after="120" w:line="3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888888"/>
          <w:sz w:val="20"/>
          <w:szCs w:val="20"/>
        </w:rPr>
        <w:t xml:space="preserve">本文档 V2.0 基于架构评审结论修正：邮件Agent拆分解决IO/LLM耦合问题，撤销流程Agent简化架构，asyncio.Queue事件总线适配单人Vibe Coding场景，HUMAN_PENDING改为flag避免状态爆炸。配套图纸见 diagrams/ 目录。</w:t>
      </w:r>
    </w:p>
    <w:p>
      <w:pPr>
        <w:spacing w:after="80"/>
      </w:pP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i w:val="false"/>
        <w:iCs w:val="false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i/>
        <w:iCs/>
        <w:color w:val="888888"/>
        <w:sz w:val="18"/>
        <w:szCs w:val="18"/>
      </w:rPr>
      <w:t xml:space="preserve">OTS AI Agent PRD v2.0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2026-05-26T15:18:53.784Z</dcterms:created>
  <dcterms:modified xsi:type="dcterms:W3CDTF">2026-05-26T15:18:53.784Z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