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黑体" w:hAnsi="黑体" w:eastAsia="黑体"/>
          <w:b/>
          <w:sz w:val="32"/>
        </w:rPr>
        <w:t>第十章　中医药人工智能研究方法展望</w:t>
      </w:r>
    </w:p>
    <w:p>
      <w:pPr>
        <w:pStyle w:val="Heading2"/>
      </w:pPr>
      <w:r>
        <w:rPr>
          <w:rFonts w:ascii="黑体" w:hAnsi="黑体" w:eastAsia="黑体"/>
          <w:b/>
          <w:sz w:val="30"/>
        </w:rPr>
        <w:t>学习目标</w:t>
      </w:r>
    </w:p>
    <w:p>
      <w:pPr>
        <w:pStyle w:val="Heading3"/>
      </w:pPr>
      <w:r>
        <w:rPr>
          <w:rFonts w:ascii="黑体" w:hAnsi="黑体" w:eastAsia="黑体"/>
          <w:b/>
          <w:sz w:val="28"/>
        </w:rPr>
        <w:t>知识目标</w:t>
      </w:r>
    </w:p>
    <w:p>
      <w:pPr>
        <w:spacing w:line="360" w:lineRule="auto" w:after="60"/>
        <w:ind w:firstLine="0"/>
      </w:pPr>
      <w:r>
        <w:rPr>
          <w:rFonts w:ascii="宋体" w:hAnsi="宋体" w:eastAsia="宋体"/>
          <w:b w:val="0"/>
          <w:sz w:val="24"/>
        </w:rPr>
        <w:t>1. 理解生成式人工智能、大语言模型、多模态大模型、智能体、检索增强生成、知识图谱、参数高效微调等技术概念及其在中医药研究中的适配关系。</w:t>
      </w:r>
    </w:p>
    <w:p>
      <w:pPr>
        <w:spacing w:line="360" w:lineRule="auto" w:after="60"/>
        <w:ind w:firstLine="0"/>
      </w:pPr>
      <w:r>
        <w:rPr>
          <w:rFonts w:ascii="宋体" w:hAnsi="宋体" w:eastAsia="宋体"/>
          <w:b w:val="0"/>
          <w:sz w:val="24"/>
        </w:rPr>
        <w:t>2. 掌握可信人工智能的基本框架，能够说明可靠性、安全性、可解释性、公平性、隐私保护与可问责性之间的内在联系。</w:t>
      </w:r>
    </w:p>
    <w:p>
      <w:pPr>
        <w:spacing w:line="360" w:lineRule="auto" w:after="60"/>
        <w:ind w:firstLine="0"/>
      </w:pPr>
      <w:r>
        <w:rPr>
          <w:rFonts w:ascii="宋体" w:hAnsi="宋体" w:eastAsia="宋体"/>
          <w:b w:val="0"/>
          <w:sz w:val="24"/>
        </w:rPr>
        <w:t>3. 理解不确定性量化、鲁棒性评估、算法公平性度量的基本原理，并能结合中医药数据特征进行解释。</w:t>
      </w:r>
    </w:p>
    <w:p>
      <w:pPr>
        <w:pStyle w:val="Heading3"/>
      </w:pPr>
      <w:r>
        <w:rPr>
          <w:rFonts w:ascii="黑体" w:hAnsi="黑体" w:eastAsia="黑体"/>
          <w:b/>
          <w:sz w:val="28"/>
        </w:rPr>
        <w:t>能力目标</w:t>
      </w:r>
    </w:p>
    <w:p>
      <w:pPr>
        <w:spacing w:line="360" w:lineRule="auto" w:after="60"/>
        <w:ind w:firstLine="0"/>
      </w:pPr>
      <w:r>
        <w:rPr>
          <w:rFonts w:ascii="宋体" w:hAnsi="宋体" w:eastAsia="宋体"/>
          <w:b w:val="0"/>
          <w:sz w:val="24"/>
        </w:rPr>
        <w:t>1. 能够针对中医药文本、图像、组学、临床真实世界数据和多模态数据，选择继续预训练、监督微调、参数高效微调、检索增强生成、知识图谱约束、智能体编排等适配路径。</w:t>
      </w:r>
    </w:p>
    <w:p>
      <w:pPr>
        <w:spacing w:line="360" w:lineRule="auto" w:after="60"/>
        <w:ind w:firstLine="0"/>
      </w:pPr>
      <w:r>
        <w:rPr>
          <w:rFonts w:ascii="宋体" w:hAnsi="宋体" w:eastAsia="宋体"/>
          <w:b w:val="0"/>
          <w:sz w:val="24"/>
        </w:rPr>
        <w:t>2. 能够设计面向中医药大模型的评测方案，将准确率、幻觉率、错误信息识别、置信度校准、分布外泛化、公平性分层评价纳入统一框架。</w:t>
      </w:r>
    </w:p>
    <w:p>
      <w:pPr>
        <w:spacing w:line="360" w:lineRule="auto" w:after="60"/>
        <w:ind w:firstLine="0"/>
      </w:pPr>
      <w:r>
        <w:rPr>
          <w:rFonts w:ascii="宋体" w:hAnsi="宋体" w:eastAsia="宋体"/>
          <w:b w:val="0"/>
          <w:sz w:val="24"/>
        </w:rPr>
        <w:t>3. 能够把中医药术语规范、辨证论治逻辑、证据等级、临床安全约束转化为可计算的数据结构、模型约束与评价指标。</w:t>
      </w:r>
    </w:p>
    <w:p>
      <w:pPr>
        <w:pStyle w:val="Heading3"/>
      </w:pPr>
      <w:r>
        <w:rPr>
          <w:rFonts w:ascii="黑体" w:hAnsi="黑体" w:eastAsia="黑体"/>
          <w:b/>
          <w:sz w:val="28"/>
        </w:rPr>
        <w:t>素养目标</w:t>
      </w:r>
    </w:p>
    <w:p>
      <w:pPr>
        <w:spacing w:line="360" w:lineRule="auto" w:after="60"/>
        <w:ind w:firstLine="0"/>
      </w:pPr>
      <w:r>
        <w:rPr>
          <w:rFonts w:ascii="宋体" w:hAnsi="宋体" w:eastAsia="宋体"/>
          <w:b w:val="0"/>
          <w:sz w:val="24"/>
        </w:rPr>
        <w:t>1. 形成“AI增强临床与科研、医师保留最终责任”的研究伦理意识。</w:t>
      </w:r>
    </w:p>
    <w:p>
      <w:pPr>
        <w:spacing w:line="360" w:lineRule="auto" w:after="60"/>
        <w:ind w:firstLine="0"/>
      </w:pPr>
      <w:r>
        <w:rPr>
          <w:rFonts w:ascii="宋体" w:hAnsi="宋体" w:eastAsia="宋体"/>
          <w:b w:val="0"/>
          <w:sz w:val="24"/>
        </w:rPr>
        <w:t>2. 建立以患者安全、证据可靠、数据合规、模型可审查为核心的中医药人工智能研究观。</w:t>
      </w:r>
    </w:p>
    <w:p>
      <w:pPr>
        <w:spacing w:line="360" w:lineRule="auto" w:after="60"/>
        <w:ind w:firstLine="0"/>
      </w:pPr>
      <w:r>
        <w:rPr>
          <w:rFonts w:ascii="宋体" w:hAnsi="宋体" w:eastAsia="宋体"/>
          <w:b w:val="0"/>
          <w:sz w:val="24"/>
        </w:rPr>
        <w:t>3. 理解中医药人工智能的发展应服务于中医药传承创新、临床质量提升和研究方法更新，避免以技术指标替代医学价值判断。</w:t>
      </w:r>
    </w:p>
    <w:p>
      <w:pPr>
        <w:pStyle w:val="Heading2"/>
      </w:pPr>
      <w:r>
        <w:rPr>
          <w:rFonts w:ascii="黑体" w:hAnsi="黑体" w:eastAsia="黑体"/>
          <w:b/>
          <w:sz w:val="30"/>
        </w:rPr>
        <w:t>第一节　生成式大模型与下一代AI技术在中医药中的适配前景</w:t>
      </w:r>
    </w:p>
    <w:p>
      <w:pPr>
        <w:pStyle w:val="Heading3"/>
      </w:pPr>
      <w:r>
        <w:rPr>
          <w:rFonts w:ascii="黑体" w:hAnsi="黑体" w:eastAsia="黑体"/>
          <w:b/>
          <w:sz w:val="28"/>
        </w:rPr>
        <w:t>本节导读</w:t>
      </w:r>
    </w:p>
    <w:p>
      <w:pPr>
        <w:spacing w:line="360" w:lineRule="auto" w:after="60"/>
        <w:ind w:firstLine="420"/>
      </w:pPr>
      <w:r>
        <w:rPr>
          <w:rFonts w:ascii="宋体" w:hAnsi="宋体" w:eastAsia="宋体"/>
          <w:b w:val="0"/>
          <w:sz w:val="24"/>
        </w:rPr>
        <w:t>前九章分别讨论了文本、图像、生物信号、组学、多模态、科学仪器、脑机接口、临床研究与真实世界证据等场景中的人工智能研究方法。本节在此基础上讨论生成式大模型与下一代人工智能技术的中医药适配路径。生成式人工智能不仅改变了知识检索、问答生成和文献整理方式，还正在影响辨证论治建模、方药推荐、医案结构化、科研假说生成、智能教育和真实世界研究仿真。本节重点不在于罗列已有模型，而在于回答三个方法学问题：第一，中医药领域需要何种知识基座才能支持大模型持续演进；第二，模型适配如何从语言层面的“会回答”转向医学层面的“可验证、可追溯、可监管”；第三，下一代AI技术进入中医药场景时必须满足哪些数据、知识、评测与安全条件。</w:t>
      </w:r>
    </w:p>
    <w:p>
      <w:pPr>
        <w:pStyle w:val="Heading3"/>
      </w:pPr>
      <w:r>
        <w:rPr>
          <w:rFonts w:ascii="黑体" w:hAnsi="黑体" w:eastAsia="黑体"/>
          <w:b/>
          <w:sz w:val="28"/>
        </w:rPr>
        <w:t>一、生成式大模型在中医药中的适配前景</w:t>
      </w:r>
    </w:p>
    <w:p>
      <w:pPr>
        <w:pStyle w:val="Heading4"/>
      </w:pPr>
      <w:r>
        <w:rPr>
          <w:rFonts w:ascii="黑体" w:hAnsi="黑体" w:eastAsia="黑体"/>
          <w:b/>
          <w:sz w:val="24"/>
        </w:rPr>
        <w:t>（一）技术谱系与中医药适配对象</w:t>
      </w:r>
    </w:p>
    <w:p>
      <w:pPr>
        <w:spacing w:line="360" w:lineRule="auto" w:after="60"/>
        <w:ind w:firstLine="420"/>
      </w:pPr>
      <w:r>
        <w:rPr>
          <w:rFonts w:ascii="宋体" w:hAnsi="宋体" w:eastAsia="宋体"/>
          <w:b w:val="0"/>
          <w:sz w:val="24"/>
        </w:rPr>
        <w:t>生成式大模型包括以文本生成和推理为核心的大语言模型，以图像、文本、语音、波形等联合理解为核心的多模态大模型，以及面向分子、蛋白、网络、知识图谱等科学对象的生成式模型。中医药研究中的适配对象具有明显的领域特征：其一，语义层面存在“证、候、病、方、药、法、机”等多级概念，且古今术语、不同流派术语并存；其二，临床层面强调四诊合参、辨证论治、因人因时因地制宜；其三，证据层面包含经典文献、名老中医经验、临床试验、真实世界研究、药理实验和组学证据等不同来源；其四，安全层面涉及用药禁忌、配伍禁忌、妊娠与儿童用药、肝肾功能异常等约束。</w:t>
      </w:r>
    </w:p>
    <w:p>
      <w:pPr>
        <w:spacing w:line="360" w:lineRule="auto" w:after="60"/>
        <w:ind w:firstLine="420"/>
      </w:pPr>
      <w:r>
        <w:rPr>
          <w:rFonts w:ascii="宋体" w:hAnsi="宋体" w:eastAsia="宋体"/>
          <w:b w:val="0"/>
          <w:sz w:val="24"/>
        </w:rPr>
        <w:t>因此，中医药生成式大模型不能仅以“能否生成流畅文本”作为评价标准。对研究生而言，更重要的训练目标是理解“领域适配”这一概念：领域适配不是把通用模型简单用于中医药问答，而是把中医药知识、数据、临床逻辑、证据等级、安全边界和伦理要求逐层转化为模型能够学习、调用、约束和接受评价的形式。</w:t>
      </w:r>
    </w:p>
    <w:p>
      <w:pPr>
        <w:spacing w:line="360" w:lineRule="auto" w:after="60"/>
        <w:ind w:firstLine="420"/>
      </w:pPr>
      <w:r>
        <w:rPr>
          <w:rFonts w:ascii="宋体" w:hAnsi="宋体" w:eastAsia="宋体"/>
          <w:b w:val="0"/>
          <w:sz w:val="24"/>
        </w:rPr>
        <w:t>表10-1　生成式大模型在中医药中的主要适配路径（建议绘制为四列表格）</w:t>
      </w:r>
    </w:p>
    <w:p>
      <w:pPr>
        <w:spacing w:line="360" w:lineRule="auto" w:after="60"/>
        <w:ind w:firstLine="420"/>
      </w:pPr>
      <w:r>
        <w:rPr>
          <w:rFonts w:ascii="宋体" w:hAnsi="宋体" w:eastAsia="宋体"/>
          <w:b w:val="0"/>
          <w:sz w:val="24"/>
        </w:rPr>
        <w:t>第一列为“适配路径”，包括继续预训练、监督微调与对齐、参数高效微调、检索增强生成、知识图谱约束、智能体编排。第二列为“所需资源”，包括高质量语料、专家标注样本、低秩适配器、结构化知识库、术语本体、工具接口和安全规则。第三列为“适用任务”，包括古籍理解、医案结构化、辨证问答、方药推荐、临床决策支持、教学模拟、真实世界研究辅助。第四列为“主要风险”，包括灾难性遗忘、过度自信、幻觉、检索偏差、知识冲突、自动化偏见与责任边界不清。</w:t>
      </w:r>
    </w:p>
    <w:p>
      <w:pPr>
        <w:pStyle w:val="Heading4"/>
      </w:pPr>
      <w:r>
        <w:rPr>
          <w:rFonts w:ascii="黑体" w:hAnsi="黑体" w:eastAsia="黑体"/>
          <w:b/>
          <w:sz w:val="24"/>
        </w:rPr>
        <w:t>（二）继续预训练：从领域语料注入转向中医药知识基座建设</w:t>
      </w:r>
    </w:p>
    <w:p>
      <w:pPr>
        <w:spacing w:line="360" w:lineRule="auto" w:after="60"/>
        <w:ind w:firstLine="420"/>
      </w:pPr>
      <w:r>
        <w:rPr>
          <w:rFonts w:ascii="宋体" w:hAnsi="宋体" w:eastAsia="宋体"/>
          <w:b w:val="0"/>
          <w:sz w:val="24"/>
        </w:rPr>
        <w:t>继续预训练是指在通用大模型基础上，使用领域语料继续训练模型，使其更好地掌握领域语言分布、概念共现关系与表达习惯。中医药领域已有研究围绕中医经典、教材、医案、方剂、药物说明、临床指南和问答数据构建专用语料，并训练出若干面向中医药任务的大模型。此类工作证明，领域语料能够提升模型对中医药术语、方药知识和诊疗表达的适应性。</w:t>
      </w:r>
    </w:p>
    <w:p>
      <w:pPr>
        <w:spacing w:line="360" w:lineRule="auto" w:after="60"/>
        <w:ind w:firstLine="420"/>
      </w:pPr>
      <w:r>
        <w:rPr>
          <w:rFonts w:ascii="宋体" w:hAnsi="宋体" w:eastAsia="宋体"/>
          <w:b w:val="0"/>
          <w:sz w:val="24"/>
        </w:rPr>
        <w:t>下一阶段的关键任务不是单纯扩大语料规模，而是建设可治理、可追溯、可分级的中医药知识基座。知识基座至少包括三层。第一层是语料层，记录文本来源、版本、年代、流派、适用范围和版权状态。第二层是术语层，建立病名、证候、症状、治法、方剂、中药、穴位、炮制、剂量等概念的规范表示及同义词映射。第三层是证据层，对经典记载、专家经验、观察性研究、随机对照试验、系统评价、药理实验等不同证据赋予来源标签与证据等级。</w:t>
      </w:r>
    </w:p>
    <w:p>
      <w:pPr>
        <w:spacing w:line="360" w:lineRule="auto" w:after="60"/>
        <w:ind w:firstLine="420"/>
      </w:pPr>
      <w:r>
        <w:rPr>
          <w:rFonts w:ascii="宋体" w:hAnsi="宋体" w:eastAsia="宋体"/>
          <w:b w:val="0"/>
          <w:sz w:val="24"/>
        </w:rPr>
        <w:t>案例10-1　“古籍—医案—现代证据”知识基座的构建思路</w:t>
      </w:r>
    </w:p>
    <w:p>
      <w:pPr>
        <w:spacing w:line="360" w:lineRule="auto" w:after="60"/>
        <w:ind w:firstLine="420"/>
      </w:pPr>
      <w:r>
        <w:rPr>
          <w:rFonts w:ascii="宋体" w:hAnsi="宋体" w:eastAsia="宋体"/>
          <w:b w:val="0"/>
          <w:sz w:val="24"/>
        </w:rPr>
        <w:t>研究者拟建立面向脾胃病辨证论治的大模型知识基座。第一步，收集《伤寒论》《金匮要略》相关条文、近现代名医医案、临床指南、真实世界病例和中药药理证据。第二步，对文本进行版本校勘、断句、实体识别和术语规范化，将“痞满”“胃痞”“脘痞”等表达映射到统一概念，同时保留原文异名。第三步，建立“症状—证候—治法—方剂—药物—禁忌”关系网络，并为每一条关系标注来源与证据等级。第四步，将该知识基座用于继续预训练、检索增强生成和知识图谱约束，使模型既能理解中医语言，又能说明知识来源和适用边界。</w:t>
      </w:r>
    </w:p>
    <w:p>
      <w:pPr>
        <w:spacing w:line="360" w:lineRule="auto" w:after="60"/>
        <w:ind w:firstLine="420"/>
      </w:pPr>
      <w:r>
        <w:rPr>
          <w:rFonts w:ascii="宋体" w:hAnsi="宋体" w:eastAsia="宋体"/>
          <w:b w:val="0"/>
          <w:sz w:val="24"/>
        </w:rPr>
        <w:t>继续预训练面临三项技术难题。第一，灾难性遗忘，即模型吸收中医药语料后损害通用语言理解和通用推理能力。该问题要求研究者比较不同训练配比、学习率、参数冻结策略和混合语料策略。第二，古籍语义的高密度与多义性。古籍文本短小、含义丰富、语境依赖强，单纯依赖下一个词预测难以学习完整的辨证逻辑，因而需要实体识别、关系抽取、语义对齐和专家校验共同参与。第三，语料代表性与偏倚治理。若语料过度集中于某一地域、某一流派或某一专病，模型将固化局部经验，降低跨场景适用性。</w:t>
      </w:r>
    </w:p>
    <w:p>
      <w:pPr>
        <w:pStyle w:val="Heading4"/>
      </w:pPr>
      <w:r>
        <w:rPr>
          <w:rFonts w:ascii="黑体" w:hAnsi="黑体" w:eastAsia="黑体"/>
          <w:b/>
          <w:sz w:val="24"/>
        </w:rPr>
        <w:t>（三）对齐技术：从模仿专家回答转向对齐辨证论治过程</w:t>
      </w:r>
    </w:p>
    <w:p>
      <w:pPr>
        <w:spacing w:line="360" w:lineRule="auto" w:after="60"/>
        <w:ind w:firstLine="420"/>
      </w:pPr>
      <w:r>
        <w:rPr>
          <w:rFonts w:ascii="宋体" w:hAnsi="宋体" w:eastAsia="宋体"/>
          <w:b w:val="0"/>
          <w:sz w:val="24"/>
        </w:rPr>
        <w:t>监督微调使模型学习专家示范答案；基于反馈的强化学习使模型输出更符合人类偏好；基于AI反馈的强化学习在专家反馈不足时提供辅助信号。中医药领域使用这些方法时，应当把对齐目标从“语言形式相似”提升到“诊疗逻辑相符”。一个中医药问答答案即使语言规范，也仍需接受辨证依据、治法选择、方药配伍、剂量禁忌和转诊建议的检查。</w:t>
      </w:r>
    </w:p>
    <w:p>
      <w:pPr>
        <w:spacing w:line="360" w:lineRule="auto" w:after="60"/>
        <w:ind w:firstLine="420"/>
      </w:pPr>
      <w:r>
        <w:rPr>
          <w:rFonts w:ascii="宋体" w:hAnsi="宋体" w:eastAsia="宋体"/>
          <w:b w:val="0"/>
          <w:sz w:val="24"/>
        </w:rPr>
        <w:t>对齐辨证论治过程需要建立过程监督。过程监督不是只判断最终答案是否正确，而是把模型生成过程拆分为若干可评价环节：主诉与症状抽取、四诊信息补全、病位病性分析、证候判断、治法确定、方药或针灸方案生成、安全禁忌核查、解释与随访建议。每一环节均可设置专家评分、规则核查或知识图谱约束。</w:t>
      </w:r>
    </w:p>
    <w:p>
      <w:pPr>
        <w:spacing w:line="360" w:lineRule="auto" w:after="60"/>
        <w:ind w:firstLine="420"/>
      </w:pPr>
      <w:r>
        <w:rPr>
          <w:rFonts w:ascii="宋体" w:hAnsi="宋体" w:eastAsia="宋体"/>
          <w:b w:val="0"/>
          <w:sz w:val="24"/>
        </w:rPr>
        <w:t>图10-1　中医药大模型过程监督流程（图示说明）</w:t>
      </w:r>
    </w:p>
    <w:p>
      <w:pPr>
        <w:spacing w:line="360" w:lineRule="auto" w:after="60"/>
        <w:ind w:firstLine="420"/>
      </w:pPr>
      <w:r>
        <w:rPr>
          <w:rFonts w:ascii="宋体" w:hAnsi="宋体" w:eastAsia="宋体"/>
          <w:b w:val="0"/>
          <w:sz w:val="24"/>
        </w:rPr>
        <w:t>图中从左至右依次显示“患者信息输入—四诊信息结构化—辨证路径生成—治法方药生成—安全审查—输出解释”。在每个节点下方设置评价器：术语规范评价器、证候一致性评价器、方药配伍评价器、禁忌规则评价器和证据来源评价器。模型只有在关键节点通过评价后，才能进入下一步生成。该图强调中医药大模型的安全输出依赖分步监督，而不是一次性生成。</w:t>
      </w:r>
    </w:p>
    <w:p>
      <w:pPr>
        <w:spacing w:line="360" w:lineRule="auto" w:after="60"/>
        <w:ind w:firstLine="420"/>
      </w:pPr>
      <w:r>
        <w:rPr>
          <w:rFonts w:ascii="宋体" w:hAnsi="宋体" w:eastAsia="宋体"/>
          <w:b w:val="0"/>
          <w:sz w:val="24"/>
        </w:rPr>
        <w:t>过程监督还涉及争议。第一种观点强调专家经验，认为应以高水平中医师的辨证路径作为金标准；第二种观点强调群体共识，认为中医辨证存在主观性，应通过多专家标注、共识会议和一致性统计获得更稳健标签；第三种观点强调证据约束，认为模型输出必须接受现代循证证据与安全规则检查。三种观点并不互相排斥。教材建议的研究设计是：以专家经验形成高质量示范，以群体共识降低个体偏倚，以证据约束和安全规则形成最终边界。</w:t>
      </w:r>
    </w:p>
    <w:p>
      <w:pPr>
        <w:pStyle w:val="Heading4"/>
      </w:pPr>
      <w:r>
        <w:rPr>
          <w:rFonts w:ascii="黑体" w:hAnsi="黑体" w:eastAsia="黑体"/>
          <w:b/>
          <w:sz w:val="24"/>
        </w:rPr>
        <w:t>（四）参数高效微调：从低成本训练转向可组合知识模块</w:t>
      </w:r>
    </w:p>
    <w:p>
      <w:pPr>
        <w:spacing w:line="360" w:lineRule="auto" w:after="60"/>
        <w:ind w:firstLine="420"/>
      </w:pPr>
      <w:r>
        <w:rPr>
          <w:rFonts w:ascii="宋体" w:hAnsi="宋体" w:eastAsia="宋体"/>
          <w:b w:val="0"/>
          <w:sz w:val="24"/>
        </w:rPr>
        <w:t>参数高效微调通过调整少量参数实现领域适配，常见方法包括低秩适配、提示调优、前缀调优和适配器模块。对中医药研究者而言，该技术的重要价值在于降低训练成本，使实验室、医院科室和研究团队能够围绕专病、专科、流派或特定任务构建轻量化模型模块。</w:t>
      </w:r>
    </w:p>
    <w:p>
      <w:pPr>
        <w:spacing w:line="360" w:lineRule="auto" w:after="60"/>
        <w:ind w:firstLine="420"/>
      </w:pPr>
      <w:r>
        <w:rPr>
          <w:rFonts w:ascii="宋体" w:hAnsi="宋体" w:eastAsia="宋体"/>
          <w:b w:val="0"/>
          <w:sz w:val="24"/>
        </w:rPr>
        <w:t>未来的关键方向是可组合适配。可以将脾胃病、肿瘤、针灸、妇科、儿科、中药安全、古籍理解等知识分别训练为适配器模块。临床或科研任务启动时，系统根据问题类型加载相应模块，并通过冲突检测机制处理多个模块之间的不一致。例如，某一患者同时涉及消化系统症状、妊娠状态和中药相互作用风险，系统需要同时调用“脾胃病辨证模块”“妊娠用药安全模块”和“中西药相互作用模块”，并在安全模块与治疗模块出现冲突时优先执行安全规则。</w:t>
      </w:r>
    </w:p>
    <w:p>
      <w:pPr>
        <w:spacing w:line="360" w:lineRule="auto" w:after="60"/>
        <w:ind w:firstLine="420"/>
      </w:pPr>
      <w:r>
        <w:rPr>
          <w:rFonts w:ascii="宋体" w:hAnsi="宋体" w:eastAsia="宋体"/>
          <w:b w:val="0"/>
          <w:sz w:val="24"/>
        </w:rPr>
        <w:t>可组合适配面临两类研究问题。第一，适配器融合后的性能评价不能只看单任务准确率，还要评价模块之间是否产生知识冲突。第二，适配器的版本管理、来源追溯和适用边界需要制度化，否则不同团队训练的模块难以进入临床或教学场景。</w:t>
      </w:r>
    </w:p>
    <w:p>
      <w:pPr>
        <w:pStyle w:val="Heading4"/>
      </w:pPr>
      <w:r>
        <w:rPr>
          <w:rFonts w:ascii="黑体" w:hAnsi="黑体" w:eastAsia="黑体"/>
          <w:b/>
          <w:sz w:val="24"/>
        </w:rPr>
        <w:t>（五）检索增强生成与知识图谱：构建可查证、可审计的中医药推理</w:t>
      </w:r>
    </w:p>
    <w:p>
      <w:pPr>
        <w:spacing w:line="360" w:lineRule="auto" w:after="60"/>
        <w:ind w:firstLine="420"/>
      </w:pPr>
      <w:r>
        <w:rPr>
          <w:rFonts w:ascii="宋体" w:hAnsi="宋体" w:eastAsia="宋体"/>
          <w:b w:val="0"/>
          <w:sz w:val="24"/>
        </w:rPr>
        <w:t>检索增强生成通过在模型回答前检索外部文献、指南、医案或知识库，减少无依据生成。知识图谱则把实体与关系结构化，使模型在生成时接受“症状—证候—治法—方药—禁忌”的显式约束。中医药场景中，二者结合具有突出的必要性：中医药知识体系来源多样、术语复杂、证据等级差异明显，仅依赖模型内部参数记忆无法满足临床安全与教学可追溯要求。</w:t>
      </w:r>
    </w:p>
    <w:p>
      <w:pPr>
        <w:spacing w:line="360" w:lineRule="auto" w:after="60"/>
        <w:ind w:firstLine="420"/>
      </w:pPr>
      <w:r>
        <w:rPr>
          <w:rFonts w:ascii="宋体" w:hAnsi="宋体" w:eastAsia="宋体"/>
          <w:b w:val="0"/>
          <w:sz w:val="24"/>
        </w:rPr>
        <w:t>RAG与知识图谱结合的基本流程如下。第一，用户输入被结构化为症状、体征、舌脉、既往史、用药史等字段。第二，系统检索与问题相关的教材条目、指南、药典、医案、临床研究和知识图谱路径。第三，模型基于检索结果生成初步辨证和解释。第四，知识图谱对证候—治法—方药路径进行一致性检查。第五，安全规则库检查禁忌、剂量、相互作用和转诊提示。第六，系统输出答案并列出关键依据来源。</w:t>
      </w:r>
    </w:p>
    <w:p>
      <w:pPr>
        <w:spacing w:line="360" w:lineRule="auto" w:after="60"/>
        <w:ind w:firstLine="420"/>
      </w:pPr>
      <w:r>
        <w:rPr>
          <w:rFonts w:ascii="宋体" w:hAnsi="宋体" w:eastAsia="宋体"/>
          <w:b w:val="0"/>
          <w:sz w:val="24"/>
        </w:rPr>
        <w:t>案例10-2　中成药推荐中的检索增强与安全审查</w:t>
      </w:r>
    </w:p>
    <w:p>
      <w:pPr>
        <w:spacing w:line="360" w:lineRule="auto" w:after="60"/>
        <w:ind w:firstLine="420"/>
      </w:pPr>
      <w:r>
        <w:rPr>
          <w:rFonts w:ascii="宋体" w:hAnsi="宋体" w:eastAsia="宋体"/>
          <w:b w:val="0"/>
          <w:sz w:val="24"/>
        </w:rPr>
        <w:t>患者以失眠为主诉，同时存在妊娠早期和既往肝功能异常。普通问答模型在缺少安全审查时会直接推荐安神类中成药。检索增强系统首先检索失眠相关中成药说明书、妊娠禁忌、肝功能异常用药注意事项和相关指南；知识图谱进一步检查“症状—证候—治法—药物—禁忌”路径；安全审查模块将妊娠及肝功能异常作为高优先级约束。最终输出不应仅给出药名，而应提示需由医师评估后使用，并说明禁忌与就医建议。该案例说明，中医药大模型的临床适配必须把安全规则置于推荐生成之前。</w:t>
      </w:r>
    </w:p>
    <w:p>
      <w:pPr>
        <w:spacing w:line="360" w:lineRule="auto" w:after="60"/>
        <w:ind w:firstLine="420"/>
      </w:pPr>
      <w:r>
        <w:rPr>
          <w:rFonts w:ascii="宋体" w:hAnsi="宋体" w:eastAsia="宋体"/>
          <w:b w:val="0"/>
          <w:sz w:val="24"/>
        </w:rPr>
        <w:t>RAG并不能自动消除幻觉。其效果取决于检索库质量、检索召回率、证据排序、生成模型是否忠实于检索内容，以及系统是否能识别检索结果冲突。研究生在设计RAG系统时，应报告至少四类指标：检索召回率、回答正确率、依据忠实度、禁忌漏检率。对于高风险任务，还应记录低置信触发人工复核的比例。</w:t>
      </w:r>
    </w:p>
    <w:p>
      <w:pPr>
        <w:pStyle w:val="Heading4"/>
      </w:pPr>
      <w:r>
        <w:rPr>
          <w:rFonts w:ascii="黑体" w:hAnsi="黑体" w:eastAsia="黑体"/>
          <w:b/>
          <w:sz w:val="24"/>
        </w:rPr>
        <w:t>（六）智能体与多智能体协作：从问答系统转向临床与科研工作流</w:t>
      </w:r>
    </w:p>
    <w:p>
      <w:pPr>
        <w:spacing w:line="360" w:lineRule="auto" w:after="60"/>
        <w:ind w:firstLine="420"/>
      </w:pPr>
      <w:r>
        <w:rPr>
          <w:rFonts w:ascii="宋体" w:hAnsi="宋体" w:eastAsia="宋体"/>
          <w:b w:val="0"/>
          <w:sz w:val="24"/>
        </w:rPr>
        <w:t>智能体是能够感知环境、分解任务、调用工具、保持记忆并执行多步操作的系统。与单轮问答相比，智能体更接近中医临床和科研活动的真实流程。例如，临床诊疗包含问诊补全、四诊合参、辨证、处方、禁忌核查和随访；科研活动包含文献检索、假说形成、数据清洗、模型训练、统计分析、图表生成和论文写作。智能体系统能够把这些环节组织为可审计工作流。</w:t>
      </w:r>
    </w:p>
    <w:p>
      <w:pPr>
        <w:spacing w:line="360" w:lineRule="auto" w:after="60"/>
        <w:ind w:firstLine="420"/>
      </w:pPr>
      <w:r>
        <w:rPr>
          <w:rFonts w:ascii="宋体" w:hAnsi="宋体" w:eastAsia="宋体"/>
          <w:b w:val="0"/>
          <w:sz w:val="24"/>
        </w:rPr>
        <w:t>多智能体协作适合模拟中医药复杂任务。一个中医药临床决策支持系统可包含问诊智能体、辨证智能体、方药智能体、针灸智能体、安全审查智能体、循证检索智能体和解释智能体。不同智能体分工协作，并通过争议仲裁机制处理冲突。该架构既能体现中医辨证论治的层次性，又能为临床安全设置多重把关。</w:t>
      </w:r>
    </w:p>
    <w:p>
      <w:pPr>
        <w:spacing w:line="360" w:lineRule="auto" w:after="60"/>
        <w:ind w:firstLine="420"/>
      </w:pPr>
      <w:r>
        <w:rPr>
          <w:rFonts w:ascii="宋体" w:hAnsi="宋体" w:eastAsia="宋体"/>
          <w:b w:val="0"/>
          <w:sz w:val="24"/>
        </w:rPr>
        <w:t>多智能体系统的研究重点包括三方面。第一，任务分解是否合理，即每个智能体的输入、输出、权限和责任边界是否清楚。第二，智能体之间的通信协议是否可审计，特别是检索依据、工具调用记录和决策变化过程是否保存。第三，系统整体性能是否优于单一模型，并且是否在安全性、鲁棒性和人机协同体验方面取得实质提升。</w:t>
      </w:r>
    </w:p>
    <w:p>
      <w:pPr>
        <w:pStyle w:val="Heading4"/>
      </w:pPr>
      <w:r>
        <w:rPr>
          <w:rFonts w:ascii="黑体" w:hAnsi="黑体" w:eastAsia="黑体"/>
          <w:b/>
          <w:sz w:val="24"/>
        </w:rPr>
        <w:t>（七）多模态大模型与四诊合参：从单模态识别转向证候表征融合</w:t>
      </w:r>
    </w:p>
    <w:p>
      <w:pPr>
        <w:spacing w:line="360" w:lineRule="auto" w:after="60"/>
        <w:ind w:firstLine="420"/>
      </w:pPr>
      <w:r>
        <w:rPr>
          <w:rFonts w:ascii="宋体" w:hAnsi="宋体" w:eastAsia="宋体"/>
          <w:b w:val="0"/>
          <w:sz w:val="24"/>
        </w:rPr>
        <w:t>四诊合参是中医诊断的核心，也是多模态大模型在中医药中的代表性场景。望诊与舌诊对应图像，闻诊涉及声音和气味信息，问诊对应自然语言文本，切诊对应脉象波形、压力传感信号和其他生物信号。多模态大模型的任务不是把四类数据简单拼接，而是建立跨模态证候表征，使“舌红少苔”“脉细数”“五心烦热”“口干咽燥”等信息能够在同一证候空间中被联合解释。</w:t>
      </w:r>
    </w:p>
    <w:p>
      <w:pPr>
        <w:spacing w:line="360" w:lineRule="auto" w:after="60"/>
        <w:ind w:firstLine="420"/>
      </w:pPr>
      <w:r>
        <w:rPr>
          <w:rFonts w:ascii="宋体" w:hAnsi="宋体" w:eastAsia="宋体"/>
          <w:b w:val="0"/>
          <w:sz w:val="24"/>
        </w:rPr>
        <w:t>多模态四诊合参面临三项关键技术。第一，时空对齐，即不同模态采集时间、采集设备和采集条件差异需要被记录并校正。第二，语义对齐，即图像颜色、脉象波形和文本症状需要映射到共同的证候概念。第三，模态缺失处理，即临床真实场景中并非每次均能获得完整四诊数据，模型应在缺失模态下给出置信度下降提示，而不是生成虚假的完整信息。</w:t>
      </w:r>
    </w:p>
    <w:p>
      <w:pPr>
        <w:spacing w:line="360" w:lineRule="auto" w:after="60"/>
        <w:ind w:firstLine="420"/>
      </w:pPr>
      <w:r>
        <w:rPr>
          <w:rFonts w:ascii="宋体" w:hAnsi="宋体" w:eastAsia="宋体"/>
          <w:b w:val="0"/>
          <w:sz w:val="24"/>
        </w:rPr>
        <w:t>图10-2　四诊合参多模态大模型架构（图示说明）</w:t>
      </w:r>
    </w:p>
    <w:p>
      <w:pPr>
        <w:spacing w:line="360" w:lineRule="auto" w:after="60"/>
        <w:ind w:firstLine="420"/>
      </w:pPr>
      <w:r>
        <w:rPr>
          <w:rFonts w:ascii="宋体" w:hAnsi="宋体" w:eastAsia="宋体"/>
          <w:b w:val="0"/>
          <w:sz w:val="24"/>
        </w:rPr>
        <w:t>图左侧为望、闻、问、切四类输入，中间为图像编码器、语音/波形编码器、文本编码器和脉象编码器，随后进入证候共享表示空间。右侧包括证候预测、辨证解释、治法建议和不确定性输出。图底部设置数据质量控制、模态缺失提示和专家复核通道。该图强调多模态模型必须同时输出预测结果与质量控制信息。</w:t>
      </w:r>
    </w:p>
    <w:p>
      <w:pPr>
        <w:pStyle w:val="Heading4"/>
      </w:pPr>
      <w:r>
        <w:rPr>
          <w:rFonts w:ascii="黑体" w:hAnsi="黑体" w:eastAsia="黑体"/>
          <w:b/>
          <w:sz w:val="24"/>
        </w:rPr>
        <w:t>（八）科学发现AI、隐私计算与边缘部署：支撑中医药科研新范式</w:t>
      </w:r>
    </w:p>
    <w:p>
      <w:pPr>
        <w:spacing w:line="360" w:lineRule="auto" w:after="60"/>
        <w:ind w:firstLine="420"/>
      </w:pPr>
      <w:r>
        <w:rPr>
          <w:rFonts w:ascii="宋体" w:hAnsi="宋体" w:eastAsia="宋体"/>
          <w:b w:val="0"/>
          <w:sz w:val="24"/>
        </w:rPr>
        <w:t>生成式模型已从文本生成扩展到分子生成、网络生成和机制假说生成。在中药研究中，AI可用于中药—成分—靶点—疾病关系挖掘、中西药相互作用预测、复方作用机制假说构建、候选分子筛选和药效物质基础研究。该方向的定位应当明确：AI是科研假说生成与证据整合工具，不是实验结论的替代者。所有由模型生成的候选成分、靶点和机制链条，均需通过药理实验、组学验证或临床研究进一步确认。</w:t>
      </w:r>
    </w:p>
    <w:p>
      <w:pPr>
        <w:spacing w:line="360" w:lineRule="auto" w:after="60"/>
        <w:ind w:firstLine="420"/>
      </w:pPr>
      <w:r>
        <w:rPr>
          <w:rFonts w:ascii="宋体" w:hAnsi="宋体" w:eastAsia="宋体"/>
          <w:b w:val="0"/>
          <w:sz w:val="24"/>
        </w:rPr>
        <w:t>中医药数据普遍具有隐私敏感、样本分散、机构间标准不一等特点。联邦学习、隐私计算和边缘部署可为多中心协作提供技术基础。联邦学习允许各机构在数据不出域的条件下共同训练模型；隐私计算用于降低敏感信息泄露风险；边缘部署使基层医疗机构能够在本地使用小而专的模型。三者结合后，可形成“中心知识基座—机构本地模型—安全参数更新—持续评测监测”的协作网络。</w:t>
      </w:r>
    </w:p>
    <w:p>
      <w:pPr>
        <w:pStyle w:val="Heading4"/>
      </w:pPr>
      <w:r>
        <w:rPr>
          <w:rFonts w:ascii="黑体" w:hAnsi="黑体" w:eastAsia="黑体"/>
          <w:b/>
          <w:sz w:val="24"/>
        </w:rPr>
        <w:t>（九）生成式仿真与真实世界证据：方法学工具的新角色</w:t>
      </w:r>
    </w:p>
    <w:p>
      <w:pPr>
        <w:spacing w:line="360" w:lineRule="auto" w:after="60"/>
        <w:ind w:firstLine="420"/>
      </w:pPr>
      <w:r>
        <w:rPr>
          <w:rFonts w:ascii="宋体" w:hAnsi="宋体" w:eastAsia="宋体"/>
          <w:b w:val="0"/>
          <w:sz w:val="24"/>
        </w:rPr>
        <w:t>生成式大模型还可作为研究方法工具，用于构建虚拟病例、模拟医患对话、辅助研究方案设计和真实世界研究预演。与第九章真实世界证据相衔接，生成式仿真可用于训练模型、测试问诊策略、补充低风险教学场景和检验研究流程。需要严格区分仿真数据与真实证据：仿真数据可用于教学、系统测试和方法预演，不能直接替代临床真实世界数据形成疗效结论。</w:t>
      </w:r>
    </w:p>
    <w:p>
      <w:pPr>
        <w:spacing w:line="360" w:lineRule="auto" w:after="60"/>
        <w:ind w:firstLine="420"/>
      </w:pPr>
      <w:r>
        <w:rPr>
          <w:rFonts w:ascii="宋体" w:hAnsi="宋体" w:eastAsia="宋体"/>
          <w:b w:val="0"/>
          <w:sz w:val="24"/>
        </w:rPr>
        <w:t>这一方向的规范要求包括：标明合成数据来源与生成方法；防止合成病例进入真实病例库；评估仿真数据与真实数据之间的分布差异；禁止用同一模型生成数据并评价自身能力；在论文和报告中单独披露合成数据占比。上述要求体现了研究诚信，也是生成式AI进入中医药研究方法学的底线。</w:t>
      </w:r>
    </w:p>
    <w:p>
      <w:pPr>
        <w:pStyle w:val="Heading3"/>
      </w:pPr>
      <w:r>
        <w:rPr>
          <w:rFonts w:ascii="黑体" w:hAnsi="黑体" w:eastAsia="黑体"/>
          <w:b/>
          <w:sz w:val="28"/>
        </w:rPr>
        <w:t>二、下一代AI技术在中医药中的应用展望</w:t>
      </w:r>
    </w:p>
    <w:p>
      <w:pPr>
        <w:spacing w:line="360" w:lineRule="auto" w:after="60"/>
        <w:ind w:firstLine="420"/>
      </w:pPr>
      <w:r>
        <w:rPr>
          <w:rFonts w:ascii="宋体" w:hAnsi="宋体" w:eastAsia="宋体"/>
          <w:b w:val="0"/>
          <w:sz w:val="24"/>
        </w:rPr>
        <w:t>下一代AI技术在中医药中的应用将呈现三条主线。第一，模型形态从单一大语言模型转向多模态、工具增强和智能体系统。第二，研究对象从问答任务扩展到临床路径、科研流程、教育训练和产业转化。第三，评价标准从准确率扩展到可信性、安全性、可解释性、公平性和治理合规。本节将这些主线归纳为“知识基座化、推理过程化、系统智能体化、证据闭环化、部署安全化”五个方向。</w:t>
      </w:r>
    </w:p>
    <w:p>
      <w:pPr>
        <w:pStyle w:val="Heading4"/>
      </w:pPr>
      <w:r>
        <w:rPr>
          <w:rFonts w:ascii="黑体" w:hAnsi="黑体" w:eastAsia="黑体"/>
          <w:b/>
          <w:sz w:val="24"/>
        </w:rPr>
        <w:t>（一）知识基座化</w:t>
      </w:r>
    </w:p>
    <w:p>
      <w:pPr>
        <w:spacing w:line="360" w:lineRule="auto" w:after="60"/>
        <w:ind w:firstLine="420"/>
      </w:pPr>
      <w:r>
        <w:rPr>
          <w:rFonts w:ascii="宋体" w:hAnsi="宋体" w:eastAsia="宋体"/>
          <w:b w:val="0"/>
          <w:sz w:val="24"/>
        </w:rPr>
        <w:t>未来中医药大模型的竞争核心将从参数规模转向知识基座质量。高质量知识基座具有四项特征：来源清晰、术语统一、证据分级、流派可辨。研究生在设计相关课题时，应把知识基座建设视为模型工程的上游工作，而不是训练前的附属整理。没有高质量知识基座，继续预训练将放大语料噪声，RAG将检索到不可靠依据，知识图谱约束也会被错误关系污染。</w:t>
      </w:r>
    </w:p>
    <w:p>
      <w:pPr>
        <w:pStyle w:val="Heading4"/>
      </w:pPr>
      <w:r>
        <w:rPr>
          <w:rFonts w:ascii="黑体" w:hAnsi="黑体" w:eastAsia="黑体"/>
          <w:b/>
          <w:sz w:val="24"/>
        </w:rPr>
        <w:t>（二）推理过程化</w:t>
      </w:r>
    </w:p>
    <w:p>
      <w:pPr>
        <w:spacing w:line="360" w:lineRule="auto" w:after="60"/>
        <w:ind w:firstLine="420"/>
      </w:pPr>
      <w:r>
        <w:rPr>
          <w:rFonts w:ascii="宋体" w:hAnsi="宋体" w:eastAsia="宋体"/>
          <w:b w:val="0"/>
          <w:sz w:val="24"/>
        </w:rPr>
        <w:t>中医药AI的核心不在于一次性给出答案，而在于展示可检查的辨证过程。推理过程化要求模型把诊疗逻辑显式分解，并接受过程监督与安全审查。对研究生而言，这意味着数据标注不应停留在“问题—答案”层面，而应标注“症状抽取—证候依据—病机解释—治法—处方—禁忌”链条。模型评价也应从答案层评价扩展到过程层评价。</w:t>
      </w:r>
    </w:p>
    <w:p>
      <w:pPr>
        <w:pStyle w:val="Heading4"/>
      </w:pPr>
      <w:r>
        <w:rPr>
          <w:rFonts w:ascii="黑体" w:hAnsi="黑体" w:eastAsia="黑体"/>
          <w:b/>
          <w:sz w:val="24"/>
        </w:rPr>
        <w:t>（三）系统智能体化</w:t>
      </w:r>
    </w:p>
    <w:p>
      <w:pPr>
        <w:spacing w:line="360" w:lineRule="auto" w:after="60"/>
        <w:ind w:firstLine="420"/>
      </w:pPr>
      <w:r>
        <w:rPr>
          <w:rFonts w:ascii="宋体" w:hAnsi="宋体" w:eastAsia="宋体"/>
          <w:b w:val="0"/>
          <w:sz w:val="24"/>
        </w:rPr>
        <w:t>智能体化使大模型从内容生成器转变为工作流执行者。中医药科研中的文献综述、数据清洗、知识图谱构建、模型评测、图表生成和论文撰写均可被组织为智能体工作流。临床场景中的问诊补全、病历摘要、风险提示、随访提醒和患者教育也可由智能体辅助完成。系统智能体化的前提是工具调用可追踪、权限可控制、错误可恢复、人类可接管。</w:t>
      </w:r>
    </w:p>
    <w:p>
      <w:pPr>
        <w:pStyle w:val="Heading4"/>
      </w:pPr>
      <w:r>
        <w:rPr>
          <w:rFonts w:ascii="黑体" w:hAnsi="黑体" w:eastAsia="黑体"/>
          <w:b/>
          <w:sz w:val="24"/>
        </w:rPr>
        <w:t>（四）证据闭环化</w:t>
      </w:r>
    </w:p>
    <w:p>
      <w:pPr>
        <w:spacing w:line="360" w:lineRule="auto" w:after="60"/>
        <w:ind w:firstLine="420"/>
      </w:pPr>
      <w:r>
        <w:rPr>
          <w:rFonts w:ascii="宋体" w:hAnsi="宋体" w:eastAsia="宋体"/>
          <w:b w:val="0"/>
          <w:sz w:val="24"/>
        </w:rPr>
        <w:t>中医药AI不应只产生输出，还应形成证据闭环。所谓证据闭环，是指模型输出、依据来源、专家审核、临床反馈、真实世界结局和模型更新之间形成连续记录。以方药推荐为例，系统应记录推荐依据、专家是否采纳、患者疗效与不良反应、模型置信度和后续修正。只有形成证据闭环，模型才能从“静态工具”转向“可持续改进的医疗科研系统”。</w:t>
      </w:r>
    </w:p>
    <w:p>
      <w:pPr>
        <w:pStyle w:val="Heading4"/>
      </w:pPr>
      <w:r>
        <w:rPr>
          <w:rFonts w:ascii="黑体" w:hAnsi="黑体" w:eastAsia="黑体"/>
          <w:b/>
          <w:sz w:val="24"/>
        </w:rPr>
        <w:t>（五）部署安全化</w:t>
      </w:r>
    </w:p>
    <w:p>
      <w:pPr>
        <w:spacing w:line="360" w:lineRule="auto" w:after="60"/>
        <w:ind w:firstLine="420"/>
      </w:pPr>
      <w:r>
        <w:rPr>
          <w:rFonts w:ascii="宋体" w:hAnsi="宋体" w:eastAsia="宋体"/>
          <w:b w:val="0"/>
          <w:sz w:val="24"/>
        </w:rPr>
        <w:t>下一代AI的部署安全包括数据安全、模型安全、临床安全和治理安全。数据安全关注隐私保护和跨机构共享；模型安全关注幻觉、越权调用和提示攻击；临床安全关注禁忌漏检、错误建议和自动化偏见；治理安全关注责任归属、审计记录和监管合规。中医药AI进入临床和教学场景前，应建立分级部署制度：低风险场景可用于知识检索和教学辅助，中风险场景可用于病历摘要和随访建议，高风险场景如辨证处方和用药推荐必须有人类医师审核。</w:t>
      </w:r>
    </w:p>
    <w:p>
      <w:pPr>
        <w:pStyle w:val="Heading3"/>
      </w:pPr>
      <w:r>
        <w:rPr>
          <w:rFonts w:ascii="黑体" w:hAnsi="黑体" w:eastAsia="黑体"/>
          <w:b/>
          <w:sz w:val="28"/>
        </w:rPr>
        <w:t>第一节小结</w:t>
      </w:r>
    </w:p>
    <w:p>
      <w:pPr>
        <w:spacing w:line="360" w:lineRule="auto" w:after="60"/>
        <w:ind w:firstLine="420"/>
      </w:pPr>
      <w:r>
        <w:rPr>
          <w:rFonts w:ascii="宋体" w:hAnsi="宋体" w:eastAsia="宋体"/>
          <w:b w:val="0"/>
          <w:sz w:val="24"/>
        </w:rPr>
        <w:t>生成式大模型与下一代AI技术为中医药研究方法带来新的工具体系，但其价值取决于领域适配质量。继续预训练、对齐技术、参数高效微调、检索增强生成、知识图谱约束、智能体编排和多模态融合分别解决不同层面的适配问题。面向研究生的关键认识是：中医药大模型的核心工程不是“把模型接入中医药文本”，而是建立从知识基座、辨证逻辑、证据等级、安全规则到人机协同的完整方法学体系。</w:t>
      </w:r>
    </w:p>
    <w:p>
      <w:pPr>
        <w:pStyle w:val="Heading2"/>
      </w:pPr>
      <w:r>
        <w:rPr>
          <w:rFonts w:ascii="黑体" w:hAnsi="黑体" w:eastAsia="黑体"/>
          <w:b/>
          <w:sz w:val="30"/>
        </w:rPr>
        <w:t>第二节　可信AI与医疗安全：不确定性量化、鲁棒性与算法公平性</w:t>
      </w:r>
    </w:p>
    <w:p>
      <w:pPr>
        <w:pStyle w:val="Heading3"/>
      </w:pPr>
      <w:r>
        <w:rPr>
          <w:rFonts w:ascii="黑体" w:hAnsi="黑体" w:eastAsia="黑体"/>
          <w:b/>
          <w:sz w:val="28"/>
        </w:rPr>
        <w:t>本节导读</w:t>
      </w:r>
    </w:p>
    <w:p>
      <w:pPr>
        <w:spacing w:line="360" w:lineRule="auto" w:after="60"/>
        <w:ind w:firstLine="420"/>
      </w:pPr>
      <w:r>
        <w:rPr>
          <w:rFonts w:ascii="宋体" w:hAnsi="宋体" w:eastAsia="宋体"/>
          <w:b w:val="0"/>
          <w:sz w:val="24"/>
        </w:rPr>
        <w:t>上一节讨论了生成式大模型和下一代AI技术的应用前景。本节讨论这些前景成立的前提：可信与安全。医疗AI的风险不同于普通信息系统。普通问答错误通常影响信息获取效率，医疗AI错误会影响诊疗决策、患者安全和责任归属。中医药AI还叠加了辨证主观性、古今术语差异、流派差异、个体化诊疗、证据等级复杂等问题。本节从可信AI框架出发，重点讲解不确定性量化、鲁棒性和算法公平性三类技术，并将其转化为中医药研究设计中的可操作步骤。</w:t>
      </w:r>
    </w:p>
    <w:p>
      <w:pPr>
        <w:pStyle w:val="Heading3"/>
      </w:pPr>
      <w:r>
        <w:rPr>
          <w:rFonts w:ascii="黑体" w:hAnsi="黑体" w:eastAsia="黑体"/>
          <w:b/>
          <w:sz w:val="28"/>
        </w:rPr>
        <w:t>一、可信AI与医疗实践的伦理挑战</w:t>
      </w:r>
    </w:p>
    <w:p>
      <w:pPr>
        <w:pStyle w:val="Heading4"/>
      </w:pPr>
      <w:r>
        <w:rPr>
          <w:rFonts w:ascii="黑体" w:hAnsi="黑体" w:eastAsia="黑体"/>
          <w:b/>
          <w:sz w:val="24"/>
        </w:rPr>
        <w:t>（一）可信AI的基本框架</w:t>
      </w:r>
    </w:p>
    <w:p>
      <w:pPr>
        <w:spacing w:line="360" w:lineRule="auto" w:after="60"/>
        <w:ind w:firstLine="420"/>
      </w:pPr>
      <w:r>
        <w:rPr>
          <w:rFonts w:ascii="宋体" w:hAnsi="宋体" w:eastAsia="宋体"/>
          <w:b w:val="0"/>
          <w:sz w:val="24"/>
        </w:rPr>
        <w:t>可信AI不是单一指标，而是由多个相互制约的属性组成。可靠性要求模型在预期场景中稳定完成任务；安全性要求模型在异常输入、分布变化和高风险场景中避免造成伤害；透明性与可解释性要求模型输出能够被理解、追踪和审查；公平性要求模型不因地域、年龄、性别、民族、语言、流派和数据来源差异而产生系统性不利；隐私保护要求数据采集、存储、训练和共享符合最小必要原则；可问责性要求系统行为、工具调用、模型版本和人类审核记录能够追溯。</w:t>
      </w:r>
    </w:p>
    <w:p>
      <w:pPr>
        <w:spacing w:line="360" w:lineRule="auto" w:after="60"/>
        <w:ind w:firstLine="420"/>
      </w:pPr>
      <w:r>
        <w:rPr>
          <w:rFonts w:ascii="宋体" w:hAnsi="宋体" w:eastAsia="宋体"/>
          <w:b w:val="0"/>
          <w:sz w:val="24"/>
        </w:rPr>
        <w:t>国际可信AI框架为中医药AI提供了原则基础，但原则本身不能直接替代中医药场景中的方法设计。将可信原则落地，需要把抽象要求转化为数据表、模型约束、评价指标、审计日志和临床工作制度。例如，“可解释性”在中医药场景中不仅要求展示模型关注的文本片段，还要求说明证候判断依据、病机解释、治法选择和方药禁忌；“公平性”不仅关注性别和年龄，也要关注地域、民族、语言文化和中医学术流派。</w:t>
      </w:r>
    </w:p>
    <w:p>
      <w:pPr>
        <w:pStyle w:val="Heading4"/>
      </w:pPr>
      <w:r>
        <w:rPr>
          <w:rFonts w:ascii="黑体" w:hAnsi="黑体" w:eastAsia="黑体"/>
          <w:b/>
          <w:sz w:val="24"/>
        </w:rPr>
        <w:t>（二）医疗场景的高风险性与中医药特殊性</w:t>
      </w:r>
    </w:p>
    <w:p>
      <w:pPr>
        <w:spacing w:line="360" w:lineRule="auto" w:after="60"/>
        <w:ind w:firstLine="420"/>
      </w:pPr>
      <w:r>
        <w:rPr>
          <w:rFonts w:ascii="宋体" w:hAnsi="宋体" w:eastAsia="宋体"/>
          <w:b w:val="0"/>
          <w:sz w:val="24"/>
        </w:rPr>
        <w:t>医疗AI具有高风险性、责任敏感性和强监管属性。一次错误的辨证、错误的用药建议或遗漏禁忌提示，均会造成临床风险。中医药AI的特殊性进一步提高了可信门槛。</w:t>
      </w:r>
    </w:p>
    <w:p>
      <w:pPr>
        <w:spacing w:line="360" w:lineRule="auto" w:after="60"/>
        <w:ind w:firstLine="420"/>
      </w:pPr>
      <w:r>
        <w:rPr>
          <w:rFonts w:ascii="宋体" w:hAnsi="宋体" w:eastAsia="宋体"/>
          <w:b w:val="0"/>
          <w:sz w:val="24"/>
        </w:rPr>
        <w:t>第一，辨证标签具有主观性。同一患者的舌象、脉象和症状组合在不同医师处会得到不同辨证结论。该问题要求研究者在标注阶段报告专家人数、一致性指标和分歧处理规则。</w:t>
      </w:r>
    </w:p>
    <w:p>
      <w:pPr>
        <w:spacing w:line="360" w:lineRule="auto" w:after="60"/>
        <w:ind w:firstLine="420"/>
      </w:pPr>
      <w:r>
        <w:rPr>
          <w:rFonts w:ascii="宋体" w:hAnsi="宋体" w:eastAsia="宋体"/>
          <w:b w:val="0"/>
          <w:sz w:val="24"/>
        </w:rPr>
        <w:t>第二，个体化诊疗与标准化评价之间存在张力。中医强调同病异治、异病同治，AI评测强调可重复和可比较。研究设计需要同时保留个体化信息并建立标准化评价框架。</w:t>
      </w:r>
    </w:p>
    <w:p>
      <w:pPr>
        <w:spacing w:line="360" w:lineRule="auto" w:after="60"/>
        <w:ind w:firstLine="420"/>
      </w:pPr>
      <w:r>
        <w:rPr>
          <w:rFonts w:ascii="宋体" w:hAnsi="宋体" w:eastAsia="宋体"/>
          <w:b w:val="0"/>
          <w:sz w:val="24"/>
        </w:rPr>
        <w:t>第三，知识证据等级差异显著。经典文献、经验医案、药典标准、临床试验和真实世界研究各有价值，也各有适用范围。模型调用知识时应区分来源与证据等级，不能把不同证据形式视为同等强度。</w:t>
      </w:r>
    </w:p>
    <w:p>
      <w:pPr>
        <w:spacing w:line="360" w:lineRule="auto" w:after="60"/>
        <w:ind w:firstLine="420"/>
      </w:pPr>
      <w:r>
        <w:rPr>
          <w:rFonts w:ascii="宋体" w:hAnsi="宋体" w:eastAsia="宋体"/>
          <w:b w:val="0"/>
          <w:sz w:val="24"/>
        </w:rPr>
        <w:t>第四，跨文化与跨地域泛化存在风险。中医药术语和临床经验具有语言、文化和地域背景。训练数据若偏向某一来源，模型将在其他来源数据上产生性能下降和解释偏差。</w:t>
      </w:r>
    </w:p>
    <w:p>
      <w:pPr>
        <w:pStyle w:val="Heading4"/>
      </w:pPr>
      <w:r>
        <w:rPr>
          <w:rFonts w:ascii="黑体" w:hAnsi="黑体" w:eastAsia="黑体"/>
          <w:b/>
          <w:sz w:val="24"/>
        </w:rPr>
        <w:t>（三）可信AI在研究全流程中的落点</w:t>
      </w:r>
    </w:p>
    <w:p>
      <w:pPr>
        <w:spacing w:line="360" w:lineRule="auto" w:after="60"/>
        <w:ind w:firstLine="420"/>
      </w:pPr>
      <w:r>
        <w:rPr>
          <w:rFonts w:ascii="宋体" w:hAnsi="宋体" w:eastAsia="宋体"/>
          <w:b w:val="0"/>
          <w:sz w:val="24"/>
        </w:rPr>
        <w:t>表10-2　中医药可信AI的全流程落点（建议绘制为五行表格）</w:t>
      </w:r>
    </w:p>
    <w:p>
      <w:pPr>
        <w:spacing w:line="360" w:lineRule="auto" w:after="60"/>
        <w:ind w:firstLine="420"/>
      </w:pPr>
      <w:r>
        <w:rPr>
          <w:rFonts w:ascii="宋体" w:hAnsi="宋体" w:eastAsia="宋体"/>
          <w:b w:val="0"/>
          <w:sz w:val="24"/>
        </w:rPr>
        <w:t>第一行“数据环节”：术语标准化、标注一致性、敏感信息脱敏、证据等级标注、数据来源记录。第二行“建模环节”：RAG、知识图谱约束、禁忌规则库、参数高效微调、模型校准。第三行“评测环节”：准确率、幻觉率、错误信息识别、置信度校准、分布外泛化、公平性分层评价。第四行“部署环节”：人类审核、权限控制、解释输出、日志记录、版本管理。第五行“监测环节”：性能漂移监测、不良事件记录、用户反馈、模型再训练与监管报告。</w:t>
      </w:r>
    </w:p>
    <w:p>
      <w:pPr>
        <w:spacing w:line="360" w:lineRule="auto" w:after="60"/>
        <w:ind w:firstLine="420"/>
      </w:pPr>
      <w:r>
        <w:rPr>
          <w:rFonts w:ascii="宋体" w:hAnsi="宋体" w:eastAsia="宋体"/>
          <w:b w:val="0"/>
          <w:sz w:val="24"/>
        </w:rPr>
        <w:t>该表说明，可信AI不是模型训练完成后附加的检查项，而是贯穿数据、建模、评测、部署和监测的系统工程。研究生在设计课题时，应在开题阶段就明确可信性指标，而不是在论文撰写阶段补充伦理讨论。</w:t>
      </w:r>
    </w:p>
    <w:p>
      <w:pPr>
        <w:pStyle w:val="Heading3"/>
      </w:pPr>
      <w:r>
        <w:rPr>
          <w:rFonts w:ascii="黑体" w:hAnsi="黑体" w:eastAsia="黑体"/>
          <w:b/>
          <w:sz w:val="28"/>
        </w:rPr>
        <w:t>二、不确定性量化、鲁棒性与算法公平性探索</w:t>
      </w:r>
    </w:p>
    <w:p>
      <w:pPr>
        <w:pStyle w:val="Heading4"/>
      </w:pPr>
      <w:r>
        <w:rPr>
          <w:rFonts w:ascii="黑体" w:hAnsi="黑体" w:eastAsia="黑体"/>
          <w:b/>
          <w:sz w:val="24"/>
        </w:rPr>
        <w:t>（一）不确定性量化：让模型表达“把握程度”</w:t>
      </w:r>
    </w:p>
    <w:p>
      <w:pPr>
        <w:spacing w:line="360" w:lineRule="auto" w:after="60"/>
        <w:ind w:firstLine="420"/>
      </w:pPr>
      <w:r>
        <w:rPr>
          <w:rFonts w:ascii="宋体" w:hAnsi="宋体" w:eastAsia="宋体"/>
          <w:b w:val="0"/>
          <w:sz w:val="24"/>
        </w:rPr>
        <w:t>不确定性量化旨在使模型不仅输出结果，还输出对结果的把握程度。中医药AI尤其需要不确定性量化，原因有三点。第一，中医药数据存在弱标签、小样本和分布不均。第二，辨证标签包含专家主观判断。第三，大模型在不熟悉或信息不足的场景中会生成看似流畅但依据不足的回答。若系统能够识别低置信输出，就能触发人工复核、拒答或补充问诊。</w:t>
      </w:r>
    </w:p>
    <w:p>
      <w:pPr>
        <w:spacing w:line="360" w:lineRule="auto" w:after="60"/>
        <w:ind w:firstLine="420"/>
      </w:pPr>
      <w:r>
        <w:rPr>
          <w:rFonts w:ascii="宋体" w:hAnsi="宋体" w:eastAsia="宋体"/>
          <w:b w:val="0"/>
          <w:sz w:val="24"/>
        </w:rPr>
        <w:t>不确定性通常分为偶然不确定性和认知不确定性。偶然不确定性来自数据本身的噪声和模糊，例如舌象图像光照不足、脉象信号采集不稳定、同一症状表达存在歧义。认知不确定性来自模型知识不足，例如训练集中罕见证型样本过少或某类中西药相互作用证据缺失。二者的处理策略不同：偶然不确定性要求改善采集质量、增加重复测量和专家共识；认知不确定性要求补充数据、主动学习或限定模型适用范围。</w:t>
      </w:r>
    </w:p>
    <w:p>
      <w:pPr>
        <w:spacing w:line="360" w:lineRule="auto" w:after="60"/>
        <w:ind w:firstLine="420"/>
      </w:pPr>
      <w:r>
        <w:rPr>
          <w:rFonts w:ascii="宋体" w:hAnsi="宋体" w:eastAsia="宋体"/>
          <w:b w:val="0"/>
          <w:sz w:val="24"/>
        </w:rPr>
        <w:t>关键推导：预测不确定性的基本表达</w:t>
      </w:r>
    </w:p>
    <w:p>
      <w:pPr>
        <w:spacing w:line="360" w:lineRule="auto" w:after="60"/>
        <w:ind w:firstLine="420"/>
      </w:pPr>
      <w:r>
        <w:rPr>
          <w:rFonts w:ascii="宋体" w:hAnsi="宋体" w:eastAsia="宋体"/>
          <w:b w:val="0"/>
          <w:sz w:val="24"/>
        </w:rPr>
        <w:t>给定输入 \(x\) 和训练数据 \(D\)，贝叶斯视角下的预测分布可写为：</w:t>
      </w:r>
    </w:p>
    <w:p>
      <w:pPr>
        <w:spacing w:line="360" w:lineRule="auto" w:after="60"/>
        <w:ind w:firstLine="0"/>
      </w:pPr>
      <w:r>
        <w:rPr>
          <w:rFonts w:ascii="宋体" w:hAnsi="宋体" w:eastAsia="宋体"/>
          <w:b w:val="0"/>
          <w:sz w:val="24"/>
        </w:rPr>
        <w:t>\[</w:t>
      </w:r>
    </w:p>
    <w:p>
      <w:pPr>
        <w:spacing w:line="360" w:lineRule="auto" w:after="60"/>
        <w:ind w:firstLine="0"/>
      </w:pPr>
      <w:r>
        <w:rPr>
          <w:rFonts w:ascii="宋体" w:hAnsi="宋体" w:eastAsia="宋体"/>
          <w:b w:val="0"/>
          <w:sz w:val="24"/>
        </w:rPr>
        <w:t>p(y|x,D)=\int p(y|x,\theta)p(\theta|D)d\theta</w:t>
      </w:r>
    </w:p>
    <w:p>
      <w:pPr>
        <w:spacing w:line="360" w:lineRule="auto" w:after="60"/>
        <w:ind w:firstLine="0"/>
      </w:pPr>
      <w:r>
        <w:rPr>
          <w:rFonts w:ascii="宋体" w:hAnsi="宋体" w:eastAsia="宋体"/>
          <w:b w:val="0"/>
          <w:sz w:val="24"/>
        </w:rPr>
        <w:t>\]</w:t>
      </w:r>
    </w:p>
    <w:p>
      <w:pPr>
        <w:spacing w:line="360" w:lineRule="auto" w:after="60"/>
        <w:ind w:firstLine="420"/>
      </w:pPr>
      <w:r>
        <w:rPr>
          <w:rFonts w:ascii="宋体" w:hAnsi="宋体" w:eastAsia="宋体"/>
          <w:b w:val="0"/>
          <w:sz w:val="24"/>
        </w:rPr>
        <w:t>其中，\(\theta\) 表示模型参数，\(p(\theta|D)\) 表示在训练数据给定时参数的后验分布。该式包含两层含义。第一，若不同参数取值均给出相近结果，模型认知不确定性较低。第二，若参数取值不同导致输出分歧较大，说明模型对该样本缺乏稳定判断。实际深度学习中难以精确计算该积分，因此常采用蒙特卡洛Dropout、深度集成等近似方法。</w:t>
      </w:r>
    </w:p>
    <w:p>
      <w:pPr>
        <w:spacing w:line="360" w:lineRule="auto" w:after="60"/>
        <w:ind w:firstLine="420"/>
      </w:pPr>
      <w:r>
        <w:rPr>
          <w:rFonts w:ascii="宋体" w:hAnsi="宋体" w:eastAsia="宋体"/>
          <w:b w:val="0"/>
          <w:sz w:val="24"/>
        </w:rPr>
        <w:t>蒙特卡洛Dropout的步骤</w:t>
      </w:r>
    </w:p>
    <w:p>
      <w:pPr>
        <w:spacing w:line="360" w:lineRule="auto" w:after="60"/>
        <w:ind w:firstLine="420"/>
      </w:pPr>
      <w:r>
        <w:rPr>
          <w:rFonts w:ascii="宋体" w:hAnsi="宋体" w:eastAsia="宋体"/>
          <w:b w:val="0"/>
          <w:sz w:val="24"/>
        </w:rPr>
        <w:t>第一，在推理阶段保留Dropout随机失活；第二，对同一输入运行 \(T\) 次，得到 \(T\) 个输出；第三，计算平均预测作为最终结果；第四，计算输出方差或熵作为不确定性。用于中医辨证时，若同一病例多次推理得到不同证候，系统应提示“辨证不确定，需要补充四诊信息或专家复核”。</w:t>
      </w:r>
    </w:p>
    <w:p>
      <w:pPr>
        <w:spacing w:line="360" w:lineRule="auto" w:after="60"/>
        <w:ind w:firstLine="420"/>
      </w:pPr>
      <w:r>
        <w:rPr>
          <w:rFonts w:ascii="宋体" w:hAnsi="宋体" w:eastAsia="宋体"/>
          <w:b w:val="0"/>
          <w:sz w:val="24"/>
        </w:rPr>
        <w:t>模型校准与ECE指标</w:t>
      </w:r>
    </w:p>
    <w:p>
      <w:pPr>
        <w:spacing w:line="360" w:lineRule="auto" w:after="60"/>
        <w:ind w:firstLine="420"/>
      </w:pPr>
      <w:r>
        <w:rPr>
          <w:rFonts w:ascii="宋体" w:hAnsi="宋体" w:eastAsia="宋体"/>
          <w:b w:val="0"/>
          <w:sz w:val="24"/>
        </w:rPr>
        <w:t>模型校准关注“模型给出的置信度是否与真实正确率一致”。将预测按置信度划分为 \(M\) 个区间，第 \(m\) 个区间的样本集合为 \(B_m\)，则期望校准误差可写为：</w:t>
      </w:r>
    </w:p>
    <w:p>
      <w:pPr>
        <w:spacing w:line="360" w:lineRule="auto" w:after="60"/>
        <w:ind w:firstLine="0"/>
      </w:pPr>
      <w:r>
        <w:rPr>
          <w:rFonts w:ascii="宋体" w:hAnsi="宋体" w:eastAsia="宋体"/>
          <w:b w:val="0"/>
          <w:sz w:val="24"/>
        </w:rPr>
        <w:t>\[</w:t>
      </w:r>
    </w:p>
    <w:p>
      <w:pPr>
        <w:spacing w:line="360" w:lineRule="auto" w:after="60"/>
        <w:ind w:firstLine="0"/>
      </w:pPr>
      <w:r>
        <w:rPr>
          <w:rFonts w:ascii="宋体" w:hAnsi="宋体" w:eastAsia="宋体"/>
          <w:b w:val="0"/>
          <w:sz w:val="24"/>
        </w:rPr>
        <w:t>ECE=\sum_{m=1}^{M}\frac{|B_m|}{n}\left|acc(B_m)-conf(B_m)\right|</w:t>
      </w:r>
    </w:p>
    <w:p>
      <w:pPr>
        <w:spacing w:line="360" w:lineRule="auto" w:after="60"/>
        <w:ind w:firstLine="0"/>
      </w:pPr>
      <w:r>
        <w:rPr>
          <w:rFonts w:ascii="宋体" w:hAnsi="宋体" w:eastAsia="宋体"/>
          <w:b w:val="0"/>
          <w:sz w:val="24"/>
        </w:rPr>
        <w:t>\]</w:t>
      </w:r>
    </w:p>
    <w:p>
      <w:pPr>
        <w:spacing w:line="360" w:lineRule="auto" w:after="60"/>
        <w:ind w:firstLine="420"/>
      </w:pPr>
      <w:r>
        <w:rPr>
          <w:rFonts w:ascii="宋体" w:hAnsi="宋体" w:eastAsia="宋体"/>
          <w:b w:val="0"/>
          <w:sz w:val="24"/>
        </w:rPr>
        <w:t>其中，\(acc(B_m)\) 是该区间真实准确率，\(conf(B_m)\) 是该区间平均置信度。若模型对某类证候给出90%置信度，但真实正确率只有60%，则该模型存在过度自信。中医药大模型在进入临床辅助前，应报告校准曲线和ECE，而不应只报告平均准确率。</w:t>
      </w:r>
    </w:p>
    <w:p>
      <w:pPr>
        <w:spacing w:line="360" w:lineRule="auto" w:after="60"/>
        <w:ind w:firstLine="420"/>
      </w:pPr>
      <w:r>
        <w:rPr>
          <w:rFonts w:ascii="宋体" w:hAnsi="宋体" w:eastAsia="宋体"/>
          <w:b w:val="0"/>
          <w:sz w:val="24"/>
        </w:rPr>
        <w:t>共形预测的基本步骤</w:t>
      </w:r>
    </w:p>
    <w:p>
      <w:pPr>
        <w:spacing w:line="360" w:lineRule="auto" w:after="60"/>
        <w:ind w:firstLine="420"/>
      </w:pPr>
      <w:r>
        <w:rPr>
          <w:rFonts w:ascii="宋体" w:hAnsi="宋体" w:eastAsia="宋体"/>
          <w:b w:val="0"/>
          <w:sz w:val="24"/>
        </w:rPr>
        <w:t>第一，将数据划分为训练集、校准集和测试集。第二，用训练集训练模型。第三，在校准集上计算非一致性分数，例如“1减去正确类别概率”。第四，取校准分数的指定分位数作为阈值。第五，对新样本输出预测集合，而不是单一标签。若某病例的预测集合包含“肝郁脾虚、肝胃不和、脾胃湿热”三个候选证型，系统应提示证候边界不清，并建议补充关键症状。共形预测的价值在于提供覆盖率保证，适合高风险医疗任务中的选择性输出。</w:t>
      </w:r>
    </w:p>
    <w:p>
      <w:pPr>
        <w:spacing w:line="360" w:lineRule="auto" w:after="60"/>
        <w:ind w:firstLine="420"/>
      </w:pPr>
      <w:r>
        <w:rPr>
          <w:rFonts w:ascii="宋体" w:hAnsi="宋体" w:eastAsia="宋体"/>
          <w:b w:val="0"/>
          <w:sz w:val="24"/>
        </w:rPr>
        <w:t>案例10-3　辨证模型的低置信触发机制</w:t>
      </w:r>
    </w:p>
    <w:p>
      <w:pPr>
        <w:spacing w:line="360" w:lineRule="auto" w:after="60"/>
        <w:ind w:firstLine="420"/>
      </w:pPr>
      <w:r>
        <w:rPr>
          <w:rFonts w:ascii="宋体" w:hAnsi="宋体" w:eastAsia="宋体"/>
          <w:b w:val="0"/>
          <w:sz w:val="24"/>
        </w:rPr>
        <w:t>某模型用于门诊病历摘要后的证候提示。系统对每个病例输出前三个证候及置信度，并设置低置信阈值。当最高置信度低于阈值，或前三个证候之间差距过小，系统不输出确定性结论，而是提示医师补充舌象、脉象和睡眠、食欲、二便等信息。该机制的价值在于把不确定性转化为临床工作流中的“补充信息”和“人工复核”。</w:t>
      </w:r>
    </w:p>
    <w:p>
      <w:pPr>
        <w:pStyle w:val="Heading4"/>
      </w:pPr>
      <w:r>
        <w:rPr>
          <w:rFonts w:ascii="黑体" w:hAnsi="黑体" w:eastAsia="黑体"/>
          <w:b/>
          <w:sz w:val="24"/>
        </w:rPr>
        <w:t>（二）鲁棒性：让模型经受扰动、分布变化与异常输入</w:t>
      </w:r>
    </w:p>
    <w:p>
      <w:pPr>
        <w:spacing w:line="360" w:lineRule="auto" w:after="60"/>
        <w:ind w:firstLine="420"/>
      </w:pPr>
      <w:r>
        <w:rPr>
          <w:rFonts w:ascii="宋体" w:hAnsi="宋体" w:eastAsia="宋体"/>
          <w:b w:val="0"/>
          <w:sz w:val="24"/>
        </w:rPr>
        <w:t>鲁棒性指模型在输入扰动、环境变化和异常样本下保持稳定可靠的能力。中医药AI的鲁棒性问题主要来自三类扰动。第一，分布偏移，即训练数据与部署数据不同。例如，训练数据来自三甲医院，部署对象为基层门诊；训练医案来自某一流派，应用于其他流派。第二，对抗扰动，即输入被人为改变以诱导错误输出。例如，在问诊文本中加入错误概念、伪造药物名称或误导性症状描述。第三，数据质量波动，即舌象图像光照、脉象设备、文本记录格式和标注习惯发生变化。</w:t>
      </w:r>
    </w:p>
    <w:p>
      <w:pPr>
        <w:spacing w:line="360" w:lineRule="auto" w:after="60"/>
        <w:ind w:firstLine="420"/>
      </w:pPr>
      <w:r>
        <w:rPr>
          <w:rFonts w:ascii="宋体" w:hAnsi="宋体" w:eastAsia="宋体"/>
          <w:b w:val="0"/>
          <w:sz w:val="24"/>
        </w:rPr>
        <w:t>鲁棒性评估不应停留在标准测试集准确率。研究生可从以下步骤设计鲁棒性实验。第一，建立标准测试集和扰动测试集。第二，对症状表述、术语同义词、缺失四诊信息、方言化表达、古今术语混用、伪造实体等因素分别构造扰动。第三，比较模型在原始样本和扰动样本上的性能下降幅度。第四，记录模型是否能拒绝捏造概念、是否能提示信息不足、是否能保持用药禁忌。第五，对不同地域、年龄、性别、病种和流派进行分层分析。</w:t>
      </w:r>
    </w:p>
    <w:p>
      <w:pPr>
        <w:spacing w:line="360" w:lineRule="auto" w:after="60"/>
        <w:ind w:firstLine="420"/>
      </w:pPr>
      <w:r>
        <w:rPr>
          <w:rFonts w:ascii="宋体" w:hAnsi="宋体" w:eastAsia="宋体"/>
          <w:b w:val="0"/>
          <w:sz w:val="24"/>
        </w:rPr>
        <w:t>表10-3　中医药AI鲁棒性测试场景（建议绘制为五列表格）</w:t>
      </w:r>
    </w:p>
    <w:p>
      <w:pPr>
        <w:spacing w:line="360" w:lineRule="auto" w:after="60"/>
        <w:ind w:firstLine="420"/>
      </w:pPr>
      <w:r>
        <w:rPr>
          <w:rFonts w:ascii="宋体" w:hAnsi="宋体" w:eastAsia="宋体"/>
          <w:b w:val="0"/>
          <w:sz w:val="24"/>
        </w:rPr>
        <w:t>第一列“扰动类型”：同义改写、信息缺失、伪造实体、跨地域数据、设备差异。第二列“示例”：将“胃脘胀满”改写为“胃部发胀”，删除舌脉信息，加入不存在的中药名，将南方湿热地区病例用于北方人群测试，使用不同舌诊设备。第三列“观察指标”：准确率下降、幻觉率、拒识率、禁忌漏检率。第四列“风险含义”：语言脆弱、信息不足仍强行判断、对错误信息缺乏辨别、跨域泛化不足、设备依赖。第五列“改进方法”：数据增广、RAG、知识图谱约束、分布外检测、设备标准化。</w:t>
      </w:r>
    </w:p>
    <w:p>
      <w:pPr>
        <w:spacing w:line="360" w:lineRule="auto" w:after="60"/>
        <w:ind w:firstLine="420"/>
      </w:pPr>
      <w:r>
        <w:rPr>
          <w:rFonts w:ascii="宋体" w:hAnsi="宋体" w:eastAsia="宋体"/>
          <w:b w:val="0"/>
          <w:sz w:val="24"/>
        </w:rPr>
        <w:t>鲁棒性提升可采用多种方法。数据层面可进行症状同义改写、四诊缺失模拟、跨机构采样和难例扩充。模型层面可采用对抗训练、深度集成、分布外检测和置信度校准。知识层面可通过知识图谱约束和禁忌规则库限制危险输出。系统层面可设置智能体复核、人工接管和日志审计。鲁棒性研究的核心不是让模型在所有扰动下都给出答案，而是让模型在不可靠场景中知道停止、询问、检索或转交人类。</w:t>
      </w:r>
    </w:p>
    <w:p>
      <w:pPr>
        <w:pStyle w:val="Heading4"/>
      </w:pPr>
      <w:r>
        <w:rPr>
          <w:rFonts w:ascii="黑体" w:hAnsi="黑体" w:eastAsia="黑体"/>
          <w:b/>
          <w:sz w:val="24"/>
        </w:rPr>
        <w:t>（三）算法公平性：让模型避免系统性不利</w:t>
      </w:r>
    </w:p>
    <w:p>
      <w:pPr>
        <w:spacing w:line="360" w:lineRule="auto" w:after="60"/>
        <w:ind w:firstLine="420"/>
      </w:pPr>
      <w:r>
        <w:rPr>
          <w:rFonts w:ascii="宋体" w:hAnsi="宋体" w:eastAsia="宋体"/>
          <w:b w:val="0"/>
          <w:sz w:val="24"/>
        </w:rPr>
        <w:t>算法公平性关注模型是否对不同群体产生系统性差异。中医药AI的公平性不仅包括通用医疗AI关注的年龄、性别、民族和社会经济因素，还包括地域、语言文化、流派、医疗机构级别和数据采集条件。若训练数据主要来自城市三甲医院，模型在基层、少数民族地区或老年人群中的表现就需要单独评估。</w:t>
      </w:r>
    </w:p>
    <w:p>
      <w:pPr>
        <w:spacing w:line="360" w:lineRule="auto" w:after="60"/>
        <w:ind w:firstLine="420"/>
      </w:pPr>
      <w:r>
        <w:rPr>
          <w:rFonts w:ascii="宋体" w:hAnsi="宋体" w:eastAsia="宋体"/>
          <w:b w:val="0"/>
          <w:sz w:val="24"/>
        </w:rPr>
        <w:t>公平性问题的来源包括四类。第一，数据代表性不足，某些地区、病种、年龄段或流派样本过少。第二，标注偏倚，专家经验差异被固化为模型规则。第三，语言文化偏倚，通用模型的预训练语料未充分覆盖中医药表达和中文医学语境。第四，采集偏倚，不同设备、光照、问诊模板和电子病历系统对某些人群更不友好。</w:t>
      </w:r>
    </w:p>
    <w:p>
      <w:pPr>
        <w:spacing w:line="360" w:lineRule="auto" w:after="60"/>
        <w:ind w:firstLine="420"/>
      </w:pPr>
      <w:r>
        <w:rPr>
          <w:rFonts w:ascii="宋体" w:hAnsi="宋体" w:eastAsia="宋体"/>
          <w:b w:val="0"/>
          <w:sz w:val="24"/>
        </w:rPr>
        <w:t>常用公平性指标包括群体错误率差异、机会均等、校准公平和预测值公平。以机会均等为例，若 \(A\) 表示群体属性，\(\hat{Y}\) 表示模型预测，\(Y\) 表示真实标签，则机会均等要求在真实阳性样本中，各群体被正确识别的概率接近：</w:t>
      </w:r>
    </w:p>
    <w:p>
      <w:pPr>
        <w:spacing w:line="360" w:lineRule="auto" w:after="60"/>
        <w:ind w:firstLine="0"/>
      </w:pPr>
      <w:r>
        <w:rPr>
          <w:rFonts w:ascii="宋体" w:hAnsi="宋体" w:eastAsia="宋体"/>
          <w:b w:val="0"/>
          <w:sz w:val="24"/>
        </w:rPr>
        <w:t>\[</w:t>
      </w:r>
    </w:p>
    <w:p>
      <w:pPr>
        <w:spacing w:line="360" w:lineRule="auto" w:after="60"/>
        <w:ind w:firstLine="0"/>
      </w:pPr>
      <w:r>
        <w:rPr>
          <w:rFonts w:ascii="宋体" w:hAnsi="宋体" w:eastAsia="宋体"/>
          <w:b w:val="0"/>
          <w:sz w:val="24"/>
        </w:rPr>
        <w:t>P(\hat{Y}=1|Y=1,A=a)=P(\hat{Y}=1|Y=1,A=b)</w:t>
      </w:r>
    </w:p>
    <w:p>
      <w:pPr>
        <w:spacing w:line="360" w:lineRule="auto" w:after="60"/>
        <w:ind w:firstLine="0"/>
      </w:pPr>
      <w:r>
        <w:rPr>
          <w:rFonts w:ascii="宋体" w:hAnsi="宋体" w:eastAsia="宋体"/>
          <w:b w:val="0"/>
          <w:sz w:val="24"/>
        </w:rPr>
        <w:t>\]</w:t>
      </w:r>
    </w:p>
    <w:p>
      <w:pPr>
        <w:spacing w:line="360" w:lineRule="auto" w:after="60"/>
        <w:ind w:firstLine="420"/>
      </w:pPr>
      <w:r>
        <w:rPr>
          <w:rFonts w:ascii="宋体" w:hAnsi="宋体" w:eastAsia="宋体"/>
          <w:b w:val="0"/>
          <w:sz w:val="24"/>
        </w:rPr>
        <w:t>在中医药场景中，\(A\) 可代表地域、年龄段、民族、语言文化或流派来源。若模型对某一地区患者的某类证候识别率明显低于其他地区，就需要追溯数据代表性、标注标准和模型特征学习过程。</w:t>
      </w:r>
    </w:p>
    <w:p>
      <w:pPr>
        <w:spacing w:line="360" w:lineRule="auto" w:after="60"/>
        <w:ind w:firstLine="420"/>
      </w:pPr>
      <w:r>
        <w:rPr>
          <w:rFonts w:ascii="宋体" w:hAnsi="宋体" w:eastAsia="宋体"/>
          <w:b w:val="0"/>
          <w:sz w:val="24"/>
        </w:rPr>
        <w:t>公平性存在不可兼得现象。不同公平性定义在群体基础发生率不同的条件下难以同时满足。例如，要求各群体校准一致与要求各群体错误率完全一致，常会出现冲突。教材在此强调一个研究素养：公平性不是纯技术调参问题，而是技术、伦理与临床价值共同决定的问题。研究者必须说明选择何种公平性指标、牺牲何种指标、依据何种医学与伦理理由作出取舍。</w:t>
      </w:r>
    </w:p>
    <w:p>
      <w:pPr>
        <w:spacing w:line="360" w:lineRule="auto" w:after="60"/>
        <w:ind w:firstLine="420"/>
      </w:pPr>
      <w:r>
        <w:rPr>
          <w:rFonts w:ascii="宋体" w:hAnsi="宋体" w:eastAsia="宋体"/>
          <w:b w:val="0"/>
          <w:sz w:val="24"/>
        </w:rPr>
        <w:t>中医药AI还存在一个独特问题：流派公平性。若模型训练数据主要来自某一学术流派，模型将倾向于该流派的辨证和处方习惯。流派传承是中医药的重要特征，模型不应以单一流派覆盖全部中医知识。可行做法是在数据层面保留流派标签，在模型层面支持流派条件化输出，在评价层面按流派分层报告性能，在教学层面向学生说明不同流派的适用范围与差异。</w:t>
      </w:r>
    </w:p>
    <w:p>
      <w:pPr>
        <w:pStyle w:val="Heading4"/>
      </w:pPr>
      <w:r>
        <w:rPr>
          <w:rFonts w:ascii="黑体" w:hAnsi="黑体" w:eastAsia="黑体"/>
          <w:b/>
          <w:sz w:val="24"/>
        </w:rPr>
        <w:t>（四）可信AI的整合设计：从指标集合到安全工程</w:t>
      </w:r>
    </w:p>
    <w:p>
      <w:pPr>
        <w:spacing w:line="360" w:lineRule="auto" w:after="60"/>
        <w:ind w:firstLine="420"/>
      </w:pPr>
      <w:r>
        <w:rPr>
          <w:rFonts w:ascii="宋体" w:hAnsi="宋体" w:eastAsia="宋体"/>
          <w:b w:val="0"/>
          <w:sz w:val="24"/>
        </w:rPr>
        <w:t>不确定性量化、鲁棒性和公平性不是孤立模块，而应共同组成安全工程。一个面向中医药临床辅助的大模型系统至少应包含六个安全层。第一，数据治理层，负责术语标准化、脱敏、证据分级和代表性评估。第二，模型训练层，负责领域适配、校准和对抗样本训练。第三，知识约束层，负责RAG、知识图谱、药物禁忌和指南调用。第四，输出审查层，负责低置信拒答、危险建议拦截和解释生成。第五，人机协同层，负责医师审核、患者知情和责任归属。第六，部署监测层，负责漂移监测、不良事件记录、版本回滚和监管报告。</w:t>
      </w:r>
    </w:p>
    <w:p>
      <w:pPr>
        <w:spacing w:line="360" w:lineRule="auto" w:after="60"/>
        <w:ind w:firstLine="420"/>
      </w:pPr>
      <w:r>
        <w:rPr>
          <w:rFonts w:ascii="宋体" w:hAnsi="宋体" w:eastAsia="宋体"/>
          <w:b w:val="0"/>
          <w:sz w:val="24"/>
        </w:rPr>
        <w:t>图10-3　中医药可信AI安全工程闭环（图示说明）</w:t>
      </w:r>
    </w:p>
    <w:p>
      <w:pPr>
        <w:spacing w:line="360" w:lineRule="auto" w:after="60"/>
        <w:ind w:firstLine="420"/>
      </w:pPr>
      <w:r>
        <w:rPr>
          <w:rFonts w:ascii="宋体" w:hAnsi="宋体" w:eastAsia="宋体"/>
          <w:b w:val="0"/>
          <w:sz w:val="24"/>
        </w:rPr>
        <w:t>图中心为“中医药AI模型”，外层按顺时针排列数据治理、领域适配、知识约束、可信评测、临床部署、持续监测六个环节。每个环节均向审计日志汇聚，审计日志再反馈到模型更新与监管报告。图的重点是说明可信AI不是一次性评测，而是持续闭环。</w:t>
      </w:r>
    </w:p>
    <w:p>
      <w:pPr>
        <w:pStyle w:val="Heading4"/>
      </w:pPr>
      <w:r>
        <w:rPr>
          <w:rFonts w:ascii="黑体" w:hAnsi="黑体" w:eastAsia="黑体"/>
          <w:b/>
          <w:sz w:val="24"/>
        </w:rPr>
        <w:t>（五）争议与多元观点</w:t>
      </w:r>
    </w:p>
    <w:p>
      <w:pPr>
        <w:spacing w:line="360" w:lineRule="auto" w:after="60"/>
        <w:ind w:firstLine="420"/>
      </w:pPr>
      <w:r>
        <w:rPr>
          <w:rFonts w:ascii="宋体" w:hAnsi="宋体" w:eastAsia="宋体"/>
          <w:b w:val="0"/>
          <w:sz w:val="24"/>
        </w:rPr>
        <w:t>可信AI研究中存在若干需要学生理解的争议。</w:t>
      </w:r>
    </w:p>
    <w:p>
      <w:pPr>
        <w:spacing w:line="360" w:lineRule="auto" w:after="60"/>
        <w:ind w:firstLine="420"/>
      </w:pPr>
      <w:r>
        <w:rPr>
          <w:rFonts w:ascii="宋体" w:hAnsi="宋体" w:eastAsia="宋体"/>
          <w:b w:val="0"/>
          <w:sz w:val="24"/>
        </w:rPr>
        <w:t>第一，性能优先与安全优先。性能优先观点强调模型应尽快提高复杂任务能力，否则难以体现临床价值；安全优先观点强调医疗场景必须先建立边界、审查和拒答机制。教材建议在低风险教学与科研辅助场景中允许较快迭代，在用药、诊断和治疗建议等高风险场景中坚持安全优先。</w:t>
      </w:r>
    </w:p>
    <w:p>
      <w:pPr>
        <w:spacing w:line="360" w:lineRule="auto" w:after="60"/>
        <w:ind w:firstLine="420"/>
      </w:pPr>
      <w:r>
        <w:rPr>
          <w:rFonts w:ascii="宋体" w:hAnsi="宋体" w:eastAsia="宋体"/>
          <w:b w:val="0"/>
          <w:sz w:val="24"/>
        </w:rPr>
        <w:t>第二，开放模型与闭源系统。开放模型便于学术复现、审计和本地化适配；闭源系统在工程稳定性、持续维护和责任承担方面具有优势。中医药研究可采用开放模型进行方法学验证，在临床部署时根据监管要求、数据安全和责任边界选择合适形态。</w:t>
      </w:r>
    </w:p>
    <w:p>
      <w:pPr>
        <w:spacing w:line="360" w:lineRule="auto" w:after="60"/>
        <w:ind w:firstLine="420"/>
      </w:pPr>
      <w:r>
        <w:rPr>
          <w:rFonts w:ascii="宋体" w:hAnsi="宋体" w:eastAsia="宋体"/>
          <w:b w:val="0"/>
          <w:sz w:val="24"/>
        </w:rPr>
        <w:t>第三，专家经验与统计证据。专家经验承载中医传承价值，统计证据提供可重复评价基础。二者不能互相替代。理想系统应把专家经验转化为可记录、可评价的规则与示范，同时通过真实世界数据和临床研究持续检验。</w:t>
      </w:r>
    </w:p>
    <w:p>
      <w:pPr>
        <w:spacing w:line="360" w:lineRule="auto" w:after="60"/>
        <w:ind w:firstLine="420"/>
      </w:pPr>
      <w:r>
        <w:rPr>
          <w:rFonts w:ascii="宋体" w:hAnsi="宋体" w:eastAsia="宋体"/>
          <w:b w:val="0"/>
          <w:sz w:val="24"/>
        </w:rPr>
        <w:t>第四，公平性指标的选择。不同公平性定义之间存在冲突，研究者不能笼统宣称模型“公平”。严谨做法是报告所选指标、分层结果、群体差异、改进措施和仍然存在的限制。</w:t>
      </w:r>
    </w:p>
    <w:p>
      <w:pPr>
        <w:pStyle w:val="Heading3"/>
      </w:pPr>
      <w:r>
        <w:rPr>
          <w:rFonts w:ascii="黑体" w:hAnsi="黑体" w:eastAsia="黑体"/>
          <w:b/>
          <w:sz w:val="28"/>
        </w:rPr>
        <w:t>第二节小结</w:t>
      </w:r>
    </w:p>
    <w:p>
      <w:pPr>
        <w:spacing w:line="360" w:lineRule="auto" w:after="60"/>
        <w:ind w:firstLine="420"/>
      </w:pPr>
      <w:r>
        <w:rPr>
          <w:rFonts w:ascii="宋体" w:hAnsi="宋体" w:eastAsia="宋体"/>
          <w:b w:val="0"/>
          <w:sz w:val="24"/>
        </w:rPr>
        <w:t>可信AI是中医药大模型进入临床、科研和教育场景的必要前提。不确定性量化使模型表达把握程度，鲁棒性评估检验模型面对扰动与分布变化时的稳定性，算法公平性防止模型对不同人群、地域和流派产生系统性不利。研究生应把可信性视为方法学核心，而不是伦理附录。只有将数据治理、知识约束、模型校准、鲁棒评测、公平性分析、人类审核和持续监测纳入同一安全工程，中医药人工智能才能在保护患者安全的前提下发挥研究与临床价值。</w:t>
      </w:r>
    </w:p>
    <w:p>
      <w:pPr>
        <w:pStyle w:val="Heading2"/>
      </w:pPr>
      <w:r>
        <w:rPr>
          <w:rFonts w:ascii="黑体" w:hAnsi="黑体" w:eastAsia="黑体"/>
          <w:b/>
          <w:sz w:val="30"/>
        </w:rPr>
        <w:t>本章思考题</w:t>
      </w:r>
    </w:p>
    <w:p>
      <w:pPr>
        <w:spacing w:line="360" w:lineRule="auto" w:after="60"/>
        <w:ind w:firstLine="0"/>
      </w:pPr>
      <w:r>
        <w:rPr>
          <w:rFonts w:ascii="宋体" w:hAnsi="宋体" w:eastAsia="宋体"/>
          <w:b w:val="0"/>
          <w:sz w:val="24"/>
        </w:rPr>
        <w:t>1. 以“失眠中医辅助诊疗大模型”为例，设计一个包含继续预训练、RAG、知识图谱约束、低置信拒答和人工复核的系统方案，并说明每一环节解决的风险。</w:t>
      </w:r>
    </w:p>
    <w:p>
      <w:pPr>
        <w:spacing w:line="360" w:lineRule="auto" w:after="60"/>
        <w:ind w:firstLine="0"/>
      </w:pPr>
      <w:r>
        <w:rPr>
          <w:rFonts w:ascii="宋体" w:hAnsi="宋体" w:eastAsia="宋体"/>
          <w:b w:val="0"/>
          <w:sz w:val="24"/>
        </w:rPr>
        <w:t>2. 选择一个中医药多模态任务，例如舌诊体质识别或四诊合参辨证，说明应如何处理模态缺失、模态对齐和不确定性输出。</w:t>
      </w:r>
    </w:p>
    <w:p>
      <w:pPr>
        <w:spacing w:line="360" w:lineRule="auto" w:after="60"/>
        <w:ind w:firstLine="0"/>
      </w:pPr>
      <w:r>
        <w:rPr>
          <w:rFonts w:ascii="宋体" w:hAnsi="宋体" w:eastAsia="宋体"/>
          <w:b w:val="0"/>
          <w:sz w:val="24"/>
        </w:rPr>
        <w:t>3. 若两个专家对同一病例给出不同证候判断，研究者应如何设计标注、建模和评价流程，才能避免把主观分歧简单视为“错误标签”？</w:t>
      </w:r>
    </w:p>
    <w:p>
      <w:pPr>
        <w:spacing w:line="360" w:lineRule="auto" w:after="60"/>
        <w:ind w:firstLine="0"/>
      </w:pPr>
      <w:r>
        <w:rPr>
          <w:rFonts w:ascii="宋体" w:hAnsi="宋体" w:eastAsia="宋体"/>
          <w:b w:val="0"/>
          <w:sz w:val="24"/>
        </w:rPr>
        <w:t>4. 结合公平性不可兼得问题，讨论中医药AI在地域公平、流派公平和总体准确率之间如何作出研究设计取舍。</w:t>
      </w:r>
    </w:p>
    <w:p>
      <w:pPr>
        <w:spacing w:line="360" w:lineRule="auto" w:after="60"/>
        <w:ind w:firstLine="0"/>
      </w:pPr>
      <w:r>
        <w:rPr>
          <w:rFonts w:ascii="宋体" w:hAnsi="宋体" w:eastAsia="宋体"/>
          <w:b w:val="0"/>
          <w:sz w:val="24"/>
        </w:rPr>
        <w:t>5. 开放性题目：生成式大模型在中医药研究中既能生成假说，也能生成错误依据。请提出一套防止“合成数据污染真实证据”的制度与技术方案。</w:t>
      </w:r>
    </w:p>
    <w:p>
      <w:pPr>
        <w:pStyle w:val="Heading2"/>
      </w:pPr>
      <w:r>
        <w:rPr>
          <w:rFonts w:ascii="黑体" w:hAnsi="黑体" w:eastAsia="黑体"/>
          <w:b/>
          <w:sz w:val="30"/>
        </w:rPr>
        <w:t>延伸阅读</w:t>
      </w:r>
    </w:p>
    <w:p>
      <w:pPr>
        <w:spacing w:line="360" w:lineRule="auto" w:after="60"/>
        <w:ind w:firstLine="0"/>
      </w:pPr>
      <w:r>
        <w:rPr>
          <w:rFonts w:ascii="宋体" w:hAnsi="宋体" w:eastAsia="宋体"/>
          <w:b w:val="0"/>
          <w:sz w:val="24"/>
        </w:rPr>
        <w:t>1. Dai Y, Shao X, Zhang J, et al. TCMChat: A generative large language model for traditional Chinese medicine. Pharmacological Research, 2024, 210: 107530.</w:t>
      </w:r>
    </w:p>
    <w:p>
      <w:pPr>
        <w:spacing w:line="360" w:lineRule="auto" w:after="60"/>
        <w:ind w:firstLine="0"/>
      </w:pPr>
      <w:r>
        <w:rPr>
          <w:rFonts w:ascii="宋体" w:hAnsi="宋体" w:eastAsia="宋体"/>
          <w:b w:val="0"/>
          <w:sz w:val="24"/>
        </w:rPr>
        <w:t>2. Zhu J, Gong Q, Zhou C, Luan H. ZhongJing: A Locally Deployed Large Language Model for Traditional Chinese Medicine. ISAIMS, 2023: 1036–1042.</w:t>
      </w:r>
    </w:p>
    <w:p>
      <w:pPr>
        <w:spacing w:line="360" w:lineRule="auto" w:after="60"/>
        <w:ind w:firstLine="0"/>
      </w:pPr>
      <w:r>
        <w:rPr>
          <w:rFonts w:ascii="宋体" w:hAnsi="宋体" w:eastAsia="宋体"/>
          <w:b w:val="0"/>
          <w:sz w:val="24"/>
        </w:rPr>
        <w:t>3. Jia Y, Ji X, Wang X, et al. Qibo: A Large Language Model for Traditional Chinese Medicine. Expert Systems With Applications, 2025, 284: 127672.</w:t>
      </w:r>
    </w:p>
    <w:p>
      <w:pPr>
        <w:spacing w:line="360" w:lineRule="auto" w:after="60"/>
        <w:ind w:firstLine="0"/>
      </w:pPr>
      <w:r>
        <w:rPr>
          <w:rFonts w:ascii="宋体" w:hAnsi="宋体" w:eastAsia="宋体"/>
          <w:b w:val="0"/>
          <w:sz w:val="24"/>
        </w:rPr>
        <w:t>4. Hua R, Dong X, Wei Y, et al. Lingdan: Enhancing Encoding of Traditional Chinese Medicine Knowledge for Clinical Reasoning Tasks with Large Language Models. Journal of the American Medical Informatics Association, 2024.</w:t>
      </w:r>
    </w:p>
    <w:p>
      <w:pPr>
        <w:spacing w:line="360" w:lineRule="auto" w:after="60"/>
        <w:ind w:firstLine="0"/>
      </w:pPr>
      <w:r>
        <w:rPr>
          <w:rFonts w:ascii="宋体" w:hAnsi="宋体" w:eastAsia="宋体"/>
          <w:b w:val="0"/>
          <w:sz w:val="24"/>
        </w:rPr>
        <w:t>5. Tong X, Ding X, Jia H, et al. XuanHuGPT: Parameter-efficient Fine-tuning of Large Language Model in the Field of Traditional Chinese Medicine. Chinese Medicine, 2025, 20: 204.</w:t>
      </w:r>
    </w:p>
    <w:p>
      <w:pPr>
        <w:spacing w:line="360" w:lineRule="auto" w:after="60"/>
        <w:ind w:firstLine="0"/>
      </w:pPr>
      <w:r>
        <w:rPr>
          <w:rFonts w:ascii="宋体" w:hAnsi="宋体" w:eastAsia="宋体"/>
          <w:b w:val="0"/>
          <w:sz w:val="24"/>
        </w:rPr>
        <w:t>6. Wang L, Tang K, Yang Z, et al. GastroTCM: A Large Language Model Assistant for Gastroenterology in Traditional Chinese Medicine. Chinese Medicine, 2026, 21: 46.</w:t>
      </w:r>
    </w:p>
    <w:p>
      <w:pPr>
        <w:spacing w:line="360" w:lineRule="auto" w:after="60"/>
        <w:ind w:firstLine="0"/>
      </w:pPr>
      <w:r>
        <w:rPr>
          <w:rFonts w:ascii="宋体" w:hAnsi="宋体" w:eastAsia="宋体"/>
          <w:b w:val="0"/>
          <w:sz w:val="24"/>
        </w:rPr>
        <w:t>7. Qin S, Wang Y, Cui T, et al. Intelligent Chinese Patent Medicine Recommendation Framework. Pharmacological Research, 2025, 219: 107883.</w:t>
      </w:r>
    </w:p>
    <w:p>
      <w:pPr>
        <w:spacing w:line="360" w:lineRule="auto" w:after="60"/>
        <w:ind w:firstLine="0"/>
      </w:pPr>
      <w:r>
        <w:rPr>
          <w:rFonts w:ascii="宋体" w:hAnsi="宋体" w:eastAsia="宋体"/>
          <w:b w:val="0"/>
          <w:sz w:val="24"/>
        </w:rPr>
        <w:t>8. Duan Y, Zhou Q, Li Y, et al. Research on a Traditional Chinese Medicine Case-based Question-answering System Integrating Large Language Models and Knowledge Graphs. Frontiers in Medicine, 2025, 11: 1512329.</w:t>
      </w:r>
    </w:p>
    <w:p>
      <w:pPr>
        <w:spacing w:line="360" w:lineRule="auto" w:after="60"/>
        <w:ind w:firstLine="0"/>
      </w:pPr>
      <w:r>
        <w:rPr>
          <w:rFonts w:ascii="宋体" w:hAnsi="宋体" w:eastAsia="宋体"/>
          <w:b w:val="0"/>
          <w:sz w:val="24"/>
        </w:rPr>
        <w:t>9. Zheng Y, Yuan J, Liu L, et al. Evaluating Large Language Models in Traditional Chinese Medicine with Enhanced Misinformation Detection. UbiComp Companion, 2025: 1358–1363.</w:t>
      </w:r>
    </w:p>
    <w:p>
      <w:pPr>
        <w:spacing w:line="360" w:lineRule="auto" w:after="60"/>
        <w:ind w:firstLine="0"/>
      </w:pPr>
      <w:r>
        <w:rPr>
          <w:rFonts w:ascii="宋体" w:hAnsi="宋体" w:eastAsia="宋体"/>
          <w:b w:val="0"/>
          <w:sz w:val="24"/>
        </w:rPr>
        <w:t>10. Wang L, Tang K, Wang Y, et al. Advancements in Artificial Intelligence-driven Diagnostic Models for Traditional Chinese Medicine. American Journal of Chinese Medicine, 2025, 53: 647–673.</w:t>
      </w:r>
    </w:p>
    <w:p>
      <w:pPr>
        <w:spacing w:line="360" w:lineRule="auto" w:after="60"/>
        <w:ind w:firstLine="0"/>
      </w:pPr>
      <w:r>
        <w:rPr>
          <w:rFonts w:ascii="宋体" w:hAnsi="宋体" w:eastAsia="宋体"/>
          <w:b w:val="0"/>
          <w:sz w:val="24"/>
        </w:rPr>
        <w:t>11. High-Level Expert Group on AI. Ethics Guidelines for Trustworthy AI. European Commission, 2019.</w:t>
      </w:r>
    </w:p>
    <w:p>
      <w:pPr>
        <w:spacing w:line="360" w:lineRule="auto" w:after="60"/>
        <w:ind w:firstLine="0"/>
      </w:pPr>
      <w:r>
        <w:rPr>
          <w:rFonts w:ascii="宋体" w:hAnsi="宋体" w:eastAsia="宋体"/>
          <w:b w:val="0"/>
          <w:sz w:val="24"/>
        </w:rPr>
        <w:t>12. National Institute of Standards and Technology. Artificial Intelligence Risk Management Framework (AI RMF 1.0). NIST AI 100-1, 2023.</w:t>
      </w:r>
    </w:p>
    <w:p>
      <w:pPr>
        <w:spacing w:line="360" w:lineRule="auto" w:after="60"/>
        <w:ind w:firstLine="0"/>
      </w:pPr>
      <w:r>
        <w:rPr>
          <w:rFonts w:ascii="宋体" w:hAnsi="宋体" w:eastAsia="宋体"/>
          <w:b w:val="0"/>
          <w:sz w:val="24"/>
        </w:rPr>
        <w:t>13. World Health Organization. Ethics and Governance of Artificial Intelligence for Health. WHO, 2021.</w:t>
      </w:r>
    </w:p>
    <w:p>
      <w:pPr>
        <w:spacing w:line="360" w:lineRule="auto" w:after="60"/>
        <w:ind w:firstLine="0"/>
      </w:pPr>
      <w:r>
        <w:rPr>
          <w:rFonts w:ascii="宋体" w:hAnsi="宋体" w:eastAsia="宋体"/>
          <w:b w:val="0"/>
          <w:sz w:val="24"/>
        </w:rPr>
        <w:t>14. Kendall A, Gal Y. What Uncertainties Do We Need in Bayesian Deep Learning for Computer Vision? NeurIPS, 2017.</w:t>
      </w:r>
    </w:p>
    <w:p>
      <w:pPr>
        <w:spacing w:line="360" w:lineRule="auto" w:after="60"/>
        <w:ind w:firstLine="0"/>
      </w:pPr>
      <w:r>
        <w:rPr>
          <w:rFonts w:ascii="宋体" w:hAnsi="宋体" w:eastAsia="宋体"/>
          <w:b w:val="0"/>
          <w:sz w:val="24"/>
        </w:rPr>
        <w:t>15. Gal Y, Ghahramani Z. Dropout as a Bayesian Approximation: Representing Model Uncertainty in Deep Learning. ICML, 2016.</w:t>
      </w:r>
    </w:p>
    <w:p>
      <w:pPr>
        <w:spacing w:line="360" w:lineRule="auto" w:after="60"/>
        <w:ind w:firstLine="0"/>
      </w:pPr>
      <w:r>
        <w:rPr>
          <w:rFonts w:ascii="宋体" w:hAnsi="宋体" w:eastAsia="宋体"/>
          <w:b w:val="0"/>
          <w:sz w:val="24"/>
        </w:rPr>
        <w:t>16. Lakshminarayanan B, Pritzel A, Blundell C. Simple and Scalable Predictive Uncertainty Estimation using Deep Ensembles. NeurIPS, 2017.</w:t>
      </w:r>
    </w:p>
    <w:p>
      <w:pPr>
        <w:spacing w:line="360" w:lineRule="auto" w:after="60"/>
        <w:ind w:firstLine="0"/>
      </w:pPr>
      <w:r>
        <w:rPr>
          <w:rFonts w:ascii="宋体" w:hAnsi="宋体" w:eastAsia="宋体"/>
          <w:b w:val="0"/>
          <w:sz w:val="24"/>
        </w:rPr>
        <w:t>17. Guo C, Pleiss G, Sun Y, Weinberger K Q. On Calibration of Modern Neural Networks. ICML, 2017.</w:t>
      </w:r>
    </w:p>
    <w:p>
      <w:pPr>
        <w:spacing w:line="360" w:lineRule="auto" w:after="60"/>
        <w:ind w:firstLine="0"/>
      </w:pPr>
      <w:r>
        <w:rPr>
          <w:rFonts w:ascii="宋体" w:hAnsi="宋体" w:eastAsia="宋体"/>
          <w:b w:val="0"/>
          <w:sz w:val="24"/>
        </w:rPr>
        <w:t>18. Angelopoulos A N, Bates S. A Gentle Introduction to Conformal Prediction and Distribution-Free Uncertainty Quantification. 2021.</w:t>
      </w:r>
    </w:p>
    <w:p>
      <w:pPr>
        <w:spacing w:line="360" w:lineRule="auto" w:after="60"/>
        <w:ind w:firstLine="0"/>
      </w:pPr>
      <w:r>
        <w:rPr>
          <w:rFonts w:ascii="宋体" w:hAnsi="宋体" w:eastAsia="宋体"/>
          <w:b w:val="0"/>
          <w:sz w:val="24"/>
        </w:rPr>
        <w:t>19. Hardt M, Price E, Srebro N. Equality of Opportunity in Supervised Learning. NeurIPS, 2016.</w:t>
      </w:r>
    </w:p>
    <w:p>
      <w:pPr>
        <w:spacing w:line="360" w:lineRule="auto" w:after="60"/>
        <w:ind w:firstLine="0"/>
      </w:pPr>
      <w:r>
        <w:rPr>
          <w:rFonts w:ascii="宋体" w:hAnsi="宋体" w:eastAsia="宋体"/>
          <w:b w:val="0"/>
          <w:sz w:val="24"/>
        </w:rPr>
        <w:t>20. Kleinberg J, Mullainathan S, Raghavan M. Inherent Trade-Offs in the Fair Determination of Risk Scores. ITCS, 2017.</w:t>
      </w:r>
    </w:p>
    <w:p>
      <w:pPr>
        <w:spacing w:line="360" w:lineRule="auto" w:after="60"/>
        <w:ind w:firstLine="0"/>
      </w:pPr>
      <w:r>
        <w:rPr>
          <w:rFonts w:ascii="宋体" w:hAnsi="宋体" w:eastAsia="宋体"/>
          <w:b w:val="0"/>
          <w:sz w:val="24"/>
        </w:rPr>
        <w:t>21. Chouldechova A. Fair Prediction with Disparate Impact: A Study of Bias in Recidivism Prediction Instruments. Big Data, 2017, 5: 153–163.</w:t>
      </w:r>
    </w:p>
    <w:p>
      <w:pPr>
        <w:spacing w:line="360" w:lineRule="auto" w:after="60"/>
        <w:ind w:firstLine="0"/>
      </w:pPr>
      <w:r>
        <w:rPr>
          <w:rFonts w:ascii="宋体" w:hAnsi="宋体" w:eastAsia="宋体"/>
          <w:b w:val="0"/>
          <w:sz w:val="24"/>
        </w:rPr>
        <w:t>22. Obermeyer Z, Powers B, Vogeli C, Mullainathan S. Dissecting Racial Bias in an Algorithm Used to Manage the Health of Populations. Science, 2019, 366: 447–453.</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