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FCAE9E">
      <w:pPr>
        <w:pStyle w:val="2"/>
        <w:pageBreakBefore w:val="0"/>
        <w:widowControl w:val="0"/>
        <w:kinsoku/>
        <w:wordWrap/>
        <w:overflowPunct/>
        <w:topLinePunct w:val="0"/>
        <w:autoSpaceDE/>
        <w:autoSpaceDN/>
        <w:bidi w:val="0"/>
        <w:adjustRightInd/>
        <w:snapToGrid/>
        <w:spacing w:before="0" w:beforeAutospacing="0" w:afterAutospacing="0"/>
        <w:ind w:firstLine="562" w:firstLineChars="200"/>
        <w:textAlignment w:val="auto"/>
        <w:rPr>
          <w:rFonts w:hint="eastAsia"/>
        </w:rPr>
      </w:pPr>
      <w:r>
        <w:rPr>
          <w:rFonts w:hint="eastAsia"/>
        </w:rPr>
        <w:t>第一节　生成式大模型与下一代AI技术在中医药中的适配前景</w:t>
      </w:r>
    </w:p>
    <w:p w14:paraId="788831AF">
      <w:pPr>
        <w:bidi w:val="0"/>
        <w:ind w:firstLine="480" w:firstLineChars="200"/>
        <w:rPr>
          <w:rFonts w:hint="eastAsia"/>
          <w:lang w:eastAsia="zh-CN"/>
        </w:rPr>
      </w:pPr>
      <w:r>
        <w:rPr>
          <w:rFonts w:hint="eastAsia"/>
        </w:rPr>
        <w:t>本节导语:本书前九章着重讨论如何针对不同数据选择相应的方法,本章则转向方法学的发展方向这一更具前瞻性的问题。在正在重塑研究范式的诸项技术中,生成式人工智能(Generative Artificial Intelligence)影响尤为深远,其中又以大语言模型(Large Language Model, LLM)为代表。本节首先简要回顾生成式大模型在中医药中的发展现状,以此作为讨论的基线;继而以主要篇幅探讨其后续的演进方向,包括五条适配路径各自的发展空间、尚未解决的科学问题,以及下一代AI技术(智能体、推理模型、多模态融合、神经符号结合、科学发现AI、具身智能与脑机接口、隐私计算等)在中医药研究中的潜在应用与前置条件。本节力求为读者提供判断依据:面对特定类型的中医药问题,应如何选择适配路径,其理由为何,又需警惕哪些风险。</w:t>
      </w:r>
    </w:p>
    <w:p w14:paraId="2244B4F2">
      <w:pPr>
        <w:pStyle w:val="3"/>
        <w:pageBreakBefore w:val="0"/>
        <w:widowControl w:val="0"/>
        <w:kinsoku/>
        <w:wordWrap/>
        <w:overflowPunct/>
        <w:topLinePunct w:val="0"/>
        <w:autoSpaceDE/>
        <w:autoSpaceDN/>
        <w:bidi w:val="0"/>
        <w:adjustRightInd/>
        <w:snapToGrid/>
        <w:spacing w:before="0" w:beforeAutospacing="0" w:afterAutospacing="0"/>
        <w:ind w:firstLine="723" w:firstLineChars="200"/>
        <w:textAlignment w:val="auto"/>
        <w:rPr>
          <w:rFonts w:hint="eastAsia"/>
        </w:rPr>
      </w:pPr>
      <w:r>
        <w:rPr>
          <w:rFonts w:hint="eastAsia"/>
        </w:rPr>
        <w:t>一、生成式大模型在中医药中的适配前景</w:t>
      </w:r>
    </w:p>
    <w:p w14:paraId="1CB045A3">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rPr>
      </w:pPr>
      <w:r>
        <w:rPr>
          <w:rFonts w:hint="eastAsia"/>
        </w:rPr>
        <w:t>(一)从临床可用到可信可用:基线与关键差距</w:t>
      </w:r>
    </w:p>
    <w:p w14:paraId="167C454F">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讨论未来方向之前,有必要先厘清当前所处的阶段。经过约两年的快速发展,中医药垂直大模型已由单一问答扩展为覆盖知识管理、辅助诊疗、方药推荐与教育培训的模型族:研究者多以 Baichuan、ChatGLM、LLaMA、Qwen、DeepSeek 等开源模型为底座,经预训练与微调构建出 TCMChat、仲景、岐黄、灵丹等代表性系统 [Dai et al., 2024; Zhu et al., 2023; Jia et al., 2025; Hua et al., 2024]。已有多篇综述对这一阶段加以总结:中医药专用模型在执业医师考试中的准确率约为 70%,通用中文模型约为 60% [Ren et al., 2025]。上述结果表明,生成式大模型在中医药领域的基本可用性已得到验证。</w:t>
      </w:r>
    </w:p>
    <w:p w14:paraId="230FEC1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然而,本章关注的并非基本可用性,而是从可用到可信赖之间尚存的关键差距。多项研究表明,仅依赖监督微调容易使模型产生过度自信的预测 [Jia et al., 2025];模型虽能在标准选择题上达到临床阈值,但在错误信息识别上表现急剧下降,对捏造概念几乎无法识别 [Zheng et al., 2025]。换言之,当前模型在标准化考试中表现优异,在真实临床情境中却潜藏风险。因此,讨论生成式大模型在中医药中的前景,实质上是在追问:何种下一代适配方法能够弥合这一差距。以下讨论着重分析五条路径各自的不足与演进方向,而非复述其既有成果。</w:t>
      </w:r>
    </w:p>
    <w:p w14:paraId="40C166EA">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eastAsia="宋体"/>
          <w:lang w:eastAsia="zh-CN"/>
        </w:rPr>
      </w:pPr>
      <w:r>
        <w:rPr>
          <w:rFonts w:hint="eastAsia"/>
        </w:rPr>
        <w:t>(二)继续预训练的演进:从语料投入到知识基座构建</w:t>
      </w:r>
    </w:p>
    <w:p w14:paraId="51EE680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继续预训练(Continual / Continuous Pre-training)是使通用底座模型内化中医语言与概念分布的第一步,其作用在于弥补通用模型对中医知识掌握不足的缺陷。岐黄模型以约 2GB 中医语料完成这一阶段 [Jia et al., 2025],灵丹亦构建了专门的预训练数据集 [Hua et al., 2024]。该路径的有效性已得到验证,但仍有较大的发展空间。</w:t>
      </w:r>
    </w:p>
    <w:p w14:paraId="38A7981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bookmarkStart w:id="0" w:name="_GoBack"/>
      <w:bookmarkEnd w:id="0"/>
      <w:r>
        <w:rPr>
          <w:rFonts w:hint="eastAsia"/>
        </w:rPr>
        <w:t>未来的关键不在于增加语料规模,而在于三个尚未解决的问题。其一,灾难性遗忘(catastrophic forgetting)与知识叠加之间的平衡:中医语料注入越深,模型的通用推理能力越可能受到侵蚀,如何在习得中医知识的同时保持通用能力,是持续学习(continual learning)需要回答的开放问题 [Ke Z, et al.,2023]。其二,古籍语料中高密度知识的有效内化:古籍语义复杂、流派各异,简单的下一词预测难以捕捉其中的辨证逻辑;面向古籍命名实体识别的研究显示,经领域预训练与微调的 7B 模型可显著优于通用模型(F1 约 0.93),表明古籍需要专门的语料工程与适配策略,而非通用方案 [Zheng et al., 2025]。其三,语料质量与代表性的治理:多数模型仍依赖文本挖掘结合人工校验自建语料 [Dai et al., 2024],未来需建立语料、术语与证据等级三位一体的中医知识基座,使继续预训练立足于可治理、可追溯的数据之上。可以预见,下一阶段的竞争焦点将由模型规模转向知识基座的质量:能否构建高质量、标准化、流派可辨的中医知识语料,将在很大程度上决定垂直大模型的上游优势。</w:t>
      </w:r>
    </w:p>
    <w:p w14:paraId="72ABDF52">
      <w:pPr>
        <w:pStyle w:val="4"/>
        <w:pageBreakBefore w:val="0"/>
        <w:widowControl w:val="0"/>
        <w:kinsoku/>
        <w:wordWrap/>
        <w:overflowPunct/>
        <w:topLinePunct w:val="0"/>
        <w:autoSpaceDE/>
        <w:autoSpaceDN/>
        <w:bidi w:val="0"/>
        <w:adjustRightInd/>
        <w:snapToGrid/>
        <w:spacing w:before="0" w:beforeAutospacing="0" w:afterAutospacing="0"/>
        <w:ind w:firstLine="542" w:firstLineChars="200"/>
        <w:textAlignment w:val="auto"/>
        <w:rPr>
          <w:rFonts w:hint="eastAsia" w:eastAsia="宋体"/>
          <w:lang w:eastAsia="zh-CN"/>
        </w:rPr>
      </w:pPr>
      <w:r>
        <w:rPr>
          <w:rFonts w:hint="eastAsia"/>
        </w:rPr>
        <w:t>(三)对齐技术的演进:从模仿专家应答到对齐辨证逻辑</w:t>
      </w:r>
    </w:p>
    <w:p w14:paraId="2DF2384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监督微调(Supervised Fine-Tuning, SFT)使模型学会以期望的方式作答,基于人类或AI反馈的强化学习(RLHF/RLAIF)则进一步使其对齐人类偏好。已有研究尝试将强化学习用于中医推理,例如 TCM-R1 采用继续预训练、思维链引导的监督微调与群体相对策略优化(Group Relative Policy Optimization, GRPO)相结合的三阶段训练 [He et al., 2026],提示了对齐技术的演进方向。</w:t>
      </w:r>
    </w:p>
    <w:p w14:paraId="2CB5D64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中医药的对齐有三个独特命题值得深入。其一,对齐目标应是辨证逻辑而非表面表述。通用 RLHF 所对齐的是回答是否听起来合理,而中医所需对齐的是辨证是否准确、治法是否合理、禁忌是否触犯;如何设计奖励正确辨证路径而非流畅措辞的奖励模型,是其中的核心难题,这与后文讨论的过程监督和知识约束密切相关。其二,反馈信号的稀缺与主观性。中医辨证标注高度依赖专家经验且常不一致,使人类反馈本身带有噪声;未来或更多依赖 RLAIF、专家共识对齐以及基于知识图谱的规则化反馈加以缓解。其三,需防范对齐所致的谄媚(sycophancy)效应。过度对齐人类偏好可能使模型倾向于附和用户而非坚持医学事实,这与错误信息识别能力的退化 [Zheng et al., 2025] 互为表里,是医疗对齐必须警惕的副作用。</w:t>
      </w:r>
    </w:p>
    <w:p w14:paraId="7A7E14A2">
      <w:pPr>
        <w:pStyle w:val="4"/>
        <w:bidi w:val="0"/>
        <w:rPr>
          <w:rFonts w:hint="eastAsia"/>
        </w:rPr>
      </w:pPr>
      <w:r>
        <w:rPr>
          <w:rFonts w:hint="eastAsia"/>
        </w:rPr>
        <w:t>(四)参数高效微调的演进:低成本、可组合、可持续的领域适配</w:t>
      </w:r>
    </w:p>
    <w:p w14:paraId="3624F04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参数高效微调(Parameter-Efficient Fine-Tuning, PEFT),尤其是低秩适配(Low-Rank Adaptation, LoRA),已使大量中医任务得以低成本落地:XuanHuGPT 借此平衡性能与训练成本 [Tong et al., 2025],TCM-DS 在 DeepSeek-R1 上结合 LoRA 与检索增强用于食疗方推荐 [Li et al., 2025],AcuGPT 采用 LoRA 与 DoRA 构建针灸模型 [Wen et al., 2025],TCM-FTP 则借助低秩适配降低算力需求,并以方内药味置换实现数据增广 [Zhou et al., 2024]。鉴于该路径的技术已较为成熟且应用广泛,本章不再展开其技术细节,而着重讨论其未来的发展空间。</w:t>
      </w:r>
    </w:p>
    <w:p w14:paraId="1EBF955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PEFT 在中医药中的价值,未来有望从单纯降低成本的微调手段,发展为可组合的知识模块。一种可设想的方向是:将不同流派、专科与地域的中医知识分别训练为可插拔的低秩适配器(adapter),在临床应用时按需加载与组合,例如治疗脾胃病时调用脾胃流派适配器,治疗外感时切换至伤寒适配器。这种基座模型与可组合领域模块相结合的范式,既契合中医“同病异治、因人因地制宜”的特点,也为流派传承的数字化提供了新的载体。其前置条件在于适配器之间的兼容性与冲突消解;通用领域已有可组合、模块化适配器的方法学基础(如 AdapterFusion 与 LoRAHub)[Pfeiffer et al., 2021; Huang et al., 2024],但面向中医药多流派、多专科适配的实证研究仍然缺乏。</w:t>
      </w:r>
    </w:p>
    <w:p w14:paraId="6437C2B4">
      <w:pPr>
        <w:pStyle w:val="4"/>
        <w:bidi w:val="0"/>
        <w:rPr>
          <w:rFonts w:hint="eastAsia"/>
        </w:rPr>
      </w:pPr>
      <w:r>
        <w:rPr>
          <w:rFonts w:hint="eastAsia"/>
        </w:rPr>
        <w:t>(五)检索增强与知识工程的演进:迈向可控、可溯、可审计的中医推理</w:t>
      </w:r>
    </w:p>
    <w:p w14:paraId="435A22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在五条路径中,检索增强生成(Retrieval-Augmented Generation, RAG)与知识图谱(Knowledge Graph)的融合,被本章视为最契合中医药、也最具前景的方向,因为它直接针对幻觉这一临床落地的首要障碍。已有研究反复证明 RAG 能显著减少缺乏依据的陈述:在 GastroTCM 中,专家复核确认 RAG 模块减少了幻觉性陈述 [Wang et al., 2026];RAG-CPMF 以临床指南为基准,其中成药推荐的准确性优于通用模型 [Qin et al., 2025];融合知识图谱的医案问答系统在忠实度(faithfulness)上取得了较高得分 [Duan et al., 2025]。</w:t>
      </w:r>
    </w:p>
    <w:p w14:paraId="5CA3002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然而,缓解幻觉并不等于消除幻觉,这正是未来工作的起点。以下三个方向值得重点投入。</w:t>
      </w:r>
    </w:p>
    <w:p w14:paraId="495D6B3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其一,由检索文本转向检索结构化的中医知识。当前 RAG 多检索非结构化文本片段,未来应更多检索结构化的辨证规则、方剂配伍与药性禁忌。已有研究尝试以知识图谱构建辨证逻辑层、方剂规则层与安全禁忌层,强制模型遵循标准化的推理路径,以抑制推理跳跃与禁忌缺失 [Yang et al., 2026]。这种神经联想与符号约束相结合的神经符号(neuro-symbolic)路线,有望使中医推理变得可控、可溯与可审计。</w:t>
      </w:r>
    </w:p>
    <w:p w14:paraId="0E49673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其二,由单次检索转向迭代推理与纠错。未来的中医 RAG 不应止于检索一次、生成一次,而应如中医师诊断那样反复进行假设、排除与修正。基于溯因推理的动态知识纠错框架通过外部知识库迭代排除错误推理 [Zhou et al., 2026];DiagX-DT 将辨证论治的辩证思维与排除式推理相结合,迭代剔除不合理的选项 [Nie et al., 2025]。这类显式推理与外部约束相结合的范式,为使大模型逼近中医辨证的动态过程提供了可行路径。</w:t>
      </w:r>
    </w:p>
    <w:p w14:paraId="5F7400C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其三,中医知识图谱构建本身的瓶颈。RAG 与知识图谱的效果上限,取决于知识图谱的质量与覆盖范围。当前已有研究利用大模型自动抽取实体关系以构建中医知识图谱 [Zhang &amp; Hao, 2024; Ke et al., 2024],但高质量中医知识图谱的构建成本仍然高昂,且面临术语不统一、流派差异与古今异义等难题。以大模型构建知识图谱、再以知识图谱约束大模型的双向闭环,将是知识工程与生成式AI协同的关键所在。</w:t>
      </w:r>
    </w:p>
    <w:p w14:paraId="7DEB70B0">
      <w:pPr>
        <w:pStyle w:val="4"/>
        <w:bidi w:val="0"/>
        <w:rPr>
          <w:rFonts w:hint="eastAsia"/>
          <w:lang w:eastAsia="zh-CN"/>
        </w:rPr>
      </w:pPr>
      <w:r>
        <w:rPr>
          <w:rFonts w:hint="eastAsia"/>
        </w:rPr>
        <w:t>(六)提示工程与智能体化:从问答工具到临床辅助智能体</w:t>
      </w:r>
    </w:p>
    <w:p w14:paraId="774A353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在不训练模型的前提下,精心设计的提示(prompt)、思维链(Chain-of-Thought)与知识过滤同样能够显著改善领域表现,例如 AcupunctureGPT 所采用的生成式知识过滤提示 [Li et al., 2025]。该路径成本最低、迭代最快,因而常作为新方法的试验场。其自然的演进方向是智能体(Agent),即能够自主感知、规划、调用工具与记忆,并在多步交互中完成复杂任务的系统;这一主题将在本节第二部分专门讨论,此处不再展开。</w:t>
      </w:r>
    </w:p>
    <w:p w14:paraId="04F2C816">
      <w:pPr>
        <w:pStyle w:val="4"/>
        <w:bidi w:val="0"/>
        <w:rPr>
          <w:rFonts w:hint="eastAsia"/>
        </w:rPr>
      </w:pPr>
      <w:r>
        <w:rPr>
          <w:rFonts w:hint="eastAsia"/>
        </w:rPr>
        <w:t>(七)小结:六个尚待解决的开放问题</w:t>
      </w:r>
    </w:p>
    <w:p w14:paraId="4B87D2C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综合五条路径的演进方向,中医药生成式大模型要真正跨越从可用到可信赖的关键差距,未来须回答六个开放问题:语料与知识基座的标准化治理、术语与古今语义的对齐、辨证逻辑的可控生成、幻觉的根本消除而非缓解、评测体系尤其是安全性与全流程评测的建立,以及跨流派、跨人群的适配与公平。其中前四个问题关乎如何使模型更准确地掌握中医知识,后两个则直接指向本章第二节的可信性命题。它们共同构成了未来五到十年中医药生成式AI研究的核心议程。</w:t>
      </w:r>
    </w:p>
    <w:p w14:paraId="14701653">
      <w:pPr>
        <w:pStyle w:val="3"/>
        <w:bidi w:val="0"/>
        <w:rPr>
          <w:rFonts w:hint="eastAsia"/>
        </w:rPr>
      </w:pPr>
      <w:r>
        <w:rPr>
          <w:rFonts w:hint="eastAsia"/>
        </w:rPr>
        <w:t>二、下一代AI技术在中医药中的应用展望</w:t>
      </w:r>
    </w:p>
    <w:p w14:paraId="28ADBB0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如果说第一部分讨论的是现有生成式大模型如何更好地适配中医药,本部分则着眼于更新一代的技术。这些技术多数仍处于发展或探索阶段(属本书所界定的 (b)、(c) 类内容),以下将审慎地讨论其在中医药中的潜在应用与前置条件,而不作确定性的判断。</w:t>
      </w:r>
    </w:p>
    <w:p w14:paraId="7626DCBF">
      <w:pPr>
        <w:pStyle w:val="4"/>
        <w:bidi w:val="0"/>
        <w:rPr>
          <w:rFonts w:hint="eastAsia"/>
        </w:rPr>
      </w:pPr>
      <w:r>
        <w:rPr>
          <w:rFonts w:hint="eastAsia"/>
        </w:rPr>
        <w:t>(一)智能体与多智能体协作:模拟中医临床的分步推理</w:t>
      </w:r>
    </w:p>
    <w:p w14:paraId="7F06AC6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智能体(Agent)被广泛视为大模型的下一种形态。相较于一问一答的模式,智能体更接近中医临床问诊、辨证、处方与复核的动态过程。已有初步探索:GastroTCM 以智能体动态适配演进中的症状与用户意图 [Wang et al., 2026];AcuGPT-Agent 设计了多科室知识库路由管理机制,可在医疗语境中跨专科路由查询 [Wen et al., 2025];在评测方面,已出现基于多智能体仿真的中医诊断基准,用以构建动态诊断环境并模拟辨证过程 [Lin et al., 2026]。</w:t>
      </w:r>
    </w:p>
    <w:p w14:paraId="1A1433E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进一步看,多智能体协作(Multi-Agent Collaboration)有望成为中医临床AI的主导架构之一。一种可设想的系统由若干分工明确的智能体构成:问诊智能体负责动态追问,辨证智能体负责四诊合参与证候推断,方药智能体负责遣方用药,安全审查智能体负责禁忌与相互作用核查,循证智能体负责检索指南与文献;多个智能体分工协同、交叉复核,既模拟了中医临床的分步推理,又内建了多重把关机制。这一架构尤其契合中医“君臣佐使”的系统性思维。但其实现有明确的前置条件:智能体之间的协议与冲突消解机制、系统整体的可靠性与可解释性,以及在真实临床中的对照验证。通用医疗领域已出现多智能体协作决策的代表性框架(如 MedAgents、MDAgents)[Tang et al., 2024; Kim et al., 2024],但面向中医临床决策的前瞻性对照研究仍属空白。</w:t>
      </w:r>
    </w:p>
    <w:p w14:paraId="3A767971">
      <w:pPr>
        <w:pStyle w:val="4"/>
        <w:bidi w:val="0"/>
        <w:rPr>
          <w:rFonts w:hint="eastAsia"/>
        </w:rPr>
      </w:pPr>
      <w:r>
        <w:rPr>
          <w:rFonts w:hint="eastAsia"/>
        </w:rPr>
        <w:t>(二)推理模型与慢思考:契合辨证论治的推理范式</w:t>
      </w:r>
    </w:p>
    <w:p w14:paraId="5A7860E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新一代推理模型通过显式思维链与先思考后作答的机制,在多步逻辑任务上表现更佳。中医辨证恰是高度依赖多步推理的任务,因而是慢思考(slow thinking)范式较为契合的应用场景。已有研究将思维链引导的微调与强化学习相结合用于中医推理 [He et al., 2026],并将思维链用于中成药问答中的症状分析 [Hua et al., 2024];面向围产期用药的评测亦发现,强推理模型在复杂的获益与风险权衡场景中更具优势 [Wang et al., 2026]。</w:t>
      </w:r>
    </w:p>
    <w:p w14:paraId="56DE529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未来值得关注的是过程监督(process supervision)在中医中的应用,即不仅奖励答案正确,更奖励推理过程合理。这与中医教育中重视辨证思路而非记忆答案的理念高度一致,有望使模型的辨证链条变得可教、可查与可纠。但也须清醒认识到,推理链的延长会增加响应时间,且推理链本身亦可能出错(TCM-R1 的作者即指出推理链存在潜在不准确与响应变慢的局限)[He et al., 2026]。因此,未来推理模型在中医中的研究重点,应是如何验证推理链本身的正确性,而非单纯追求更长的思维链;这一问题同样指向第二节的可信性议题。</w:t>
      </w:r>
    </w:p>
    <w:p w14:paraId="049419DE">
      <w:pPr>
        <w:pStyle w:val="4"/>
        <w:bidi w:val="0"/>
        <w:rPr>
          <w:rFonts w:hint="eastAsia"/>
        </w:rPr>
      </w:pPr>
      <w:r>
        <w:rPr>
          <w:rFonts w:hint="eastAsia"/>
        </w:rPr>
        <w:t>(三)多模态大模型与四诊合参:潜力与现实差距</w:t>
      </w:r>
    </w:p>
    <w:p w14:paraId="240BAC9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四诊合参是中医诊断的精髓,也是多模态大模型(Multimodal Large Language Model, MLLM)最具潜力的应用场景:望诊与舌诊对应图像,问诊对应文本,闻诊对应声音,切诊对应脉象波形与生物信号。当前已有面向舌诊的少样本多任务微调探索 [Fu et al., 2025],以及对图像、文本、波形等多模态中医诊断模型的系统梳理 [Wang et al., 2025]。</w:t>
      </w:r>
    </w:p>
    <w:p w14:paraId="581A038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进一步而言,真正端到端的“四诊一体”多模态大模型,是一个颇具吸引力但尚未实现的目标。其关键技术包括:跨模态的时空对齐与语义映射(如何将舌象之红、脉象之数与问诊所得之心烦统一到同一证候表示)、多模态知识表示与大模型协同推理,以及在模态缺失情况下的稳健推断(临床上常见四诊不全)。须客观指出,该方向受制于多模态标注数据的极度稀缺与模态间的高度异质性,其临床效用尚待严格验证,目前仍属探索性目标;近期已出现面向中医、统一文本与图像、声音、脉象等模态的多模态大模型探索(如 ShizhenGPT)[Chen J et al., 2025],但真正端到端、经前瞻性临床验证的系统仍有待建立。多模态四诊合参很可能成为中医客观化与AI融合中最具挑战性的目标之一,其实现有赖于数据、算法与临床验证的长期积累(本主题与本书第六章多模态、第三章图像相互呼应)。</w:t>
      </w:r>
    </w:p>
    <w:p w14:paraId="4BD2AEB7">
      <w:pPr>
        <w:pStyle w:val="4"/>
        <w:bidi w:val="0"/>
        <w:rPr>
          <w:rFonts w:hint="eastAsia"/>
          <w:lang w:eastAsia="zh-CN"/>
        </w:rPr>
      </w:pPr>
      <w:r>
        <w:rPr>
          <w:rFonts w:hint="eastAsia"/>
        </w:rPr>
        <w:t>(四)科学发现AI与中药研究:从辅助阅读到辅助发现</w:t>
      </w:r>
    </w:p>
    <w:p w14:paraId="04177A0C">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生成式与表示学习模型正从辅助阅读走向辅助发现(AI for Science)。在中药领域,大模型已被用作分子特征提取与知识表示的引擎:有研究结合变分图自编码器(Variational Graph Autoencoder, VGAE)预测中药与药物的相互作用,服务于复方优化与新药研发 [Yuan et al., 2025];TEmbed-DDI 将大模型嵌入用于中西药跨域相互作用的标注,展示出对未知相互作用的标注潜力 [Zhang et al., 2025]。</w:t>
      </w:r>
    </w:p>
    <w:p w14:paraId="5DC0C0B1">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进一步而言,生成式模型与网络药理学、多组学的结合,有望加速中药物质基础与作用机制的假说生成(可与本书第五章组学、网络药理学案例衔接)。更具前瞻性的设想包括:以扩散模型等生成式方法进行先导化合物生成与老药新用的假说生成,以大模型整合多源异构证据,自动构建中药、成分、靶点与疾病之间的机制假说网络。但必须强调一条不可逾越的原则:AI 在此扮演的是假说生成者而非结论裁决者,其给出的候选必须经实验验证。扩散模型在通用药物从头设计与多条件分子生成中已积累代表性方法 [Alakhdar et al., 2024; Yang et al., 2025],但其在中药分子生成与机制假说发现中的系统性实证仍然有限。</w:t>
      </w:r>
    </w:p>
    <w:p w14:paraId="57BBD262">
      <w:pPr>
        <w:pStyle w:val="4"/>
        <w:bidi w:val="0"/>
        <w:rPr>
          <w:rFonts w:hint="eastAsia"/>
        </w:rPr>
      </w:pPr>
      <w:r>
        <w:rPr>
          <w:rFonts w:hint="eastAsia"/>
        </w:rPr>
        <w:t>(五)与具身智能、脑机接口的交叉:面向神形合一理念的康复前景</w:t>
      </w:r>
    </w:p>
    <w:p w14:paraId="78E17DD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生成式AI与具身智能(embodied intelligence)、脑机接口(brain-computer interface)的交叉,为中医“神形合一”理念的智能化提供了新的空间(本主题与本书第八章呼应)。一个值得关注的方向是:以大模型作为认知与决策中枢,与外骨骼、神经调控等执行末端协同,在智能康复中实现感知、决策与调控的闭环。这一设想目前更多停留在概念层面;具身智能在医疗与康复中已有综述与原型探索(如面向具身医疗的综述与基于视觉—语言模型的推拿机器人)[Liu et al., 2025; Xu R et al., 2026],但大模型与脑机接口、具身智能协同的中医智能康复系统验证尚待开展。</w:t>
      </w:r>
    </w:p>
    <w:p w14:paraId="3EA984A8">
      <w:pPr>
        <w:pStyle w:val="4"/>
        <w:bidi w:val="0"/>
        <w:rPr>
          <w:rFonts w:hint="eastAsia"/>
          <w:lang w:eastAsia="zh-CN"/>
        </w:rPr>
      </w:pPr>
      <w:r>
        <w:rPr>
          <w:rFonts w:hint="eastAsia"/>
        </w:rPr>
        <w:t>(六)隐私计算、联邦学习与边缘部署:实现中医数据的可用而不可见</w:t>
      </w:r>
    </w:p>
    <w:p w14:paraId="7D50C7B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中医药数据普遍存在样本量小、分布不均与隐私敏感等特点,多篇综述将数据安全与隐私列为关键挑战 [Ren et al., 2025]。这使得联邦学习(federated learning)与隐私计算等数据不出域、模型可协同的范式,在多中心中医临床协作中具有天然的吸引力。与此同时,仲景模型能够在本地个人电脑上以约每秒 8 词元的速度运行 [Zhu et al., 2023],提示轻量化与边缘部署是另一条务实路径:在算力受限的基层医疗机构,小而专的本地模型可能比庞大的云端模型更具落地价值。一项针对中医考题的研究亦发现,经充分优化的小模型(如 Qwen3-1.7B)甚至可超越部分领域专用的 7B 模型,说明模型优化与领域训练的作用可能超过单纯扩大规模 [Li et al., 2026]。总体而言,联邦学习、轻量化与隐私计算的结合,有望缓解中医数据有共享意愿却因隐私顾虑难以共享的困境;已有面向中医药文本的联邦学习探索(如用于中医药文本分类的 FLCMC)[Hu &amp; Fang, 2024],但其在多中心中医临床数据协作中的系统性落地证据仍然有限。</w:t>
      </w:r>
    </w:p>
    <w:p w14:paraId="55D570E2">
      <w:pPr>
        <w:pStyle w:val="4"/>
        <w:bidi w:val="0"/>
        <w:rPr>
          <w:rFonts w:hint="eastAsia"/>
          <w:lang w:eastAsia="zh-CN"/>
        </w:rPr>
      </w:pPr>
      <w:r>
        <w:rPr>
          <w:rFonts w:hint="eastAsia"/>
        </w:rPr>
        <w:t>(七)人机协同与智能教育:AI 作为增强而非替代</w:t>
      </w:r>
    </w:p>
    <w:p w14:paraId="5A87C7B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下一代AI在中医药中的定位,正日益被界定为增强而非替代医师。GastroTCM 的作者明确指出,领域专用、检索增强的大模型应当增强而非取代中医师 [Wang et al., 2026];面向共享决策(Shared Decision Making)的研究探讨了大模型在改善医患沟通与个性化决策中的作用及其本地化局限 [Li et al., 2025]。更具前瞻性的是对人机协同认知机制的直接测量:一项融合功能性近红外光谱(fNIRS)与眼动追踪的研究,在针灸临床决策任务中观察到 AI 辅助组在与认知负荷相关的脑区激活更少、注视时间更短,提示 AI 可降低认知负荷 [Lin et al., 2026]。</w:t>
      </w:r>
    </w:p>
    <w:p w14:paraId="79EFAB3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这类脑科学与AI交叉的研究,为评估人机协同的真实价值提供了客观证据,是值得关注的新方向;但它同时带来一项前瞻性警示:认知负荷下降若伴随警惕性下降,可能滋生自动化偏见(automation bias),这亦为下一节的可信性讨论埋下伏笔。在教育层面,基于知识引导的生成式AI框架 Gen-SynDi 将辨证与辨病的双技能训练相结合,利用标准化病人资料生成虚拟病例并提供即时反馈 [Lee et al., 2025];可以预见,未来中医研究生的学习将更多地与可交互的智能体导师协作,而这正是本书希望培养的跨学科能力。</w:t>
      </w:r>
    </w:p>
    <w:p w14:paraId="0ACD1FCF">
      <w:pPr>
        <w:pStyle w:val="4"/>
        <w:bidi w:val="0"/>
        <w:rPr>
          <w:rFonts w:hint="eastAsia"/>
        </w:rPr>
      </w:pPr>
      <w:r>
        <w:rPr>
          <w:rFonts w:hint="eastAsia"/>
        </w:rPr>
        <w:t>(八)生成式仿真与真实世界证据:一个被低估的方法学方向</w:t>
      </w:r>
    </w:p>
    <w:p w14:paraId="0E4E41E2">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最后值得讨论的,是生成式大模型在研究方法本身上的应用,即利用大模型生成仿真数据、模拟临床场景并辅助真实世界证据(Real-World Evidence)研究。面向中医临床的动态基准已开始利用大模型,基于真实病例生成医患对话 [Shi et al., 2026];教育领域亦已利用大模型生成虚拟病例 [Lee et al., 2025]。沿此方向外推,大模型未来有望用于生成稀有证型研究所需的合成病例、模拟目标试验以辅助观察性数据的因果推断,以及作为虚拟患者或虚拟医师参与研究设计的预演(可与本书第九章真实世界研究衔接)。这一方向将生成式AI由研究对象转变为研究工具,可能是对方法学影响最为深远、却最被低估的方向之一,其前提是必须严格区分合成数据与真实证据,防止仿真数据污染真实结论。</w:t>
      </w:r>
    </w:p>
    <w:p w14:paraId="56F36B7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小结:智能体与多智能体协作、推理模型的慢思考、多模态四诊合参、科学发现AI、与具身智能及脑机接口的交叉、隐私计算与边缘部署、人机协同与智能教育,以及生成式仿真,共同构成了下一代AI赋能中医药的主要图景。这些方向多数仍处于发展或探索阶段,其前置条件高度一致:高质量数据与知识工程、严格的评测与安全约束,以及AI增强人、人监督AI的协作范式。简言之,技术的前沿性必须以可信性为前提,而这正是下一节的核心命题。</w:t>
      </w:r>
    </w:p>
    <w:p w14:paraId="4C526266">
      <w:pPr>
        <w:pStyle w:val="3"/>
        <w:bidi w:val="0"/>
        <w:rPr>
          <w:rFonts w:hint="eastAsia"/>
        </w:rPr>
      </w:pPr>
      <w:r>
        <w:rPr>
          <w:rFonts w:hint="eastAsia"/>
        </w:rPr>
        <w:t>第二节　可信AI与医疗安全:不确定性量化、鲁棒性与算法公平性</w:t>
      </w:r>
    </w:p>
    <w:p w14:paraId="7477C87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导语:上一节描绘了生成式大模型与下一代AI赋能中医药的前景,而这些前景的兑现有一个不可让渡的前提,即可信(trustworthy)。在医疗这一高风险领域,一个大多数情况下表现良好、却偶尔自信地犯错的系统,可能比一个能力平庸但行为可预测的系统更为危险。本节聚焦于如何使AI在中医药医疗场景中变得可信而安全:首先讨论可信AI的框架与医疗实践中的伦理挑战,特别是中医药的特殊性;继而探讨不确定性量化、鲁棒性与算法公平性这三项关键技术在中医药中的研究前景。本节与本书第一章第四节有所分工:第一章第四节侧重伦理规范与合规框架,本节侧重可信性的量化方法与安全工程,及其面向中医药的研究议程。</w:t>
      </w:r>
    </w:p>
    <w:p w14:paraId="2644CCFC">
      <w:pPr>
        <w:pStyle w:val="3"/>
        <w:bidi w:val="0"/>
        <w:rPr>
          <w:rFonts w:hint="eastAsia"/>
        </w:rPr>
      </w:pPr>
      <w:r>
        <w:rPr>
          <w:rFonts w:hint="eastAsia"/>
        </w:rPr>
        <w:t>一、可信AI与医疗实践的伦理挑战</w:t>
      </w:r>
    </w:p>
    <w:p w14:paraId="689EA99C">
      <w:pPr>
        <w:pStyle w:val="4"/>
        <w:bidi w:val="0"/>
        <w:rPr>
          <w:rFonts w:hint="eastAsia"/>
          <w:lang w:eastAsia="zh-CN"/>
        </w:rPr>
      </w:pPr>
      <w:r>
        <w:rPr>
          <w:rFonts w:hint="eastAsia"/>
        </w:rPr>
        <w:t>(一)可信AI的框架:从原则共识到中医落地</w:t>
      </w:r>
    </w:p>
    <w:p w14:paraId="6997ABD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经过数年发展,国际社会已就可信或负责任AI形成相对成熟的原则框架。欧盟人工智能高级专家组的《可信AI伦理指南》提出了一组面向实践的要求 [EU AI HLEG, 2019];美国国家标准与技术研究院的《AI风险管理框架》将可信系统的特征概括为有效可靠、安全、可问责与透明、可解释、隐私增强,并对有害偏倚加以管理 [NIST, 2023];世界卫生组织则专门发布了卫生领域AI的伦理与治理报告 [WHO, 2021]。在学术层面,对全球数十份AI伦理准则的系统梳理发现,透明、公正、无害、责任与隐私是反复出现的高频原则 [Jobin et al., 2019];亦有研究提出行善、不伤害、自主、公正与可解释的五项统一原则 [Floridi &amp; Cowls, 2019],并有从计算视角对可信AI技术路线进行的系统综述 [Liu et al., 2021]。</w:t>
      </w:r>
    </w:p>
    <w:p w14:paraId="2A7B2A34">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这些框架的最大公约数,可概括为若干相互关联的属性:可靠性与安全性、透明性与可解释性、公平性、隐私保护与可问责性。本节的基本立场是:这些原则在通用领域已成共识,真正的前沿在于如何将其在中医药场景中落实为可操作的技术与评测。多篇中医药综述已将数据质量与安全、结果的可解释性与可信度、术语标准化列为制约落地的关键 [Ren et al., 2025; Shataer et al., 2025; Xu et al., 2026],这表明可信性并非研发完成后的附加要求,而应贯穿数据、建模、评测、部署与监测的全流程。</w:t>
      </w:r>
    </w:p>
    <w:p w14:paraId="2F42E476">
      <w:pPr>
        <w:pStyle w:val="4"/>
        <w:bidi w:val="0"/>
        <w:rPr>
          <w:rFonts w:hint="eastAsia"/>
        </w:rPr>
      </w:pPr>
      <w:r>
        <w:rPr>
          <w:rFonts w:hint="eastAsia"/>
        </w:rPr>
        <w:t>(二)医疗场景的特殊性:为什么中医药AI的可信门槛更高</w:t>
      </w:r>
    </w:p>
    <w:p w14:paraId="7CBFAC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医疗AI对可信性的要求格外苛刻,这源于其应用场景的三重特殊性,而这三重特殊性在中医药中又被进一步放大。</w:t>
      </w:r>
    </w:p>
    <w:p w14:paraId="7B32935E">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一,后果的高风险性与不可逆性。一次错误的辨证或处方可能延误病情,甚至造成伤害。正因如此,面向中医药的研究已开始强调安全优先的评测:模型在标准准确率上的优异,并不能保证其在面对被篡改的信息或捏造的概念时不致受误导,而后者直接关系患者安全 [Zheng et al., 2025]。因此,未来中医药AI的评测必须将安全性由准确率的附属指标提升为独立的一级维度。</w:t>
      </w:r>
    </w:p>
    <w:p w14:paraId="1AAC5C11">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二,责任归属与知情同意。当AI参与诊疗,由谁负责、患者是否知情并同意便成为无法回避的伦理问题。面向共享决策的研究指出,大模型在提升沟通效率的同时,仍在本地化、决策链完整性与复杂情境处理上存在局限,尤其在理解中医知识与支持以家庭为单位的决策模式方面 [Li et al., 2025]。这意味着,在可预见的未来,中医药临床AI应被定位为决策支持工具而非决策主体,人类医师始终是责任主体。</w:t>
      </w:r>
    </w:p>
    <w:p w14:paraId="6CAF82FF">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其三,人机协同中的自动化偏见。当人过度信任自动化系统时,可能放松独立判断。fNIRS 与眼动研究发现,AI 辅助可降低医师的认知负荷 [Lin et al., 2026];这固然是效率的提升,但也提示:认知负荷下降若伴随警惕性下降,便可能滋生自动化偏见。因此,未来人机协同的设计必须在减轻负担与保持人类把关之间取得平衡,这是一个尚待深入研究的人因工程命题。</w:t>
      </w:r>
    </w:p>
    <w:p w14:paraId="7F6C10D5">
      <w:pPr>
        <w:pStyle w:val="4"/>
        <w:bidi w:val="0"/>
        <w:rPr>
          <w:rFonts w:hint="eastAsia"/>
        </w:rPr>
      </w:pPr>
      <w:r>
        <w:rPr>
          <w:rFonts w:hint="eastAsia"/>
        </w:rPr>
        <w:t>(三)中医药特有的可信挑战:四道独特的难关</w:t>
      </w:r>
    </w:p>
    <w:p w14:paraId="48CD3DD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在通用医疗AI的可信难题之上,中医药还叠加了四道独特的难关,它们共同界定了未来研究的难点。</w:t>
      </w:r>
    </w:p>
    <w:p w14:paraId="1DB9E20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第一,辨证的主观性与标注一致性。中医诊断中的望、闻、问、切高度依赖医师经验,本质上具有主观性 [Wang et al., 2025];同一患者经不同医师辨证可能得出不同结论,导致训练标签本身并不一致。这使得金标准的可靠性存疑,未来亟需研究如何在主观标签下训练可信模型,而这本身就是一个开放的方法学问题。</w:t>
      </w:r>
    </w:p>
    <w:p w14:paraId="12CCD0E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第二,辨证论治的非量化性与可重复性。已有研究明确将中医诊疗的非量化特性列为大模型落地的挑战之一 [Ren et al., 2025]。个体化诊疗强调“同病异治、异病同治”,与AI所追求的可重复、可标准化之间存在内在张力。如何使AI既尊重个体化、又具备可重复性与可评估性,是中医药可信AI的独特命题。</w:t>
      </w:r>
    </w:p>
    <w:p w14:paraId="28B78C4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第三,知识的证据等级与古今差异。中医知识大量来自古籍与经验传承,其证据等级与适用条件与现代循证医学体系并不完全兼容;古籍语义复杂、流派各异,需要专门处理 [Zheng et al., 2025],否则模型可能以讹传讹。未来需要建立中医知识的可信度分级机制,使模型在调用知识时明了其证据等级,而非将古训与现代证据等量齐观。</w:t>
      </w:r>
    </w:p>
    <w:p w14:paraId="5C13C20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第四,跨人群与跨文化的外推性。由于训练数据在语言与文化构成上的差异,不同来源的大模型在中医任务上表现出系统性差异,研究者据此呼吁发展本地化模型 [Zhu et al., 2024];GPT 与 ERNIE 在中医执业资格考试上的差异,亦印证了文化背景的实质性影响 [Ghanad et al., 2025]。这一难关将在本节算法公平性部分进一步展开。</w:t>
      </w:r>
    </w:p>
    <w:p w14:paraId="0996AA9C">
      <w:pPr>
        <w:pStyle w:val="4"/>
        <w:bidi w:val="0"/>
        <w:rPr>
          <w:rFonts w:hint="eastAsia"/>
        </w:rPr>
      </w:pPr>
      <w:r>
        <w:rPr>
          <w:rFonts w:hint="eastAsia"/>
        </w:rPr>
        <w:t>(四)可信性的全流程落点与治理展望</w:t>
      </w:r>
    </w:p>
    <w:p w14:paraId="3163DC26">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将抽象的可信原则落实为可操作的研究流程,可对应到五个环节,每个环节都有明确的研究方向。数据环节:术语标准化、标注一致性控制、隐私脱敏与数据治理是基础 [Ren et al., 2025; Shataer et al., 2025]。建模环节:以RAG、知识图谱约束与排除式推理,将可查证的知识与显式逻辑注入模型 [Wang et al., 2026; Yang et al., 2026; Nie et al., 2025]。评测环节:不仅评估准确率,更应评估安全性、辨证全流程能力与人机一致性 [Zheng et al., 2025; Shi et al., 2026; Lin et al., 2026]。部署环节:明确AI为辅助而非替代,设置人类把关点与可解释的输出 [Wang et al., 2026; Li et al., 2025]。监测环节:在系统上线后持续监测性能漂移、罕见错误与公平性问题,形成闭环。</w:t>
      </w:r>
    </w:p>
    <w:p w14:paraId="69B3FDA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在治理层面,随着 EU、NIST、WHO 等框架的成熟 [EU AI HLEG, 2019; NIST, 2023; WHO, 2021],中医药AI未来很可能需要面对如何将通用AI治理框架本地化为中医药专属规范这一命题;这与本书第十章第三节监管科学的讨论相衔接。此处仅指出:可信AI不仅是技术问题,更是治理问题,二者必须协同推进。</w:t>
      </w:r>
    </w:p>
    <w:p w14:paraId="5D50844B">
      <w:pPr>
        <w:pStyle w:val="3"/>
        <w:bidi w:val="0"/>
        <w:rPr>
          <w:rFonts w:hint="eastAsia"/>
        </w:rPr>
      </w:pPr>
      <w:r>
        <w:rPr>
          <w:rFonts w:hint="eastAsia"/>
        </w:rPr>
        <w:t>二、不确定性量化、鲁棒性与算法公平性探索</w:t>
      </w:r>
    </w:p>
    <w:p w14:paraId="4F0A2DB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部分聚焦可信性中最具工程化潜力的三个抓手。需要强调的是,这三项技术在通用机器学习中已较为成熟,但其面向中医药大模型的系统性应用几乎仍属空白,这既是当前的薄弱环节,也是研究生可以大有作为的前沿领域。</w:t>
      </w:r>
    </w:p>
    <w:p w14:paraId="0CE4D003">
      <w:pPr>
        <w:pStyle w:val="4"/>
        <w:bidi w:val="0"/>
        <w:rPr>
          <w:rFonts w:hint="eastAsia"/>
          <w:lang w:eastAsia="zh-CN"/>
        </w:rPr>
      </w:pPr>
      <w:r>
        <w:rPr>
          <w:rFonts w:hint="eastAsia"/>
        </w:rPr>
        <w:t>(一)不确定性量化(Uncertainty Quantification, UQ):使模型识别自身能力边界</w:t>
      </w:r>
    </w:p>
    <w:p w14:paraId="11E553B8">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中医药AI为何尤其需要UQ。一个负责任的医疗AI不仅要给出答案,更应能够判断自身何时不具备可靠的判断能力。不确定性量化(Uncertainty Quantification, UQ)正是使模型为其输出附带可信度评估的技术。这一点在中医药中尤为重要:一方面,中医数据普遍存在弱标签、小样本与分布不均的问题 [Yuan et al., 2025; Fu et al., 2025],模型在数据稀疏区域的预测本就不可靠;另一方面,大模型存在过度自信的现象,仅依赖监督微调易产生过度自信的预测 [Jia et al., 2025],且在错误信息识别上急剧失准 [Zheng et al., 2025]。当模型自信地给出错误答案时,UQ 所提供的低置信度预警,便是阻止错误传导至临床的最后一道防线。</w:t>
      </w:r>
    </w:p>
    <w:p w14:paraId="35FEE44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不确定性的两种来源及其在中医药语境下的再诠释。学界通常将不确定性分为两类:偶然不确定性(aleatoric uncertainty)源于数据本身固有的噪声与模糊,即使无限增加数据也无法消除;认知不确定性(epistemic uncertainty)则源于模型知识的欠缺,可通过增加数据或改进模型加以缓解 [Kendall &amp; Gal, 2017; Hüllermeier &amp; Waegeman, 2021]。这一区分在中医药中具有特殊的诠释价值:辨证标注的主观性主要贡献偶然不确定性(同一舌象被不同医师判读不同,属任务本身固有的模糊),而罕见病与罕见证型则主要贡献认知不确定性(源于模型见识有限)。区分二者,有助于研究者判断究竟应补充数据(对应认知不确定性),还是承认任务本身的模糊并转交人工(对应偶然不确定性);这一思路在中医药 UQ 研究中尚未得到系统应用,是一处明确的研究空白。</w:t>
      </w:r>
    </w:p>
    <w:p w14:paraId="627CD8A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主流UQ方法及其向中医药迁移的前景。通用领域已积累四类成熟方法,它们向中医药大模型的迁移构成了明确的研究议程。</w:t>
      </w:r>
    </w:p>
    <w:p w14:paraId="67CDF8D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贝叶斯近似,以蒙特卡洛 Dropout(Monte Carlo Dropout)为代表:在推理时多次随机失活以近似预测分布 [Gal &amp; Ghahramani, 2016]。将其应用于中医辨证模型,可为模型对某次辨证的把握程度提供低成本的估计。</w:t>
      </w:r>
    </w:p>
    <w:p w14:paraId="1EE4087A">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深度集成(Deep Ensemble):训练多个模型,以其分歧程度衡量不确定性,并对分布外样本表达更高的不确定性 [Lakshminarayanan et al., 2017]。这对中医跨流派、跨地域的分布外场景尤具价值。</w:t>
      </w:r>
    </w:p>
    <w:p w14:paraId="06856233">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模型校准(Calibration):使模型输出的概率与真实正确率相匹配,避免出现置信度为 90% 而实际正确率仅 60% 的情形;已有研究发现现代神经网络往往校准不良 [Guo et al., 2017]。中医药模型的过度自信现象 [Jia et al., 2025] 正是校准问题的典型表现,未来应将校准评估纳入中医药模型的标准验收。</w:t>
      </w:r>
    </w:p>
    <w:p w14:paraId="3AD1A1C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rPr>
      </w:pPr>
      <w:r>
        <w:rPr>
          <w:rFonts w:hint="eastAsia"/>
        </w:rPr>
        <w:t>共形预测(Conformal Prediction):在给定显著性水平下输出预测集合并给出覆盖率保证,且对模型本身几乎不作分布假设 [Angelopoulos &amp; Bates, 2021; Shafer &amp; Vovk, 2008; Vovk et al., 2005]。其无分布假设与覆盖率保证的特性,使之特别适用于黑箱大模型与高风险医疗相结合的场景。</w:t>
      </w:r>
    </w:p>
    <w:p w14:paraId="0132542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值得关注的是,UQ 在医疗大模型中的应用已在通用医学领域起步:有研究专门探讨医学大模型 UQ 的挑战与哲学意涵 [Zhang et al., 2025, arXiv:2504.05278],有研究构建了面向临床问答的 LLM 不确定性与校准基准 [arXiv:2506.10769],亦有研究将共形预测用于医疗多选问答以提供覆盖率保证 [Kumar et al., 2023, arXiv:2305.18404; arXiv:2503.05505],还有研究通过集成与多任务提示降低临床任务的不确定性 [arXiv:2411.03497]。这些通用医疗 UQ 工作尚未进入中医药领域,将其迁移并针对中医数据特性加以改造,是一个兼具方法学创新与临床价值的方向。</w:t>
      </w:r>
    </w:p>
    <w:p w14:paraId="5DBD3DBD">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UQ 在中医药研究中的落点。对研究生而言,UQ 的实践价值主要体现在三个方面:其一,在辨证或荐方的输出旁附加置信度,当置信度较低时触发转人工复核或选择性弃答(selective prediction);其二,以认知不确定性指导主动学习,优先标注模型最难判断的罕见证型样本,以缓解小样本困境;其三,以校准与共形覆盖率检验模型置信度是否名副其实,作为安全性评测的重要补充。</w:t>
      </w:r>
    </w:p>
    <w:p w14:paraId="53F385F6">
      <w:pPr>
        <w:pStyle w:val="4"/>
        <w:bidi w:val="0"/>
        <w:rPr>
          <w:rFonts w:hint="eastAsia"/>
          <w:lang w:eastAsia="zh-CN"/>
        </w:rPr>
      </w:pPr>
      <w:r>
        <w:rPr>
          <w:rFonts w:hint="eastAsia"/>
        </w:rPr>
        <w:t>(二)鲁棒性(Robustness):应对扰动与分布变化的能力</w:t>
      </w:r>
    </w:p>
    <w:p w14:paraId="29769FEB">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概念与三类典型扰动。鲁棒性指模型在输入受到扰动或环境发生变化时,仍能保持稳定而正确的能力。在中医药AI中,至少有三类扰动值得关注:其一,分布偏移(distribution shift)或分布外(Out-of-Distribution, OOD),即训练与部署的分布不一致(如以某地某流派的医案训练,却部署于另一地、另一人群);其二,对抗扰动(adversarial perturbation),即输入被人为微调以诱导模型出错;其三,数据质量波动,即采集设备、标注标准与文本格式差异所带来的噪声。</w:t>
      </w:r>
    </w:p>
    <w:p w14:paraId="687651BE">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中医药场景中已显现的鲁棒性隐忧。已有研究从不同侧面揭示了相关问题。其一,对扰动的脆弱性:面向中医药临床的动态基准 DCB 特意在生成的医患对话中注入精心设计的扰动以考察模型 [Shi et al., 2026];针对错误信息的评测进一步构造了错误选项测试、误导引导测试与捏造实体测试,发现模型在这些对抗性设置下表现急剧退化,对捏造概念几乎无法识别 [Zheng et al., 2025]。其二,对分布与人群的敏感性:不同语言与文化来源的模型在中医任务上差异显著,表明模型对训练分布高度敏感、跨域外推能力有限 [Zhu et al., 2024; Ghanad et al., 2025]。其三,对样本规模与分布不均的脆弱性:中药与药物相互作用预测面临数据质量低、分布不均的挑战 [Yuan et al., 2025],少样本舌诊体质判别则凸显了在有限数据下提升泛化能力的迫切性 [Fu et al., 2025]。</w:t>
      </w:r>
    </w:p>
    <w:p w14:paraId="6E33B06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一处明确的研究空白与展望。须如实指出,目前尚无专门针对中医药大模型的对抗鲁棒性与分布外泛化系统性评测的独立研究,这是一处真实存在的空白。通用领域的深度集成等方法已被证明能对分布外样本表达更高的不确定性 [Lakshminarayanan et al., 2017],但尚未被系统地迁移至中医药大模型。未来亟需开展的工作包括:构建中医药专属的鲁棒性与OOD评测基准(覆盖跨流派、跨地域、跨人群、四诊不全等真实扰动),研究症状表述变体、方言化问诊、古今术语混用等中医特有扰动下的鲁棒性,以及将RAG、知识图谱约束、排除式纠错 [Wang et al., 2026; Yang et al., 2026; Nie et al., 2025; Zhou et al., 2026]、数据增广 [Zhou et al., 2024]、智能体按需检索 [Lee et al., 2026] 等已有手段系统性地用于提升鲁棒性并加以严格评估。通用医疗大模型领域已出现对抗鲁棒性与安全性评测基准(如 MedFuzz、CARES)[Ness et al., 2024; Chen S et al., 2025],但面向中医药大模型的对抗鲁棒性与分布外泛化的系统性评测基准仍付之阙如。</w:t>
      </w:r>
    </w:p>
    <w:p w14:paraId="754DFF49">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鲁棒性评估的未来准则。评估鲁棒性不应止于平均准确率,而应包括:在扰动或对抗样本上的性能下降幅度、跨数据集与跨人群的迁移性能,以及对捏造信息的拒识能力。一个在标准测试集上表现优异、却在轻微扰动下崩溃的模型,在临床上是不可接受的 [Zheng et al., 2025; Shi et al., 2026]。未来中医药模型的验收标准,应当包含鲁棒性指标,而不应仅有准确率。</w:t>
      </w:r>
    </w:p>
    <w:p w14:paraId="338C296F">
      <w:pPr>
        <w:pStyle w:val="4"/>
        <w:bidi w:val="0"/>
        <w:rPr>
          <w:rFonts w:hint="eastAsia"/>
          <w:lang w:eastAsia="zh-CN"/>
        </w:rPr>
      </w:pPr>
      <w:r>
        <w:rPr>
          <w:rFonts w:hint="eastAsia"/>
        </w:rPr>
        <w:t>(三)算法公平性(Algorithmic Fairness):确保模型对不同群体公平</w:t>
      </w:r>
    </w:p>
    <w:p w14:paraId="45000E75">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1. 公平性为何是中医药AI的硬性约束。算法公平性关注模型是否对不同群体(如性别、年龄、地域、民族、语言等)产生系统性的差异化对待。医疗AI若存在偏倚,可能加剧而非缩小健康不平等。关于医疗算法偏倚的经典实证研究表明,某一被广泛使用的健康管理算法在相同风险评分下,系统性地低估了某些群体的患病程度 [Obermeyer et al., 2019]。中医药AI在这方面有一个被实证记录的典型问题,即语言与文化偏倚:研究表明,不同国家研发的大模型在中医任务上表现差异显著,凸显了本地化模型的必要性 [Zhu et al., 2024];GPT 与 ERNIE 在中医执业资格考试上的对比,进一步说明训练数据的文化背景会实质性地影响表现 [Ghanad et al., 2025]。这意味着,一个在英文或西方语料上训练的模型,可能对中文使用者与中医知识体系构成隐性的不公平。</w:t>
      </w:r>
    </w:p>
    <w:p w14:paraId="3C5EEB5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2. 偏倚的来源。在中医药AI中,公平性问题主要来自以下方面:数据代表性不足(语料偏向某些地区、流派或人群,而中医数据的地域性与流派性恰恰显著);标注偏倚(辨证标注的主观性可能将个别医师的偏好固化进模型 [Wang et al., 2025]);语料的语言与文化倾向(通用底座的预训练语料以特定语言文化为主,带入先天倾向 [Zhu et al., 2024]);以及采集偏倚(四诊采集设备与条件的差异,可能对某些人群系统性不利)。</w:t>
      </w:r>
    </w:p>
    <w:p w14:paraId="77BBEA07">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3. 公平性度量与不可兼得性。公平性可从多个角度度量,例如不同群体间错误率均等(机会均等,equalized odds / equal opportunity)[Hardt et al., 2016]。但对中医药AI研究者而言,一个至关重要的理论结论是:不同的公平性定义往往无法同时满足,存在不可兼得(impossibility)的权衡:当群体间基础发生率不同时,校准与各类错误率均等无法同时成立 [Kleinberg et al., 2017; Chouldechova, 2017]。这意味着,追求绝对公平在数学上不可达,实践中必须明确优先保证哪一种公平,并公开这一价值选择。关于偏倚来源与公平性定义的系统梳理,可参考相关综述 [Mehrabi et al., 2021]。去偏策略大致可分为三类:数据层面(提升代表性、平衡采样、补充欠代表群体的数据)、模型层面(在训练目标中加入公平性约束)与后处理层面(对输出按群体加以校正)。</w:t>
      </w:r>
    </w:p>
    <w:p w14:paraId="2D08073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4. 中医药公平性的未来抓手。在中医药语境下,最现实也最根本的抓手,仍是提升数据在人群与流派上的代表性,并发展本地化模型以纠正语言文化偏倚 [Zhu et al., 2024]。在此基础上,值得投入的方向包括:建立中医药AI的公平性评测基准(覆盖地域、民族、流派、语言等维度),研究流派公平性这一中医独有的命题(即模型是否系统性偏向某一流派),以及将公平性与可解释性、隐私统筹考量,因为公平性问题往往需借助可解释性才能被发现,又常与隐私保护相互制约(细粒度的群体公平性评估需要敏感属性数据,这与隐私最小化原则存在张力)[Ren et al., 2025; Shataer et al., 2025]。</w:t>
      </w:r>
    </w:p>
    <w:p w14:paraId="0CD76895">
      <w:pPr>
        <w:pStyle w:val="4"/>
        <w:bidi w:val="0"/>
        <w:rPr>
          <w:rFonts w:hint="eastAsia"/>
        </w:rPr>
      </w:pPr>
      <w:r>
        <w:rPr>
          <w:rFonts w:hint="eastAsia"/>
        </w:rPr>
        <w:t>(四)走向可信:面向中医药的整合视角与研究展望</w:t>
      </w:r>
    </w:p>
    <w:p w14:paraId="5D18F22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将不确定性量化、鲁棒性与算法公平性整合到中医药AI研究中,可凝练为几条具有实践指导意义的原则。其一,使模型量力而行:为模型输出附带不确定性度量,在低置信时触发人工复核,将UQ作为安全闸门 [Jia et al., 2025; Zheng et al., 2025; Guo et al., 2017]。其二,使模型经得起扰动:在评测中纳入对抗与分布外测试,关注性能下降幅度与拒识能力 [Shi et al., 2026; Zheng et al., 2025]。其三,使模型对不同群体公平:以提升数据代表性与发展本地化模型为根本,并清醒认识公平性的不可兼得,公开价值取舍 [Zhu et al., 2024; Kleinberg et al., 2017; Chouldechova, 2017]。其四,使人始终处于决策回路之中:将AI定位为辅助决策工具,保留人类把关点,警惕自动化偏见 [Wang et al., 2026; Li et al., 2025; Lin et al., 2026]。</w:t>
      </w:r>
    </w:p>
    <w:p w14:paraId="677041FD">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最后须如实承认,这也正是本章最重要的展望:当前中医药领域在可信AI上的研究仍处于早期阶段,UQ、对抗鲁棒性与系统化公平性评估的专门工作相对匮乏,多数证据是从减少幻觉、提升安全性、揭示文化偏倚等侧面间接获得的 [Wang et al., 2026; Zheng et al., 2025; Zhu et al., 2024]。通用领域成熟的可信AI方法学,包括两类不确定性的区分 [Kendall &amp; Gal, 2017; Hüllermeier &amp; Waegeman, 2021],蒙特卡洛 Dropout、深度集成、校准与共形预测 [Gal &amp; Ghahramani, 2016; Lakshminarayanan et al., 2017; Guo et al., 2017; Angelopoulos &amp; Bates, 2021],以及公平性度量与不可兼得定理 [Hardt et al., 2016; Kleinberg et al., 2017; Chouldechova, 2017],尚未与中医药的特殊数据特征系统结合。这恰恰意味着,可信AI是中医药人工智能研究中一片兼具前沿性与紧迫性的开放领域。对有志于此的研究生而言,将成熟的可信AI方法学与中医药特性相结合,构建中医药专属的可信性评测基准与安全工程范式,既是方法学上的创新点,也是使上一节所述前景得以安全落地的必由之路。</w:t>
      </w:r>
    </w:p>
    <w:p w14:paraId="16987D70">
      <w:pPr>
        <w:pageBreakBefore w:val="0"/>
        <w:widowControl w:val="0"/>
        <w:kinsoku/>
        <w:wordWrap/>
        <w:overflowPunct/>
        <w:topLinePunct w:val="0"/>
        <w:autoSpaceDE/>
        <w:autoSpaceDN/>
        <w:bidi w:val="0"/>
        <w:adjustRightInd/>
        <w:snapToGrid/>
        <w:spacing w:beforeAutospacing="0" w:afterAutospacing="0"/>
        <w:ind w:firstLine="480" w:firstLineChars="200"/>
        <w:textAlignment w:val="auto"/>
        <w:rPr>
          <w:rFonts w:hint="eastAsia" w:eastAsia="仿宋_GB2312"/>
          <w:lang w:eastAsia="zh-CN"/>
        </w:rPr>
      </w:pPr>
      <w:r>
        <w:rPr>
          <w:rFonts w:hint="eastAsia"/>
        </w:rPr>
        <w:t>本节小结:可信AI是医疗AI的底线。不确定性量化使模型能够识别自身能力的边界,鲁棒性使模型能够应对扰动与分布变化,算法公平性使模型不歧视任何群体。三者相互支撑,并与可解释性、隐私保护共同构成可信AI的整体。在中医药场景下,辨证的主观性、数据的稀缺与不均、语言与文化偏倚使上述问题更为尖锐;现有证据多为间接,专门研究仍有待加强。</w:t>
      </w:r>
    </w:p>
    <w:p w14:paraId="1319660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Dai Y, Shao X, Zhang J, et al. TCMChat: A generative large language model for traditional Chinese medicine. Pharmacological Research, 2024, 210: 107530. DOI: 10.1016/j.phrs.2024.107530</w:t>
      </w:r>
    </w:p>
    <w:p w14:paraId="3B93EDD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Zhu J, Gong Q, Zhou C, Luan H. ZhongJing: A Locally Deployed Large Language Model for Traditional Chinese Medicine... ISAIMS 2023: 1036–1042. DOI: 10.1145/3644116.3644294</w:t>
      </w:r>
    </w:p>
    <w:p w14:paraId="58273D34">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Jia Y, Ji X, Wang X, et al. Qibo: A Large Language Model for traditional Chinese medicine. Expert Systems With Applications, 2025, 284: 127672. DOI: 10.1016/j.eswa.2025.127672</w:t>
      </w:r>
    </w:p>
    <w:p w14:paraId="198F621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Hua R, Dong X, Wei Y, et al. Lingdan: enhancing encoding of traditional Chinese medicine knowledge for clinical reasoning tasks with large language models. JAMIA, 2024. DOI: 10.1093/jamia/ocae087</w:t>
      </w:r>
    </w:p>
    <w:p w14:paraId="0EE7B41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He W, Yu S, Li L, et al. TCM-R1: Enhancing the Traditional Chinese Medicine Capabilities of Large Language Models Through Group Relative Policy Optimization. APWeb-WAIM 2025, LNCS 16113: 322–337. DOI: 10.1007/978-981-95-5640-3_21</w:t>
      </w:r>
    </w:p>
    <w:p w14:paraId="4637453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Tong X, Ding X, Jia H, et al. XuanHuGPT: parameter-efficient fine-tuning of large language model in the field of traditional Chinese medicine. Chinese Medicine, 2025, 20(1): 204. DOI: 10.1186/s13020-025-01200-3</w:t>
      </w:r>
    </w:p>
    <w:p w14:paraId="1793357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X, He H, Lu G, et al. TCM-DS: a large language model for intelligent traditional Chinese medicine edible herbal formulas recommendations. Chinese Medicine, 2025, 20(1): 191. DOI: 10.1186/s13020-025-01249-0</w:t>
      </w:r>
    </w:p>
    <w:p w14:paraId="506F4B9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Wen J, Liu D, Xie Y, et al. AcuGPT-Agent: An LLM-powered intelligent system for acupuncture-based infertility treatment. Neurocomputing, 2025, 652: 131116. DOI: 10.1016/j.neucom.2025.131116</w:t>
      </w:r>
    </w:p>
    <w:p w14:paraId="5FDDF3E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Zhou X, Li C, Dong X, et al. TCM-FTP: Fine-Tuning Large Language Models for Herbal Prescription Prediction. IEEE BIBM 2024: 4092–4097. DOI: 10.1109/BIBM62325.2024.10822451</w:t>
      </w:r>
    </w:p>
    <w:p w14:paraId="21F3AD5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Wang L, Tang K, Yang Z, et al. GastroTCM: a large language model assistant for gastroenterology in traditional Chinese medicine. Chinese Medicine, 2026, 21(1): 46. DOI: 10.1186/s13020-025-01295-8</w:t>
      </w:r>
    </w:p>
    <w:p w14:paraId="4B5AB7E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Qin S, Wang Y, Cui T, et al. Intelligent Chinese patent medicine (CPM) recommendation framework... Pharmacological Research, 2025, 219: 107883. DOI: 10.1016/j.phrs.2025.107883</w:t>
      </w:r>
    </w:p>
    <w:p w14:paraId="5379008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Duan Y, Zhou Q, Li Y, et al. Research on a traditional Chinese medicine case-based question-answering system integrating large language models and knowledge graphs. Frontiers in Medicine, 2025, 11: 1512329. DOI: 10.3389/fmed.2024.1512329</w:t>
      </w:r>
    </w:p>
    <w:p w14:paraId="37FB174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Yang Q, Han J, Wang H, et al. Knowledge Graph Enhanced Large Language Models for Traditional Chinese Medicine Question-Answering. IEEE BigComp 2026: 96–103. DOI: 10.1109/BigComp68355.2026.00029</w:t>
      </w:r>
    </w:p>
    <w:p w14:paraId="6D8380C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Zhang Y, Hao Y. Traditional Chinese Medicine Knowledge Graph Construction Based on Large Language Models. Electronics, 2024, 13(7): 1395. DOI: 10.3390/electronics13071395</w:t>
      </w:r>
    </w:p>
    <w:p w14:paraId="5B967BB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Ke L, Lai L, Xu X, et al. Construction of a knowledge graph of acupuncture famous doctors' medical cases based on information extraction from large language model. IEEE BIBM 2024: 4854–4860. DOI: 10.1109/BIBM62325.2024.10821904</w:t>
      </w:r>
    </w:p>
    <w:p w14:paraId="05450D0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Zhou Y, Huang R, Lin C, et al. Dynamic knowledge correction via abductive for domain question answering. Information Processing &amp; Management, 2026, 63(1): 104306. DOI: 10.1016/j.ipm.2025.104306</w:t>
      </w:r>
    </w:p>
    <w:p w14:paraId="05AA9F62">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Nie G, Zhou Y, Xu D, Qin Y. DiagX-DT: diagnostic exclusion reasoning with dialectical thinking for traditional Chinese medicine in large language models. J King Saud Univ – Comput Inf Sci, 2025, 37(5): 102. DOI: 10.1007/s44443-025-00123-1</w:t>
      </w:r>
    </w:p>
    <w:p w14:paraId="1F40A53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S, Tan W, Zhang C, et al. Taming large language models to implement diagnosis... in acupuncture and moxibustion. Expert Systems With Applications, 2025, 264: 125920. DOI: 10.1016/j.eswa.2024.125920</w:t>
      </w:r>
    </w:p>
    <w:p w14:paraId="1ADB72A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Yuan S, Zhou Z, Jin X, et al. Enhancing Herbal Medicine-Drug Interaction Prediction Using Large Language Models. IEEE JBHI, 2025, 29(10): 6971–6981. DOI: 10.1109/JBHI.2025.3558667</w:t>
      </w:r>
    </w:p>
    <w:p w14:paraId="59C25D7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Zhang R, Xie W, Lin Q, et al. When East Meets West: Cross-Domain Drug Interaction Annotations With Large Language Models and Bidirectional Neural Networks. IEEE JBHI, 2025, 29(10): 7694–7703. DOI: 10.1109/JBHI.2025.3563289</w:t>
      </w:r>
    </w:p>
    <w:p w14:paraId="6A68490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Fu C, Fu Z, Yan S, et al. In-Context Multitask Learning for Few-shot Fine-tuning of Large Language Models in Traditional Chinese Medicine Tongue Diagnosis. ICASSP 2025. DOI: 10.1109/ICASSP49660.2025.10887764</w:t>
      </w:r>
    </w:p>
    <w:p w14:paraId="089D840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Wang L, Tang K, Wang Y, et al. Advancements in Artificial Intelligence-Driven Diagnostic Models for Traditional Chinese Medicine. American Journal of Chinese Medicine, 2025, 53(3): 647–673. DOI: 10.1142/S0192415X25500259</w:t>
      </w:r>
    </w:p>
    <w:p w14:paraId="5713B8A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Zheng Y, Yuan J, Liu L, et al. Evaluating Large Language Models in Traditional Chinese Medicine with Enhanced Misinformation Detection. UbiComp Companion 2025: 1358–1363. DOI: 10.1145/3714394.3756275</w:t>
      </w:r>
    </w:p>
    <w:p w14:paraId="077AC3A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Shi D, Yi X, Li Y, Wang L. Benchmarking large language models for end-to-end clinical support in traditional Chinese medicine. Expert Systems With Applications, 2026, 325: 132267. DOI: 10.1016/j.eswa.2026.132267</w:t>
      </w:r>
    </w:p>
    <w:p w14:paraId="361C894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Lin J, Dai G, Peng W, et al. ATCMD-Bench: Agentic Traditional Chinese Medicine diagnosis benchmark for Large Language Models via multi-agent simulation. Pattern Recognition, 2026, 179: 113679. DOI: 10.1016/j.patcog.2026.113679</w:t>
      </w:r>
    </w:p>
    <w:p w14:paraId="346E4B3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Lee W, Kim J, Leem J, et al. Benchmark Evaluation of a Tool-Augmented Large Language Model Agent Using Traditional Asian Medicine Metadata. Applied Sciences, 2026, 16(7): 3377. DOI: 10.3390/app16073377</w:t>
      </w:r>
    </w:p>
    <w:p w14:paraId="1B217DB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Y, Huang S, Qi J, et al. Evaluating Large-Scale and Lightweight Large Language Models for Traditional Chinese Medicine Exam Questions. Journal of Evidence-Based Medicine, 2026, 19(1). DOI: 10.1111/jebm.70118</w:t>
      </w:r>
    </w:p>
    <w:p w14:paraId="17524875">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Ghanad E, Weiss C, Gao H, et al. GPT Versus ERNIE for National Traditional Chinese Medicine Licensing Examination: Does Cultural Background Matter? J Integrative and Complementary Medicine, 2025, 31(9): 844–848. DOI: 10.1089/jicm.2024.0902</w:t>
      </w:r>
    </w:p>
    <w:p w14:paraId="5B1939C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Zheng C, Zhu Y, Bi H. Exploring the Application of 7B LLMs for Named Entity Recognition in Chinese Ancient Texts. Proc. 2nd Workshop on Ancient Language Processing, 2025: 106–111.</w:t>
      </w:r>
    </w:p>
    <w:p w14:paraId="65A27C3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Zhu L, Mou W, Lai Y, et al. Language and cultural bias in AI... need for localized models. Journal of Translational Medicine, 2024, 22(1): 319. DOI: 10.1186/s12967-024-05128-4</w:t>
      </w:r>
    </w:p>
    <w:p w14:paraId="4502F9A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 X, Chen S, Meng M, et al. Research progress and implications of the application of large language model in shared decision-making in China's healthcare field. Frontiers in Public Health, 2025, 13: 1605212. DOI: 10.3389/fpubh.2025.1605212</w:t>
      </w:r>
    </w:p>
    <w:p w14:paraId="4AAE26F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Lin W, Yin T, Chen Z, et al. Brain compensation mechanisms of large language models in clinical decision-making in acupuncture: A fusion study using fNIRS and eye-tracking. Expert Systems With Applications, 2026, 306: 130870. DOI: 10.1016/j.eswa.2025.130870</w:t>
      </w:r>
    </w:p>
    <w:p w14:paraId="4E23EF20">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Lee W, Han S, Kim J, et al. Gen-SynDi: Leveraging Knowledge-Guided Generative AI for Dual Education of Syndrome Differentiation and Disease Diagnosis. Applied Sciences, 2025, 15(9): 4862. DOI: 10.3390/app15094862</w:t>
      </w:r>
    </w:p>
    <w:p w14:paraId="496FFED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Ren Y, Luo X, Wang Y, et al. Large Language Models in Traditional Chinese Medicine: A Scoping Review. Journal of Evidence-Based Medicine, 2025, 18(1): e12658. DOI: 10.1111/jebm.12658</w:t>
      </w:r>
    </w:p>
    <w:p w14:paraId="0DB95C84">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Shataer D, Cao S, Liu X, et al. Application of Large Language Models in Traditional Chinese Medicine: A State-of-the-Art Review. American Journal of Chinese Medicine, 2025, 53(4): 973–997. DOI: 10.1142/S0192415X25500375</w:t>
      </w:r>
    </w:p>
    <w:p w14:paraId="7C96C68A">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Xu Q, Wu T, Wang Y, et al. A comprehensive review of intelligent question-answering systems in traditional Chinese medicine based on LLMs. Journal of Pharmaceutical Analysis, 2026, 16(4): 101406. DOI: 10.1016/j.jpha.2025.101406</w:t>
      </w:r>
    </w:p>
    <w:p w14:paraId="21B55D7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High-Level Expert Group on AI (European Commission). Ethics Guidelines for Trustworthy AI. 2019. https://digital-strategy.ec.europa.eu/en/library/ethics-guidelines-trustworthy-ai</w:t>
      </w:r>
    </w:p>
    <w:p w14:paraId="59BD1D0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National Institute of Standards and Technology (NIST). Artificial Intelligence Risk Management Framework (AI RMF 1.0), NIST AI 100-1. 2023. DOI: 10.6028/NIST.AI.100-1</w:t>
      </w:r>
    </w:p>
    <w:p w14:paraId="1B9EAD3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World Health Organization. Ethics and Governance of Artificial Intelligence for Health. 2021. https://www.who.int/publications/i/item/9789240029200</w:t>
      </w:r>
    </w:p>
    <w:p w14:paraId="370E22D3">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Jobin A, Ienca M, Vayena E. The global landscape of AI ethics guidelines. Nature Machine Intelligence, 2019, 1: 389–399. DOI: 10.1038/s42256-019-0088-2</w:t>
      </w:r>
    </w:p>
    <w:p w14:paraId="2A26594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Floridi L, Cowls J. A Unified Framework of Five Principles for AI in Society. Harvard Data Science Review, 2019. DOI: 10.1162/99608f92.8cd550d1</w:t>
      </w:r>
    </w:p>
    <w:p w14:paraId="159F2E26">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Liu H, et al. Trustworthy AI: A Computational Perspective. 2021. arXiv:2107.06641</w:t>
      </w:r>
    </w:p>
    <w:p w14:paraId="3F1866E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Kendall A, Gal Y. What Uncertainties Do We Need in Bayesian Deep Learning for Computer Vision? NeurIPS, 2017. arXiv:1703.04977</w:t>
      </w:r>
    </w:p>
    <w:p w14:paraId="38E19271">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Hüllermeier E, Waegeman W. Aleatoric and epistemic uncertainty in machine learning: an introduction to concepts and methods. Machine Learning, 2021, 110: 457–506. DOI: 10.1007/s10994-021-05946-3</w:t>
      </w:r>
    </w:p>
    <w:p w14:paraId="2F8E3E4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Gal Y, Ghahramani Z. Dropout as a Bayesian Approximation: Representing Model Uncertainty in Deep Learning. ICML, 2016. arXiv:1506.02142</w:t>
      </w:r>
    </w:p>
    <w:p w14:paraId="1776505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Lakshminarayanan B, Pritzel A, Blundell C. Simple and Scalable Predictive Uncertainty Estimation using Deep Ensembles. NeurIPS, 2017. arXiv:1612.01474</w:t>
      </w:r>
    </w:p>
    <w:p w14:paraId="741C5F0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Guo C, Pleiss G, Sun Y, Weinberger KQ. On Calibration of Modern Neural Networks. ICML, 2017. arXiv:1706.04599</w:t>
      </w:r>
    </w:p>
    <w:p w14:paraId="4F2A0BD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Angelopoulos AN, Bates S. A Gentle Introduction to Conformal Prediction and Distribution-Free Uncertainty Quantification. 2021. arXiv:2107.07511</w:t>
      </w:r>
    </w:p>
    <w:p w14:paraId="381DFEDE">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Shafer G, Vovk V. A Tutorial on Conformal Prediction. Journal of Machine Learning Research, 2008, 9: 371–421. https://jmlr.org/papers/v9/shafer08a.html</w:t>
      </w:r>
    </w:p>
    <w:p w14:paraId="5D6CA80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Vovk V, Gammerman A, Shafer G. Algorithmic Learning in a Random World. Springer, 2005. DOI: 10.1007/b106715</w:t>
      </w:r>
    </w:p>
    <w:p w14:paraId="4A44ED0F">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(Medical LLM UQ — challenges &amp; implications.) arXiv:2504.05278</w:t>
      </w:r>
    </w:p>
    <w:p w14:paraId="6BB17A39">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(Benchmarking LLM Uncertainty and Calibration with Clinical QA.) arXiv:2506.10769</w:t>
      </w:r>
    </w:p>
    <w:p w14:paraId="4740663B">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(Conformal Prediction with LLMs for Multi-Choice QA.) arXiv:2305.18404</w:t>
      </w:r>
    </w:p>
    <w:p w14:paraId="0D8F562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(Enhanced Conformal Prediction for Medical MCQA coverage.) arXiv:2503.05505</w:t>
      </w:r>
    </w:p>
    <w:p w14:paraId="1C943FD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(Uncertainty Quantification for Clinical Tasks with (Large) Language Models.) arXiv:2411.03497</w:t>
      </w:r>
    </w:p>
    <w:p w14:paraId="1746E578">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Hardt M, Price E, Srebro N. Equality of Opportunity in Supervised Learning. NeurIPS, 2016. arXiv:1610.02413</w:t>
      </w:r>
    </w:p>
    <w:p w14:paraId="5AEA3895">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Kleinberg J, Mullainathan S, Raghavan M. Inherent Trade-Offs in the Fair Determination of Risk Scores. ITCS, 2017. arXiv:1609.05807; DOI: 10.4230/LIPIcs.ITCS.2017.43</w:t>
      </w:r>
    </w:p>
    <w:p w14:paraId="23D47AFC">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Chouldechova A. Fair Prediction with Disparate Impact: A Study of Bias in Recidivism Prediction Instruments. Big Data, 2017, 5(2): 153–163. arXiv:1610.07524; DOI: 10.1089/big.2016.0047</w:t>
      </w:r>
    </w:p>
    <w:p w14:paraId="4BA60A07">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rPr>
          <w:rFonts w:hint="eastAsia"/>
        </w:rPr>
      </w:pPr>
      <w:r>
        <w:rPr>
          <w:rFonts w:hint="eastAsia"/>
        </w:rPr>
        <w:t>Mehrabi N, Morstatter F, Saxena N, et al. A Survey on Bias and Fairness in Machine Learning. ACM Computing Surveys, 2021, 54(6). arXiv:1908.09635; DOI: 10.1145/3457607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rPr>
          <w:rFonts w:hint="eastAsia"/>
        </w:rPr>
        <w:t>Obermeyer Z, Powers B, Vogeli C, Mullainathan S. Dissecting racial bias in an algorithm used to manage the health of populations. Science, 2019, 366: 447–453. DOI: 10.1126/science.aax2342</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Pfeiffer J, Kamath A, Rücklé A, Cho K, Gurevych I. AdapterFusion: Non-Destructive Task Composition for Transfer Learning. EACL 2021: 487–503. DOI: 10.18653/v1/2021.eacl-main.39</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Huang C, Liu Q, Lin BY, Pang T, Du C, Lin M. LoraHub: Efficient Cross-Task Generalization via Dynamic LoRA Composition. COLM 2024. arXiv:2307.13269</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Tang X, Zou A, Zhang Z, et al. MedAgents: Large Language Models as Collaborators for Zero-shot Medical Reasoning. Findings of ACL 2024: 599–621. DOI: 10.18653/v1/2024.findings-acl.33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Kim Y, Park C, Jeong H, et al. MDAgents: An Adaptive Collaboration of LLMs for Medical Decision-Making. NeurIPS 2024. arXiv:2404.15155</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Chen J, Cai Z, Liu Z, et al. ShizhenGPT: Towards Multimodal LLMs for Traditional Chinese Medicine. 2025. arXiv:2508.14706</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Alakhdar A, Poczos B, Washburn N. Diffusion Models in De Novo Drug Design. Journal of Chemical Information and Modeling, 2024, 64(19): 7238–7256. DOI: 10.1021/acs.jcim.4c01107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Yang Y, Gu S, Liu B, et al. DiffMC-Gen: A Dual Denoising Diffusion Model for Multi-Conditional Molecular Generation. Advanced Science, 2025, 12(22): 2417726. DOI: 10.1002/advs.202417726</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Liu Y, Cao X, Chen T, et al. From Screens to Scenes: A Survey of Embodied AI in Healthcare. 2025. arXiv:2501.07468</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Xu R, Yu M, Han X, et al. HMR-1: Hierarchical Massage Robot with Vision-Language-Model for Embodied Healthcare. 2026. arXiv:2603.08817</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Hu G, Fang X. FLCMC: Federated Learning Approach for Chinese Medicinal Text Classification. Entropy, 2024, 26(10): 871. DOI: 10.3390/e26100871</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Ness RO, Matton K, Helm H, et al. MedFuzz: Exploring the Robustness of Large Language Models in Medical Question Answering. 2024. arXiv:2406.06573</w:t>
      </w:r>
    </w:p>
    <w:p w14:paraId="6905FCAD">
      <w:pPr>
        <w:pageBreakBefore w:val="0"/>
        <w:widowControl w:val="0"/>
        <w:numPr>
          <w:ilvl w:val="0"/>
          <w:numId w:val="1"/>
        </w:numPr>
        <w:kinsoku/>
        <w:wordWrap/>
        <w:overflowPunct/>
        <w:topLinePunct w:val="0"/>
        <w:autoSpaceDE/>
        <w:autoSpaceDN/>
        <w:bidi w:val="0"/>
        <w:adjustRightInd/>
        <w:snapToGrid/>
        <w:spacing w:beforeAutospacing="0" w:afterAutospacing="0"/>
        <w:ind w:left="425" w:leftChars="0" w:hanging="425" w:firstLineChars="0"/>
        <w:textAlignment w:val="auto"/>
      </w:pPr>
      <w:r>
        <w:t>Chen S, Li X, Zhang M, et al. CARES: Comprehensive Evaluation of Safety and Adversarial Robustness in Medical LLMs. 2025. arXiv:2505.11413</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KSOFE4500885">
    <w:panose1 w:val="02010609060101010101"/>
    <w:charset w:val="86"/>
    <w:family w:val="auto"/>
    <w:pitch w:val="default"/>
    <w:sig w:usb0="00000001" w:usb1="00000000" w:usb2="00000000" w:usb3="00000000" w:csb0="0004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KSOFE44F942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CC0255"/>
    <w:multiLevelType w:val="singleLevel"/>
    <w:tmpl w:val="A5CC0255"/>
    <w:lvl w:ilvl="0" w:tentative="0">
      <w:start w:val="1"/>
      <w:numFmt w:val="decimal"/>
      <w:lvlText w:val="%1)"/>
      <w:lvlJc w:val="left"/>
      <w:pPr>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136E92"/>
    <w:rsid w:val="10303AE2"/>
    <w:rsid w:val="105E3DB1"/>
    <w:rsid w:val="141C6857"/>
    <w:rsid w:val="150E2255"/>
    <w:rsid w:val="241E1276"/>
    <w:rsid w:val="25140B8D"/>
    <w:rsid w:val="2977792B"/>
    <w:rsid w:val="2F475B9D"/>
    <w:rsid w:val="2F6B5D0F"/>
    <w:rsid w:val="31CC672F"/>
    <w:rsid w:val="33064502"/>
    <w:rsid w:val="478D6269"/>
    <w:rsid w:val="47FD6F8A"/>
    <w:rsid w:val="482131BF"/>
    <w:rsid w:val="535C10DF"/>
    <w:rsid w:val="55617C55"/>
    <w:rsid w:val="55F1109F"/>
    <w:rsid w:val="57CA34A1"/>
    <w:rsid w:val="61EC25EE"/>
    <w:rsid w:val="74136E92"/>
    <w:rsid w:val="7B4A31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spacing w:line="360" w:lineRule="auto"/>
      <w:ind w:firstLine="0"/>
    </w:pPr>
    <w:rPr>
      <w:rFonts w:ascii="仿宋_GB2312" w:hAnsi="仿宋_GB2312" w:eastAsia="仿宋_GB2312" w:cs="仿宋_GB2312"/>
      <w:sz w:val="24"/>
      <w:szCs w:val="24"/>
    </w:rPr>
  </w:style>
  <w:style w:type="paragraph" w:styleId="2">
    <w:name w:val="heading 1"/>
    <w:basedOn w:val="1"/>
    <w:next w:val="1"/>
    <w:link w:val="12"/>
    <w:qFormat/>
    <w:uiPriority w:val="0"/>
    <w:pPr>
      <w:keepNext/>
      <w:keepLines/>
      <w:spacing w:before="480" w:after="0"/>
      <w:outlineLvl w:val="0"/>
    </w:pPr>
    <w:rPr>
      <w:rFonts w:asciiTheme="majorAscii" w:hAnsiTheme="majorAscii" w:eastAsiaTheme="majorEastAsia" w:cstheme="majorBidi"/>
      <w:b/>
      <w:bCs/>
      <w:color w:val="000000" w:themeColor="text1"/>
      <w:sz w:val="28"/>
      <w:szCs w:val="28"/>
      <w:lang w:val="en-US" w:eastAsia="en-US" w:bidi="ar-SA"/>
      <w14:textFill>
        <w14:solidFill>
          <w14:schemeClr w14:val="tx1"/>
        </w14:solidFill>
      </w14:textFill>
    </w:rPr>
  </w:style>
  <w:style w:type="paragraph" w:styleId="3">
    <w:name w:val="heading 2"/>
    <w:basedOn w:val="1"/>
    <w:next w:val="1"/>
    <w:link w:val="11"/>
    <w:unhideWhenUsed/>
    <w:qFormat/>
    <w:uiPriority w:val="0"/>
    <w:pPr>
      <w:spacing w:before="0" w:beforeAutospacing="1" w:after="0" w:afterAutospacing="1"/>
      <w:jc w:val="left"/>
    </w:pPr>
    <w:rPr>
      <w:rFonts w:hint="eastAsia" w:ascii="宋体" w:hAnsi="宋体" w:eastAsia="宋体" w:cs="宋体"/>
      <w:b/>
      <w:bCs/>
      <w:color w:val="000000" w:themeColor="text1"/>
      <w:kern w:val="0"/>
      <w:sz w:val="36"/>
      <w:szCs w:val="36"/>
      <w:lang w:val="en-US" w:eastAsia="zh-CN" w:bidi="ar"/>
      <w14:textFill>
        <w14:solidFill>
          <w14:schemeClr w14:val="tx1"/>
        </w14:solidFill>
      </w14:textFill>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character" w:customStyle="1" w:styleId="11">
    <w:name w:val="标题 2 Char"/>
    <w:link w:val="3"/>
    <w:autoRedefine/>
    <w:semiHidden/>
    <w:qFormat/>
    <w:uiPriority w:val="9"/>
    <w:rPr>
      <w:rFonts w:ascii="Arial" w:hAnsi="Arial" w:eastAsia="仿宋" w:cs="Times New Roman"/>
      <w:bCs/>
      <w:color w:val="000000" w:themeColor="text1"/>
      <w:sz w:val="28"/>
      <w:szCs w:val="32"/>
      <w:lang w:val="en-US" w:eastAsia="en-US" w:bidi="ar-SA"/>
      <w14:textFill>
        <w14:solidFill>
          <w14:schemeClr w14:val="tx1"/>
        </w14:solidFill>
      </w14:textFill>
    </w:rPr>
  </w:style>
  <w:style w:type="character" w:customStyle="1" w:styleId="12">
    <w:name w:val="标题 1 字符"/>
    <w:basedOn w:val="8"/>
    <w:link w:val="2"/>
    <w:qFormat/>
    <w:uiPriority w:val="9"/>
    <w:rPr>
      <w:rFonts w:eastAsia="仿宋" w:asciiTheme="majorAscii" w:hAnsiTheme="majorAscii" w:cstheme="majorBidi"/>
      <w:kern w:val="3"/>
      <w:sz w:val="30"/>
      <w:szCs w:val="48"/>
      <w:lang w:val="en-US" w:eastAsia="en-US" w:bidi="ar-SA"/>
      <w14:ligatures w14:val="standardContextual"/>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3</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2026-06-11T06:28:00Z</dcterms:created>
  <dc:creator>zhuzhu</dc:creator>
  <cp:lastModifiedBy>zhuzhu</cp:lastModifiedBy>
  <dcterms:modified xsi:type="dcterms:W3CDTF">2026-06-11T07:08:55Z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E88AB459739F4CC79803CE2510113188_11</vt:lpwstr>
  </property>
  <property fmtid="{D5CDD505-2E9C-101B-9397-08002B2CF9AE}" pid="4" name="KSOTemplateDocerSaveRecord">
    <vt:lpwstr>eyJoZGlkIjoiZThiMjczMWFlOTBlMmU1M2QxMjJjNTA2OGU1MDMyZDEiLCJ1c2VySWQiOiIzMDA4NTg3MjIifQ==</vt:lpwstr>
  </property>
</Properties>
</file>