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3BF49">
      <w:pPr>
        <w:pStyle w:val="3"/>
        <w:spacing w:after="240"/>
        <w:jc w:val="center"/>
      </w:pPr>
      <w:r>
        <w:rPr>
          <w:rFonts w:ascii="黑体" w:hAnsi="黑体" w:eastAsia="黑体"/>
          <w:b/>
          <w:sz w:val="44"/>
        </w:rPr>
        <w:t>第十章　中医药人工智能研究方法展望</w:t>
      </w:r>
    </w:p>
    <w:p w14:paraId="716916F4">
      <w:pPr>
        <w:pStyle w:val="4"/>
        <w:spacing w:after="160"/>
        <w:ind w:firstLine="562" w:firstLineChars="200"/>
        <w:jc w:val="left"/>
      </w:pPr>
      <w:r>
        <w:rPr>
          <w:rFonts w:ascii="Times New Roman" w:hAnsi="Times New Roman" w:eastAsia="宋体"/>
          <w:b/>
          <w:sz w:val="28"/>
        </w:rPr>
        <w:t>学习目标</w:t>
      </w:r>
    </w:p>
    <w:p w14:paraId="456784E7">
      <w:pPr>
        <w:pStyle w:val="5"/>
        <w:spacing w:after="80"/>
        <w:ind w:firstLine="482" w:firstLineChars="200"/>
        <w:jc w:val="left"/>
      </w:pPr>
      <w:r>
        <w:rPr>
          <w:rFonts w:ascii="Times New Roman" w:hAnsi="Times New Roman" w:eastAsia="黑体"/>
          <w:b/>
          <w:sz w:val="24"/>
        </w:rPr>
        <w:t>知识目标</w:t>
      </w:r>
    </w:p>
    <w:p w14:paraId="7C08D403">
      <w:pPr>
        <w:spacing w:after="80" w:line="360" w:lineRule="auto"/>
        <w:ind w:firstLine="480" w:firstLineChars="200"/>
        <w:jc w:val="both"/>
      </w:pPr>
      <w:r>
        <w:rPr>
          <w:rFonts w:ascii="Times New Roman" w:hAnsi="Times New Roman" w:eastAsia="宋体"/>
          <w:b w:val="0"/>
          <w:sz w:val="24"/>
        </w:rPr>
        <w:t>1. 理解生成式人工智能、大语言模型、多模态大模型、智能体、检索增强生成、知识图谱、参数高效微调等技术概念及其在中医药研究中的适配关系。</w:t>
      </w:r>
    </w:p>
    <w:p w14:paraId="45EFDCCE">
      <w:pPr>
        <w:spacing w:after="80" w:line="360" w:lineRule="auto"/>
        <w:ind w:firstLine="480" w:firstLineChars="200"/>
        <w:jc w:val="both"/>
      </w:pPr>
      <w:r>
        <w:rPr>
          <w:rFonts w:ascii="Times New Roman" w:hAnsi="Times New Roman" w:eastAsia="宋体"/>
          <w:b w:val="0"/>
          <w:sz w:val="24"/>
        </w:rPr>
        <w:t>2. 掌握可信人工智能的基本框架，能够说明可靠性、安全性、可解释性、公平性、隐私保护与可问责性之间的内在联系。</w:t>
      </w:r>
    </w:p>
    <w:p w14:paraId="0AC28022">
      <w:pPr>
        <w:spacing w:after="80" w:line="360" w:lineRule="auto"/>
        <w:ind w:firstLine="480" w:firstLineChars="200"/>
        <w:jc w:val="both"/>
      </w:pPr>
      <w:r>
        <w:rPr>
          <w:rFonts w:ascii="Times New Roman" w:hAnsi="Times New Roman" w:eastAsia="宋体"/>
          <w:b w:val="0"/>
          <w:sz w:val="24"/>
        </w:rPr>
        <w:t>3. 理解不确定性量化、鲁棒性评估、算法公平性度量的基本原理，并能结合中医药数据特征进行解释。</w:t>
      </w:r>
    </w:p>
    <w:p w14:paraId="3E61E5A9">
      <w:pPr>
        <w:pStyle w:val="5"/>
        <w:spacing w:after="80"/>
        <w:ind w:firstLine="482" w:firstLineChars="200"/>
        <w:jc w:val="left"/>
      </w:pPr>
      <w:r>
        <w:rPr>
          <w:rFonts w:ascii="Times New Roman" w:hAnsi="Times New Roman" w:eastAsia="黑体"/>
          <w:b/>
          <w:sz w:val="24"/>
        </w:rPr>
        <w:t>能力目标</w:t>
      </w:r>
    </w:p>
    <w:p w14:paraId="5185D68D">
      <w:pPr>
        <w:spacing w:after="80" w:line="360" w:lineRule="auto"/>
        <w:ind w:firstLine="480" w:firstLineChars="200"/>
        <w:jc w:val="both"/>
      </w:pPr>
      <w:r>
        <w:rPr>
          <w:rFonts w:ascii="Times New Roman" w:hAnsi="Times New Roman" w:eastAsia="宋体"/>
          <w:b w:val="0"/>
          <w:sz w:val="24"/>
        </w:rPr>
        <w:t>1. 能够针对中医药文本、图像、组学、临床真实世界数据和多模态数据，选择继续预训练、监督微调、参数高效微调、检索增强生成、知识图谱约束、智能体编排等适配路径。</w:t>
      </w:r>
    </w:p>
    <w:p w14:paraId="487A8D30">
      <w:pPr>
        <w:spacing w:after="80" w:line="360" w:lineRule="auto"/>
        <w:ind w:firstLine="480" w:firstLineChars="200"/>
        <w:jc w:val="both"/>
      </w:pPr>
      <w:r>
        <w:rPr>
          <w:rFonts w:ascii="Times New Roman" w:hAnsi="Times New Roman" w:eastAsia="宋体"/>
          <w:b w:val="0"/>
          <w:sz w:val="24"/>
        </w:rPr>
        <w:t>2. 能够设计面向中医药大模型的评测方案，将准确率、幻觉率、错误信息识别、置信度校准、分布外泛化、公平性分层评价纳入统一框架。</w:t>
      </w:r>
    </w:p>
    <w:p w14:paraId="5C6470A8">
      <w:pPr>
        <w:spacing w:after="80" w:line="360" w:lineRule="auto"/>
        <w:ind w:firstLine="480" w:firstLineChars="200"/>
        <w:jc w:val="both"/>
      </w:pPr>
      <w:r>
        <w:rPr>
          <w:rFonts w:ascii="Times New Roman" w:hAnsi="Times New Roman" w:eastAsia="宋体"/>
          <w:b w:val="0"/>
          <w:sz w:val="24"/>
        </w:rPr>
        <w:t>3. 能够把中医药术语规范、辨证论治逻辑、证据等级、临床安全约束转化为可计算的数据结构、模型约束与评价指标。</w:t>
      </w:r>
    </w:p>
    <w:p w14:paraId="21745553">
      <w:pPr>
        <w:pStyle w:val="5"/>
        <w:spacing w:after="80"/>
        <w:ind w:firstLine="482" w:firstLineChars="200"/>
        <w:jc w:val="left"/>
      </w:pPr>
      <w:r>
        <w:rPr>
          <w:rFonts w:ascii="Times New Roman" w:hAnsi="Times New Roman" w:eastAsia="黑体"/>
          <w:b/>
          <w:sz w:val="24"/>
        </w:rPr>
        <w:t>素养目标</w:t>
      </w:r>
    </w:p>
    <w:p w14:paraId="7F98CE5A">
      <w:pPr>
        <w:spacing w:after="80" w:line="360" w:lineRule="auto"/>
        <w:ind w:firstLine="480" w:firstLineChars="200"/>
        <w:jc w:val="both"/>
      </w:pPr>
      <w:r>
        <w:rPr>
          <w:rFonts w:ascii="Times New Roman" w:hAnsi="Times New Roman" w:eastAsia="宋体"/>
          <w:b w:val="0"/>
          <w:sz w:val="24"/>
        </w:rPr>
        <w:t>1. 形成“AI增强临床与科研、医师保留最终责任”的研究伦理意识。</w:t>
      </w:r>
    </w:p>
    <w:p w14:paraId="10A69E0D">
      <w:pPr>
        <w:spacing w:after="80" w:line="360" w:lineRule="auto"/>
        <w:ind w:firstLine="480" w:firstLineChars="200"/>
        <w:jc w:val="both"/>
      </w:pPr>
      <w:r>
        <w:rPr>
          <w:rFonts w:ascii="Times New Roman" w:hAnsi="Times New Roman" w:eastAsia="宋体"/>
          <w:b w:val="0"/>
          <w:sz w:val="24"/>
        </w:rPr>
        <w:t>2. 建立以患者安全、证据可靠、数据合规、模型可审查为核心的中医药人工智能研究观。</w:t>
      </w:r>
    </w:p>
    <w:p w14:paraId="6604C0E3">
      <w:pPr>
        <w:spacing w:after="80" w:line="360" w:lineRule="auto"/>
        <w:ind w:firstLine="480" w:firstLineChars="200"/>
        <w:jc w:val="both"/>
      </w:pPr>
      <w:r>
        <w:rPr>
          <w:rFonts w:ascii="Times New Roman" w:hAnsi="Times New Roman" w:eastAsia="宋体"/>
          <w:b w:val="0"/>
          <w:sz w:val="24"/>
        </w:rPr>
        <w:t>3. 理解中医药人工智能的发展应服务于中医药传承创新、临床质量提升和研究方法更新，避免以技术指标替代医学价值判断。</w:t>
      </w:r>
    </w:p>
    <w:p w14:paraId="42F6892E">
      <w:pPr>
        <w:pStyle w:val="4"/>
        <w:spacing w:after="200"/>
        <w:jc w:val="center"/>
      </w:pPr>
      <w:r>
        <w:rPr>
          <w:rFonts w:ascii="黑体" w:hAnsi="黑体" w:eastAsia="黑体"/>
          <w:b/>
          <w:sz w:val="36"/>
        </w:rPr>
        <w:t>第一节　生成式大模型与下一代AI技术在中医药中的适配前景</w:t>
      </w:r>
    </w:p>
    <w:p w14:paraId="56DAC7FA">
      <w:pPr>
        <w:pStyle w:val="5"/>
        <w:spacing w:after="120"/>
        <w:ind w:firstLine="562" w:firstLineChars="200"/>
        <w:jc w:val="left"/>
      </w:pPr>
      <w:r>
        <w:rPr>
          <w:rFonts w:ascii="Times New Roman" w:hAnsi="Times New Roman" w:eastAsia="宋体"/>
          <w:b/>
          <w:sz w:val="28"/>
        </w:rPr>
        <w:t>本节导读</w:t>
      </w:r>
    </w:p>
    <w:p w14:paraId="1EB797CF">
      <w:pPr>
        <w:spacing w:after="80" w:line="360" w:lineRule="auto"/>
        <w:ind w:firstLine="480" w:firstLineChars="200"/>
        <w:jc w:val="both"/>
      </w:pPr>
      <w:r>
        <w:rPr>
          <w:rFonts w:ascii="Times New Roman" w:hAnsi="Times New Roman" w:eastAsia="宋体"/>
          <w:b w:val="0"/>
          <w:sz w:val="24"/>
        </w:rPr>
        <w:t>前九章分别讨论了文本、图像、生物信号、组学、多模态、科学仪器、脑机接口、临床研究与真实世界证据等场景中的人工智能研究方法。本节在此基础上讨论生成式大模型与下一代人工智能技术的中医药适配路径。生成式人工智能不仅改变了知识检索、问答生成和文献整理方式，还正在影响辨证论治建模、方药推荐、医案结构化、科研假说生成、智能教育和真实世界研究仿真。本节重点不在于罗列已有模型，而在于回答三个方法学问题：第一，中医药领域需要何种知识基座才能支持大模型持续演进；第二，模型适配如何从语言层面的“会回答”转向医学层面的“可验证、可追溯、可监管”；第三，下一代AI技术进入中医药场景时必须满足哪些数据、知识、评测与安全条件。</w:t>
      </w:r>
    </w:p>
    <w:p w14:paraId="0C81B3D0">
      <w:pPr>
        <w:pStyle w:val="5"/>
        <w:spacing w:after="160"/>
        <w:ind w:firstLine="643" w:firstLineChars="200"/>
        <w:jc w:val="left"/>
      </w:pPr>
      <w:r>
        <w:rPr>
          <w:rFonts w:ascii="Times New Roman" w:hAnsi="Times New Roman" w:eastAsia="黑体"/>
          <w:b/>
          <w:sz w:val="32"/>
        </w:rPr>
        <w:t>一、</w:t>
      </w:r>
      <w:bookmarkStart w:id="0" w:name="_GoBack"/>
      <w:r>
        <w:rPr>
          <w:rFonts w:ascii="Times New Roman" w:hAnsi="Times New Roman" w:eastAsia="黑体"/>
          <w:b/>
          <w:sz w:val="32"/>
        </w:rPr>
        <w:t>生成式大模型在中医药中的适配前景</w:t>
      </w:r>
    </w:p>
    <w:bookmarkEnd w:id="0"/>
    <w:p w14:paraId="2A5CE363">
      <w:pPr>
        <w:pStyle w:val="6"/>
        <w:spacing w:after="120"/>
        <w:ind w:firstLine="602" w:firstLineChars="200"/>
        <w:jc w:val="left"/>
      </w:pPr>
      <w:r>
        <w:rPr>
          <w:rFonts w:ascii="Times New Roman" w:hAnsi="Times New Roman" w:eastAsia="黑体"/>
          <w:b/>
          <w:sz w:val="30"/>
        </w:rPr>
        <w:t>（一）技术谱系与中医药适配对象</w:t>
      </w:r>
    </w:p>
    <w:p w14:paraId="1A57227A">
      <w:pPr>
        <w:spacing w:after="80" w:line="360" w:lineRule="auto"/>
        <w:ind w:firstLine="480" w:firstLineChars="200"/>
        <w:jc w:val="both"/>
      </w:pPr>
      <w:r>
        <w:rPr>
          <w:rFonts w:ascii="Times New Roman" w:hAnsi="Times New Roman" w:eastAsia="宋体"/>
          <w:b w:val="0"/>
          <w:sz w:val="24"/>
        </w:rPr>
        <w:t>生成式大模型包括以文本生成和推理为核心的大语言模型，以图像、文本、语音、波形等联合理解为核心的多模态大模型，以及面向分子、蛋白、网络、知识图谱等科学对象的生成式模型。中医药研究中的适配对象具有明显的领域特征：其一，语义层面存在“证、候、病、方、药、法、机”等多级概念，且古今术语、不同流派术语并存；其二，临床层面强调四诊合参、辨证论治、因人因时因地制宜；其三，证据层面包含经典文献、名老中医经验、临床试验、真实世界研究、药理实验和组学证据等不同来源；其四，安全层面涉及用药禁忌、配伍禁忌、妊娠与儿童用药、肝肾功能异常等约束。</w:t>
      </w:r>
    </w:p>
    <w:p w14:paraId="2930B0D4">
      <w:pPr>
        <w:spacing w:after="80" w:line="360" w:lineRule="auto"/>
        <w:ind w:firstLine="480" w:firstLineChars="200"/>
        <w:jc w:val="both"/>
      </w:pPr>
      <w:r>
        <w:rPr>
          <w:rFonts w:ascii="Times New Roman" w:hAnsi="Times New Roman" w:eastAsia="宋体"/>
          <w:b w:val="0"/>
          <w:sz w:val="24"/>
        </w:rPr>
        <w:t>因此，中医药生成式大模型不能仅以“能否生成流畅文本”作为评价标准。对研究生而言，更重要的训练目标是理解“领域适配”这一概念：领域适配不是把通用模型简单用于中医药问答，而是把中医药知识、数据、临床逻辑、证据等级、安全边界和伦理要求逐层转化为模型能够学习、调用、约束和接受评价的形式。</w:t>
      </w:r>
    </w:p>
    <w:p w14:paraId="48A31520">
      <w:pPr>
        <w:spacing w:after="80"/>
        <w:jc w:val="center"/>
      </w:pPr>
      <w:r>
        <w:rPr>
          <w:rFonts w:ascii="Times New Roman" w:hAnsi="Times New Roman" w:eastAsia="黑体"/>
          <w:b/>
          <w:sz w:val="21"/>
        </w:rPr>
        <w:t>表10-1　生成式大模型在中医药中的主要适配路径</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214"/>
        <w:gridCol w:w="2214"/>
        <w:gridCol w:w="2214"/>
      </w:tblGrid>
      <w:tr w14:paraId="2501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D91A412">
            <w:pPr>
              <w:spacing w:after="40"/>
              <w:jc w:val="left"/>
            </w:pPr>
            <w:r>
              <w:rPr>
                <w:rFonts w:ascii="Times New Roman" w:hAnsi="Times New Roman" w:eastAsia="黑体"/>
                <w:b/>
                <w:sz w:val="21"/>
              </w:rPr>
              <w:t>适配路径</w:t>
            </w:r>
          </w:p>
        </w:tc>
        <w:tc>
          <w:tcPr>
            <w:tcW w:w="2250" w:type="dxa"/>
          </w:tcPr>
          <w:p w14:paraId="6337C1BD">
            <w:pPr>
              <w:spacing w:after="40"/>
              <w:jc w:val="left"/>
            </w:pPr>
            <w:r>
              <w:rPr>
                <w:rFonts w:ascii="Times New Roman" w:hAnsi="Times New Roman" w:eastAsia="黑体"/>
                <w:b/>
                <w:sz w:val="21"/>
              </w:rPr>
              <w:t>所需资源</w:t>
            </w:r>
          </w:p>
        </w:tc>
        <w:tc>
          <w:tcPr>
            <w:tcW w:w="2250" w:type="dxa"/>
          </w:tcPr>
          <w:p w14:paraId="4B61CA10">
            <w:pPr>
              <w:spacing w:after="40"/>
              <w:jc w:val="left"/>
            </w:pPr>
            <w:r>
              <w:rPr>
                <w:rFonts w:ascii="Times New Roman" w:hAnsi="Times New Roman" w:eastAsia="黑体"/>
                <w:b/>
                <w:sz w:val="21"/>
              </w:rPr>
              <w:t>适用任务</w:t>
            </w:r>
          </w:p>
        </w:tc>
        <w:tc>
          <w:tcPr>
            <w:tcW w:w="2250" w:type="dxa"/>
          </w:tcPr>
          <w:p w14:paraId="2D28E3BA">
            <w:pPr>
              <w:spacing w:after="40"/>
              <w:jc w:val="left"/>
            </w:pPr>
            <w:r>
              <w:rPr>
                <w:rFonts w:ascii="Times New Roman" w:hAnsi="Times New Roman" w:eastAsia="黑体"/>
                <w:b/>
                <w:sz w:val="21"/>
              </w:rPr>
              <w:t>主要风险</w:t>
            </w:r>
          </w:p>
        </w:tc>
      </w:tr>
      <w:tr w14:paraId="4681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82CC486">
            <w:pPr>
              <w:spacing w:after="40"/>
              <w:jc w:val="left"/>
            </w:pPr>
            <w:r>
              <w:rPr>
                <w:rFonts w:ascii="Times New Roman" w:hAnsi="Times New Roman" w:eastAsia="宋体"/>
                <w:b w:val="0"/>
                <w:sz w:val="21"/>
              </w:rPr>
              <w:t>继续预训练</w:t>
            </w:r>
          </w:p>
        </w:tc>
        <w:tc>
          <w:tcPr>
            <w:tcW w:w="2250" w:type="dxa"/>
          </w:tcPr>
          <w:p w14:paraId="47F116C6">
            <w:pPr>
              <w:spacing w:after="40"/>
              <w:jc w:val="left"/>
            </w:pPr>
            <w:r>
              <w:rPr>
                <w:rFonts w:ascii="Times New Roman" w:hAnsi="Times New Roman" w:eastAsia="宋体"/>
                <w:b w:val="0"/>
                <w:sz w:val="21"/>
              </w:rPr>
              <w:t>高质量领域语料、版本与版权记录、语料分级标注</w:t>
            </w:r>
          </w:p>
        </w:tc>
        <w:tc>
          <w:tcPr>
            <w:tcW w:w="2250" w:type="dxa"/>
          </w:tcPr>
          <w:p w14:paraId="224549EB">
            <w:pPr>
              <w:spacing w:after="40"/>
              <w:jc w:val="left"/>
            </w:pPr>
            <w:r>
              <w:rPr>
                <w:rFonts w:ascii="Times New Roman" w:hAnsi="Times New Roman" w:eastAsia="宋体"/>
                <w:b w:val="0"/>
                <w:sz w:val="21"/>
              </w:rPr>
              <w:t>古籍语言建模、术语习得、知识基座建设</w:t>
            </w:r>
          </w:p>
        </w:tc>
        <w:tc>
          <w:tcPr>
            <w:tcW w:w="2250" w:type="dxa"/>
          </w:tcPr>
          <w:p w14:paraId="78067E3B">
            <w:pPr>
              <w:spacing w:after="40"/>
              <w:jc w:val="left"/>
            </w:pPr>
            <w:r>
              <w:rPr>
                <w:rFonts w:ascii="Times New Roman" w:hAnsi="Times New Roman" w:eastAsia="宋体"/>
                <w:b w:val="0"/>
                <w:sz w:val="21"/>
              </w:rPr>
              <w:t>灾难性遗忘、语料噪声放大</w:t>
            </w:r>
          </w:p>
        </w:tc>
      </w:tr>
      <w:tr w14:paraId="6587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2DE779B">
            <w:pPr>
              <w:spacing w:after="40"/>
              <w:jc w:val="left"/>
            </w:pPr>
            <w:r>
              <w:rPr>
                <w:rFonts w:ascii="Times New Roman" w:hAnsi="Times New Roman" w:eastAsia="宋体"/>
                <w:b w:val="0"/>
                <w:sz w:val="21"/>
              </w:rPr>
              <w:t>监督微调与对齐</w:t>
            </w:r>
          </w:p>
        </w:tc>
        <w:tc>
          <w:tcPr>
            <w:tcW w:w="2250" w:type="dxa"/>
          </w:tcPr>
          <w:p w14:paraId="72A2F1FD">
            <w:pPr>
              <w:spacing w:after="40"/>
              <w:jc w:val="left"/>
            </w:pPr>
            <w:r>
              <w:rPr>
                <w:rFonts w:ascii="Times New Roman" w:hAnsi="Times New Roman" w:eastAsia="宋体"/>
                <w:b w:val="0"/>
                <w:sz w:val="21"/>
              </w:rPr>
              <w:t>专家示范答案、辨证过程标注、偏好排序数据</w:t>
            </w:r>
          </w:p>
        </w:tc>
        <w:tc>
          <w:tcPr>
            <w:tcW w:w="2250" w:type="dxa"/>
          </w:tcPr>
          <w:p w14:paraId="637CC2C0">
            <w:pPr>
              <w:spacing w:after="40"/>
              <w:jc w:val="left"/>
            </w:pPr>
            <w:r>
              <w:rPr>
                <w:rFonts w:ascii="Times New Roman" w:hAnsi="Times New Roman" w:eastAsia="宋体"/>
                <w:b w:val="0"/>
                <w:sz w:val="21"/>
              </w:rPr>
              <w:t>辨证问答、医案结构化、解释生成</w:t>
            </w:r>
          </w:p>
        </w:tc>
        <w:tc>
          <w:tcPr>
            <w:tcW w:w="2250" w:type="dxa"/>
          </w:tcPr>
          <w:p w14:paraId="6A5AC8CB">
            <w:pPr>
              <w:spacing w:after="40"/>
              <w:jc w:val="left"/>
            </w:pPr>
            <w:r>
              <w:rPr>
                <w:rFonts w:ascii="Times New Roman" w:hAnsi="Times New Roman" w:eastAsia="宋体"/>
                <w:b w:val="0"/>
                <w:sz w:val="21"/>
              </w:rPr>
              <w:t>过度模仿语言形式、诊疗逻辑偏差</w:t>
            </w:r>
          </w:p>
        </w:tc>
      </w:tr>
      <w:tr w14:paraId="272AF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8DC9026">
            <w:pPr>
              <w:spacing w:after="40"/>
              <w:jc w:val="left"/>
            </w:pPr>
            <w:r>
              <w:rPr>
                <w:rFonts w:ascii="Times New Roman" w:hAnsi="Times New Roman" w:eastAsia="宋体"/>
                <w:b w:val="0"/>
                <w:sz w:val="21"/>
              </w:rPr>
              <w:t>参数高效微调</w:t>
            </w:r>
          </w:p>
        </w:tc>
        <w:tc>
          <w:tcPr>
            <w:tcW w:w="2250" w:type="dxa"/>
          </w:tcPr>
          <w:p w14:paraId="7FDA6221">
            <w:pPr>
              <w:spacing w:after="40"/>
              <w:jc w:val="left"/>
            </w:pPr>
            <w:r>
              <w:rPr>
                <w:rFonts w:ascii="Times New Roman" w:hAnsi="Times New Roman" w:eastAsia="宋体"/>
                <w:b w:val="0"/>
                <w:sz w:val="21"/>
              </w:rPr>
              <w:t>低秩适配器、专科小样本、流派标签</w:t>
            </w:r>
          </w:p>
        </w:tc>
        <w:tc>
          <w:tcPr>
            <w:tcW w:w="2250" w:type="dxa"/>
          </w:tcPr>
          <w:p w14:paraId="61D24841">
            <w:pPr>
              <w:spacing w:after="40"/>
              <w:jc w:val="left"/>
            </w:pPr>
            <w:r>
              <w:rPr>
                <w:rFonts w:ascii="Times New Roman" w:hAnsi="Times New Roman" w:eastAsia="宋体"/>
                <w:b w:val="0"/>
                <w:sz w:val="21"/>
              </w:rPr>
              <w:t>专病专科模型、流派条件化、轻量部署</w:t>
            </w:r>
          </w:p>
        </w:tc>
        <w:tc>
          <w:tcPr>
            <w:tcW w:w="2250" w:type="dxa"/>
          </w:tcPr>
          <w:p w14:paraId="59DCE4EA">
            <w:pPr>
              <w:spacing w:after="40"/>
              <w:jc w:val="left"/>
            </w:pPr>
            <w:r>
              <w:rPr>
                <w:rFonts w:ascii="Times New Roman" w:hAnsi="Times New Roman" w:eastAsia="宋体"/>
                <w:b w:val="0"/>
                <w:sz w:val="21"/>
              </w:rPr>
              <w:t>适配器知识冲突、版本来源失管</w:t>
            </w:r>
          </w:p>
        </w:tc>
      </w:tr>
      <w:tr w14:paraId="6556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D62DC54">
            <w:pPr>
              <w:spacing w:after="40"/>
              <w:jc w:val="left"/>
            </w:pPr>
            <w:r>
              <w:rPr>
                <w:rFonts w:ascii="Times New Roman" w:hAnsi="Times New Roman" w:eastAsia="宋体"/>
                <w:b w:val="0"/>
                <w:sz w:val="21"/>
              </w:rPr>
              <w:t>检索增强生成</w:t>
            </w:r>
          </w:p>
        </w:tc>
        <w:tc>
          <w:tcPr>
            <w:tcW w:w="2250" w:type="dxa"/>
          </w:tcPr>
          <w:p w14:paraId="7E9972F0">
            <w:pPr>
              <w:spacing w:after="40"/>
              <w:jc w:val="left"/>
            </w:pPr>
            <w:r>
              <w:rPr>
                <w:rFonts w:ascii="Times New Roman" w:hAnsi="Times New Roman" w:eastAsia="宋体"/>
                <w:b w:val="0"/>
                <w:sz w:val="21"/>
              </w:rPr>
              <w:t>结构化知识库、指南药典文献库、检索器</w:t>
            </w:r>
          </w:p>
        </w:tc>
        <w:tc>
          <w:tcPr>
            <w:tcW w:w="2250" w:type="dxa"/>
          </w:tcPr>
          <w:p w14:paraId="24928401">
            <w:pPr>
              <w:spacing w:after="40"/>
              <w:jc w:val="left"/>
            </w:pPr>
            <w:r>
              <w:rPr>
                <w:rFonts w:ascii="Times New Roman" w:hAnsi="Times New Roman" w:eastAsia="宋体"/>
                <w:b w:val="0"/>
                <w:sz w:val="21"/>
              </w:rPr>
              <w:t>临床决策支持、方药与中成药推荐</w:t>
            </w:r>
          </w:p>
        </w:tc>
        <w:tc>
          <w:tcPr>
            <w:tcW w:w="2250" w:type="dxa"/>
          </w:tcPr>
          <w:p w14:paraId="5534C41A">
            <w:pPr>
              <w:spacing w:after="40"/>
              <w:jc w:val="left"/>
            </w:pPr>
            <w:r>
              <w:rPr>
                <w:rFonts w:ascii="Times New Roman" w:hAnsi="Times New Roman" w:eastAsia="宋体"/>
                <w:b w:val="0"/>
                <w:sz w:val="21"/>
              </w:rPr>
              <w:t>检索偏差、生成不忠实于依据</w:t>
            </w:r>
          </w:p>
        </w:tc>
      </w:tr>
      <w:tr w14:paraId="03AF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E59FAA">
            <w:pPr>
              <w:spacing w:after="40"/>
              <w:jc w:val="left"/>
            </w:pPr>
            <w:r>
              <w:rPr>
                <w:rFonts w:ascii="Times New Roman" w:hAnsi="Times New Roman" w:eastAsia="宋体"/>
                <w:b w:val="0"/>
                <w:sz w:val="21"/>
              </w:rPr>
              <w:t>知识图谱约束</w:t>
            </w:r>
          </w:p>
        </w:tc>
        <w:tc>
          <w:tcPr>
            <w:tcW w:w="2250" w:type="dxa"/>
          </w:tcPr>
          <w:p w14:paraId="092228DB">
            <w:pPr>
              <w:spacing w:after="40"/>
              <w:jc w:val="left"/>
            </w:pPr>
            <w:r>
              <w:rPr>
                <w:rFonts w:ascii="Times New Roman" w:hAnsi="Times New Roman" w:eastAsia="宋体"/>
                <w:b w:val="0"/>
                <w:sz w:val="21"/>
              </w:rPr>
              <w:t>术语本体、症—证—治—方—禁忌关系网</w:t>
            </w:r>
          </w:p>
        </w:tc>
        <w:tc>
          <w:tcPr>
            <w:tcW w:w="2250" w:type="dxa"/>
          </w:tcPr>
          <w:p w14:paraId="43CD6580">
            <w:pPr>
              <w:spacing w:after="40"/>
              <w:jc w:val="left"/>
            </w:pPr>
            <w:r>
              <w:rPr>
                <w:rFonts w:ascii="Times New Roman" w:hAnsi="Times New Roman" w:eastAsia="宋体"/>
                <w:b w:val="0"/>
                <w:sz w:val="21"/>
              </w:rPr>
              <w:t>辨证一致性核查、配伍与禁忌核查</w:t>
            </w:r>
          </w:p>
        </w:tc>
        <w:tc>
          <w:tcPr>
            <w:tcW w:w="2250" w:type="dxa"/>
          </w:tcPr>
          <w:p w14:paraId="39C95131">
            <w:pPr>
              <w:spacing w:after="40"/>
              <w:jc w:val="left"/>
            </w:pPr>
            <w:r>
              <w:rPr>
                <w:rFonts w:ascii="Times New Roman" w:hAnsi="Times New Roman" w:eastAsia="宋体"/>
                <w:b w:val="0"/>
                <w:sz w:val="21"/>
              </w:rPr>
              <w:t>图谱不完整、约束过强抑制合理输出</w:t>
            </w:r>
          </w:p>
        </w:tc>
      </w:tr>
      <w:tr w14:paraId="6E0FA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9FCA896">
            <w:pPr>
              <w:spacing w:after="40"/>
              <w:jc w:val="left"/>
            </w:pPr>
            <w:r>
              <w:rPr>
                <w:rFonts w:ascii="Times New Roman" w:hAnsi="Times New Roman" w:eastAsia="宋体"/>
                <w:b w:val="0"/>
                <w:sz w:val="21"/>
              </w:rPr>
              <w:t>智能体编排</w:t>
            </w:r>
          </w:p>
        </w:tc>
        <w:tc>
          <w:tcPr>
            <w:tcW w:w="2250" w:type="dxa"/>
          </w:tcPr>
          <w:p w14:paraId="69498429">
            <w:pPr>
              <w:spacing w:after="40"/>
              <w:jc w:val="left"/>
            </w:pPr>
            <w:r>
              <w:rPr>
                <w:rFonts w:ascii="Times New Roman" w:hAnsi="Times New Roman" w:eastAsia="宋体"/>
                <w:b w:val="0"/>
                <w:sz w:val="21"/>
              </w:rPr>
              <w:t>工具接口、安全规则库、记忆与日志</w:t>
            </w:r>
          </w:p>
        </w:tc>
        <w:tc>
          <w:tcPr>
            <w:tcW w:w="2250" w:type="dxa"/>
          </w:tcPr>
          <w:p w14:paraId="69E0F56C">
            <w:pPr>
              <w:spacing w:after="40"/>
              <w:jc w:val="left"/>
            </w:pPr>
            <w:r>
              <w:rPr>
                <w:rFonts w:ascii="Times New Roman" w:hAnsi="Times New Roman" w:eastAsia="宋体"/>
                <w:b w:val="0"/>
                <w:sz w:val="21"/>
              </w:rPr>
              <w:t>临床与科研多步工作流</w:t>
            </w:r>
          </w:p>
        </w:tc>
        <w:tc>
          <w:tcPr>
            <w:tcW w:w="2250" w:type="dxa"/>
          </w:tcPr>
          <w:p w14:paraId="5FA4C658">
            <w:pPr>
              <w:spacing w:after="40"/>
              <w:jc w:val="left"/>
            </w:pPr>
            <w:r>
              <w:rPr>
                <w:rFonts w:ascii="Times New Roman" w:hAnsi="Times New Roman" w:eastAsia="宋体"/>
                <w:b w:val="0"/>
                <w:sz w:val="21"/>
              </w:rPr>
              <w:t>责任边界不清、工具调用失控</w:t>
            </w:r>
          </w:p>
        </w:tc>
      </w:tr>
    </w:tbl>
    <w:p w14:paraId="4B5C7DC1">
      <w:pPr>
        <w:pStyle w:val="6"/>
        <w:spacing w:after="120"/>
        <w:ind w:firstLine="602" w:firstLineChars="200"/>
        <w:jc w:val="left"/>
      </w:pPr>
      <w:r>
        <w:rPr>
          <w:rFonts w:ascii="Times New Roman" w:hAnsi="Times New Roman" w:eastAsia="黑体"/>
          <w:b/>
          <w:sz w:val="30"/>
        </w:rPr>
        <w:t>（二）对齐辨证推理过程</w:t>
      </w:r>
      <w:r>
        <w:rPr>
          <w:rFonts w:hint="eastAsia" w:ascii="Times New Roman" w:hAnsi="Times New Roman" w:eastAsia="黑体"/>
          <w:b/>
          <w:sz w:val="30"/>
        </w:rPr>
      </w:r>
    </w:p>
    <w:p w14:paraId="6ADAA747">
      <w:pPr>
        <w:spacing w:after="80" w:line="360" w:lineRule="auto"/>
        <w:ind w:firstLine="480" w:firstLineChars="200"/>
        <w:jc w:val="both"/>
      </w:pPr>
      <w:r>
        <w:rPr>
          <w:rFonts w:ascii="Times New Roman" w:hAnsi="Times New Roman" w:eastAsia="宋体"/>
          <w:b w:val="0"/>
          <w:sz w:val="24"/>
        </w:rPr>
        <w:t>监督微调使模型学习专家示范答案；基于反馈的强化学习使模型输出更符合人类偏好；基于AI反馈的强化学习在专家反馈不足时提供辅助信号。中医药领域使用这些方法时，应当把对齐目标从“语言形式相似”提升到“诊疗逻辑相符”。一个中医药问答答案即使语言规范，也仍需接受辨证依据、治法选择、方药配伍、剂量禁忌和转诊建议的检查。</w:t>
      </w:r>
    </w:p>
    <w:p w14:paraId="308BA9E2">
      <w:pPr>
        <w:spacing w:after="80" w:line="360" w:lineRule="auto"/>
        <w:ind w:firstLine="480" w:firstLineChars="200"/>
        <w:jc w:val="both"/>
      </w:pPr>
      <w:r>
        <w:rPr>
          <w:rFonts w:ascii="Times New Roman" w:hAnsi="Times New Roman" w:eastAsia="宋体"/>
          <w:b w:val="0"/>
          <w:sz w:val="24"/>
        </w:rPr>
        <w:t>对齐辨证论治过程需要建立过程监督。过程监督不是只判断最终答案是否正确，而是把模型生成过程拆分为若干可评价环节：主诉与症状抽取、四诊信息补全、病位病性分析、证候判断、治法确定、方药或针灸方案生成、安全禁忌核查、解释与随访建议。每一环节均可设置专家评分、规则核查或知识图谱约束。</w:t>
      </w:r>
    </w:p>
    <w:p w14:paraId="15839003">
      <w:pPr>
        <w:spacing w:after="80"/>
        <w:jc w:val="center"/>
      </w:pPr>
      <w:r>
        <w:rPr>
          <w:rFonts w:ascii="Times New Roman" w:hAnsi="Times New Roman" w:eastAsia="黑体"/>
          <w:b/>
          <w:sz w:val="21"/>
        </w:rPr>
        <w:t>图10-1　中医药大模型过程监督流程</w:t>
      </w:r>
    </w:p>
    <w:p w14:paraId="0322EF67">
      <w:pPr>
        <w:spacing w:after="80" w:line="360" w:lineRule="auto"/>
        <w:ind w:firstLine="480" w:firstLineChars="200"/>
        <w:jc w:val="both"/>
      </w:pPr>
      <w:r>
        <w:rPr>
          <w:rFonts w:ascii="宋体" w:hAnsi="宋体" w:eastAsia="宋体" w:cs="宋体"/>
          <w:sz w:val="24"/>
          <w:szCs w:val="24"/>
        </w:rPr>
        <w:drawing>
          <wp:inline distT="0" distB="0" distL="114300" distR="114300">
            <wp:extent cx="6960870" cy="1446530"/>
            <wp:effectExtent l="0" t="0" r="11430" b="127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6960870" cy="1446530"/>
                    </a:xfrm>
                    <a:prstGeom prst="rect">
                      <a:avLst/>
                    </a:prstGeom>
                    <a:noFill/>
                    <a:ln w="9525">
                      <a:noFill/>
                    </a:ln>
                  </pic:spPr>
                </pic:pic>
              </a:graphicData>
            </a:graphic>
          </wp:inline>
        </w:drawing>
      </w:r>
    </w:p>
    <w:p w14:paraId="20668D61">
      <w:pPr>
        <w:pStyle w:val="30"/>
        <w:keepNext w:val="0"/>
        <w:keepLines w:val="0"/>
        <w:widowControl/>
        <w:suppressLineNumbers w:val="0"/>
        <w:shd w:val="clear" w:fill="FFFFFF"/>
        <w:spacing w:before="240" w:beforeAutospacing="0" w:after="240" w:afterAutospacing="0"/>
        <w:ind w:left="0" w:right="0" w:firstLine="480" w:firstLineChars="200"/>
        <w:rPr>
          <w:rFonts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过程对齐所依赖的监督标签应当如何获取，是过程监督能否落地的前提性问题；围绕这一问题，学界目前形成三种代表性主张。其一为专家经验优先论，认为高水平中医师的辨证思维路径具有不可替代的示范价值，应作为监督学习的金标准；其二为群体共识建构论，强调中医辨证固有的主观性特征，主张通过多专家独立标注、共识会议研讨及一致性统计检验等手段，获取更具稳健性的标签信号；其三为证据约束保障论，认为模型的推理输出必须接受现代循证医学证据与临床安全规则的强制性检验。</w:t>
      </w:r>
    </w:p>
    <w:p w14:paraId="69FE5AE1">
      <w:pPr>
        <w:pStyle w:val="30"/>
        <w:keepNext w:val="0"/>
        <w:keepLines w:val="0"/>
        <w:widowControl/>
        <w:suppressLineNumbers w:val="0"/>
        <w:shd w:val="clear" w:fill="FFFFFF"/>
        <w:spacing w:before="240" w:beforeAutospacing="0" w:after="240" w:afterAutospacing="0"/>
        <w:ind w:left="0" w:right="0" w:firstLine="480" w:firstLineChars="200"/>
        <w:rPr>
          <w:rFonts w:hint="default"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上述三种观点在逻辑上并非互斥，而是构成互补关系。本书建议</w:t>
      </w:r>
      <w:r>
        <w:rPr>
          <w:rFonts w:hint="eastAsia" w:ascii="Times New Roman" w:hAnsi="Times New Roman" w:cstheme="minorBidi"/>
          <w:b w:val="0"/>
          <w:sz w:val="24"/>
          <w:szCs w:val="22"/>
          <w:lang w:val="en-US" w:eastAsia="zh-CN" w:bidi="ar-SA"/>
        </w:rPr>
        <w:t>推荐</w:t>
      </w:r>
      <w:r>
        <w:rPr>
          <w:rFonts w:hint="default" w:ascii="Times New Roman" w:hAnsi="Times New Roman" w:eastAsia="宋体" w:cstheme="minorBidi"/>
          <w:b w:val="0"/>
          <w:sz w:val="24"/>
          <w:szCs w:val="22"/>
          <w:lang w:val="en-US" w:eastAsia="en-US" w:bidi="ar-SA"/>
        </w:rPr>
        <w:t>采用“专家经验奠基、群体共识纠偏、证据规则兜底”的三层整合式研究设计</w:t>
      </w:r>
      <w:r>
        <w:rPr>
          <w:rFonts w:hint="eastAsia" w:ascii="Times New Roman" w:hAnsi="Times New Roman" w:cstheme="minorBidi"/>
          <w:b w:val="0"/>
          <w:sz w:val="24"/>
          <w:szCs w:val="22"/>
          <w:lang w:val="en-US" w:eastAsia="zh-CN" w:bidi="ar-SA"/>
        </w:rPr>
        <w:t>。</w:t>
      </w:r>
      <w:r>
        <w:rPr>
          <w:rFonts w:hint="default" w:ascii="Times New Roman" w:hAnsi="Times New Roman" w:eastAsia="宋体" w:cstheme="minorBidi"/>
          <w:b w:val="0"/>
          <w:sz w:val="24"/>
          <w:szCs w:val="22"/>
          <w:lang w:val="en-US" w:eastAsia="en-US" w:bidi="ar-SA"/>
        </w:rPr>
        <w:t>首先以高水平临床路径作为初始示范，继而借助群体共识机制削弱个体认知偏倚，最终通过循证证据与安全边界对模型输出加以必要约束。</w:t>
      </w:r>
    </w:p>
    <w:p w14:paraId="5C7A419C">
      <w:pPr>
        <w:pStyle w:val="6"/>
        <w:spacing w:after="120"/>
        <w:ind w:firstLine="602" w:firstLineChars="200"/>
        <w:jc w:val="left"/>
      </w:pPr>
      <w:r>
        <w:rPr>
          <w:rFonts w:ascii="Times New Roman" w:hAnsi="Times New Roman" w:eastAsia="黑体"/>
          <w:b/>
          <w:sz w:val="30"/>
        </w:rPr>
        <w:t>（三）参数高效微调构建可组合知识模块</w:t>
      </w:r>
      <w:r>
        <w:rPr>
          <w:rFonts w:hint="eastAsia" w:ascii="Times New Roman" w:hAnsi="Times New Roman" w:eastAsia="黑体"/>
          <w:b/>
          <w:sz w:val="30"/>
          <w:lang w:val="en-US" w:eastAsia="zh-CN"/>
        </w:rPr>
      </w:r>
      <w:r>
        <w:rPr>
          <w:rFonts w:ascii="Times New Roman" w:hAnsi="Times New Roman" w:eastAsia="黑体"/>
          <w:b/>
          <w:sz w:val="30"/>
        </w:rPr>
      </w:r>
    </w:p>
    <w:p w14:paraId="77B1AE4F">
      <w:pPr>
        <w:spacing w:after="80" w:line="360" w:lineRule="auto"/>
        <w:ind w:firstLine="480" w:firstLineChars="200"/>
        <w:jc w:val="both"/>
      </w:pPr>
      <w:r>
        <w:rPr>
          <w:rFonts w:ascii="Times New Roman" w:hAnsi="Times New Roman" w:eastAsia="宋体"/>
          <w:b w:val="0"/>
          <w:sz w:val="24"/>
        </w:rPr>
        <w:t>参数高效微调通过调整少量参数实现领域适配，常见方法包括低秩适配、提示调优、前缀调优和适配器模块。对中医药研究者而言，该技术的重要价值在于降低训练成本，使实验室、医院科室和研究团队能够围绕专病、专科、流派或特定任务构建轻量化模型模块。</w:t>
      </w:r>
    </w:p>
    <w:p w14:paraId="48D44575">
      <w:pPr>
        <w:pStyle w:val="30"/>
        <w:keepNext w:val="0"/>
        <w:keepLines w:val="0"/>
        <w:widowControl/>
        <w:suppressLineNumbers w:val="0"/>
        <w:shd w:val="clear" w:fill="FFFFFF"/>
        <w:spacing w:before="240" w:beforeAutospacing="0" w:after="240" w:afterAutospacing="0"/>
        <w:ind w:left="0" w:right="0" w:firstLine="0"/>
        <w:rPr>
          <w:rFonts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在完成辨证过程对齐的基础上，未来研究的另一个关键方向是实现知识模块的可组合适配。该思路主张将脾胃病、肿瘤、针灸、妇科、儿科、中药安全、古籍理解等细分领域的知识分别训练为独立的适配器模块。当面临具体临床或科研任务时，系统根据问题类型动态加载相应模块，并通过冲突检测机制处理多模块并行时产生的知识不一致。例如，面对一位兼具消化系统症状与妊娠状态的患者，且需评估其用药风险时，系统需同时调用“脾胃病辨证模块”“妊娠用药安全模块”与“中西药相互作用模块”，并在安全规则与治疗建议产生冲突时，以后者为优先执行边界。</w:t>
      </w:r>
    </w:p>
    <w:p w14:paraId="39D32D60">
      <w:pPr>
        <w:pStyle w:val="30"/>
        <w:keepNext w:val="0"/>
        <w:keepLines w:val="0"/>
        <w:widowControl/>
        <w:suppressLineNumbers w:val="0"/>
        <w:shd w:val="clear" w:fill="FFFFFF"/>
        <w:spacing w:before="240" w:beforeAutospacing="0" w:after="240" w:afterAutospacing="0"/>
        <w:ind w:left="0" w:right="0" w:firstLine="0"/>
        <w:rPr>
          <w:rFonts w:hint="default" w:ascii="Times New Roman" w:hAnsi="Times New Roman" w:eastAsia="宋体" w:cstheme="minorBidi"/>
          <w:b w:val="0"/>
          <w:sz w:val="24"/>
          <w:szCs w:val="22"/>
          <w:lang w:val="en-US" w:eastAsia="en-US" w:bidi="ar-SA"/>
        </w:rPr>
      </w:pPr>
      <w:r>
        <w:rPr>
          <w:rFonts w:hint="default" w:ascii="Times New Roman" w:hAnsi="Times New Roman" w:eastAsia="宋体" w:cstheme="minorBidi"/>
          <w:b w:val="0"/>
          <w:sz w:val="24"/>
          <w:szCs w:val="22"/>
          <w:lang w:val="en-US" w:eastAsia="en-US" w:bidi="ar-SA"/>
        </w:rPr>
        <w:t>然而，可组合适配在迈向实际应用的过程中，尚有两类研究问题亟待破解。其一是融合后的性能评价问题，即不能仅关注各适配器在单一任务上的准确率，还需评估模块叠加后是否诱发知识冲突或性能衰减；其二是全生命周期的治理问题，包括适配器的版本管理、知识来源追溯及适用场景界定，若缺乏相应的制度化规范，不同团队独立训练的模块将难以满足临床或教学场景的准入要求。</w:t>
      </w:r>
    </w:p>
    <w:p w14:paraId="3BEDCB12">
      <w:pPr>
        <w:pStyle w:val="6"/>
        <w:spacing w:after="120"/>
        <w:ind w:firstLine="602" w:firstLineChars="200"/>
        <w:jc w:val="left"/>
      </w:pPr>
      <w:r>
        <w:rPr>
          <w:rFonts w:ascii="Times New Roman" w:hAnsi="Times New Roman" w:eastAsia="黑体"/>
          <w:b/>
          <w:sz w:val="30"/>
        </w:rPr>
        <w:t>（四）基于多智能体协作的临床与科研工作流</w:t>
      </w:r>
      <w:r>
        <w:rPr>
          <w:rFonts w:hint="eastAsia" w:ascii="Times New Roman" w:hAnsi="Times New Roman" w:eastAsia="黑体"/>
          <w:b/>
          <w:sz w:val="30"/>
          <w:lang w:val="en-US" w:eastAsia="zh-CN"/>
        </w:rPr>
      </w:r>
      <w:r>
        <w:rPr>
          <w:rFonts w:ascii="Times New Roman" w:hAnsi="Times New Roman" w:eastAsia="黑体"/>
          <w:b/>
          <w:sz w:val="30"/>
        </w:rPr>
      </w:r>
      <w:r>
        <w:rPr>
          <w:rFonts w:hint="eastAsia" w:ascii="Times New Roman" w:hAnsi="Times New Roman" w:eastAsia="黑体"/>
          <w:b/>
          <w:sz w:val="30"/>
          <w:lang w:eastAsia="zh-CN"/>
        </w:rPr>
      </w:r>
      <w:r>
        <w:rPr>
          <w:rFonts w:ascii="Times New Roman" w:hAnsi="Times New Roman" w:eastAsia="黑体"/>
          <w:b/>
          <w:sz w:val="30"/>
        </w:rPr>
      </w:r>
    </w:p>
    <w:p w14:paraId="1440C213">
      <w:pPr>
        <w:spacing w:after="80" w:line="360" w:lineRule="auto"/>
        <w:ind w:firstLine="480" w:firstLineChars="200"/>
        <w:jc w:val="both"/>
      </w:pPr>
      <w:r>
        <w:rPr>
          <w:rFonts w:ascii="Times New Roman" w:hAnsi="Times New Roman" w:eastAsia="宋体"/>
          <w:b w:val="0"/>
          <w:sz w:val="24"/>
        </w:rPr>
        <w:t>智能体是能够感知环境、分解任务、调用工具、保持记忆并执行多步操作的系统。与单轮问答相比，智能体更接近中医临床和科研活动的真实流程。例如，临床诊疗包含问诊补全、四诊合参、辨证、处方、禁忌核查和随访；科研活动包含文献检索、假说形成、数据清洗、模型训练、统计分析、图表生成和论文写作。智能体系统能够把这些环节组织为可审计工作流。</w:t>
      </w:r>
    </w:p>
    <w:p w14:paraId="5DFF9954">
      <w:pPr>
        <w:spacing w:after="80" w:line="360" w:lineRule="auto"/>
        <w:ind w:firstLine="480" w:firstLineChars="200"/>
        <w:jc w:val="both"/>
      </w:pPr>
      <w:r>
        <w:rPr>
          <w:rFonts w:ascii="Times New Roman" w:hAnsi="Times New Roman" w:eastAsia="宋体"/>
          <w:b w:val="0"/>
          <w:sz w:val="24"/>
        </w:rPr>
        <w:t>多智能体协作架构因其良好的任务分解性与分工灵活性，尤为适宜模拟中医药临床决策中的复杂认知过程。以一个典型的中医药临床决策支持系统为例，其可由问诊智能体、辨证智能体、方药智能体、针灸智能体、安全审查智能体、循证检索智能体及解释智能体共同构成。各智能体依据自身职能分工协作，当不同智能体产生的结论或建议存在分歧时，系统通过争议仲裁机制进行冲突裁决。这一架构设计的优势在于，既能体现中医辨证论治自下而上、分层推进的认知层次，又能通过多重独立审查环节为临床安全提供制度性保障。</w:t>
      </w:r>
    </w:p>
    <w:p w14:paraId="3AB3B94C">
      <w:pPr>
        <w:spacing w:after="80" w:line="360" w:lineRule="auto"/>
        <w:ind w:firstLine="480" w:firstLineChars="200"/>
        <w:jc w:val="both"/>
      </w:pPr>
      <w:r>
        <w:rPr>
          <w:rFonts w:ascii="Times New Roman" w:hAnsi="Times New Roman" w:eastAsia="宋体"/>
          <w:b w:val="0"/>
          <w:sz w:val="24"/>
        </w:rPr>
        <w:t>多智能体协作的实质不在于智能体数量的叠加，而在于协作机制的设计。若仅将多个智能体的输出简单拼接或投票平均，既无法体现辨证论治的层次结构，也难以保证临床安全。真正意义上的协作，要求明确“谁在何时、依据什么、向谁、以何种形式”传递信息，并在分歧出现时给出可裁决、可追溯的处理规则。其实现可从协作拓扑、通信协议、争议仲裁与控制流四个方面加以阐述。</w:t>
      </w:r>
    </w:p>
    <w:p w14:paraId="7C21973C">
      <w:pPr>
        <w:spacing w:after="80" w:line="360" w:lineRule="auto"/>
        <w:ind w:firstLine="480" w:firstLineChars="200"/>
        <w:jc w:val="both"/>
      </w:pPr>
      <w:r>
        <w:rPr>
          <w:rFonts w:ascii="Times New Roman" w:hAnsi="Times New Roman" w:eastAsia="宋体"/>
          <w:b w:val="0"/>
          <w:sz w:val="24"/>
        </w:rPr>
        <w:t>在协作拓扑方面，中医药临床决策的认知过程具有自下而上、分层推进的特征，系统拓扑应与之对应。分层流水线令问诊智能体先完成信息采集与四诊结构化，辨证智能体据此形成证候判断，方药与针灸智能体据证立法处方，安全审查智能体最后把关；其结构清晰，但要求上游输出质量可控，否则误差会沿流水线放大。编排者—执行者模式设一个编排智能体负责任务分解、调度与汇聚，各功能智能体作为执行者按需被调用，从而将协作逻辑与领域能力分离，便于扩展与审计。黑板模式设一个结构化的共享病历状态对象，各智能体读取与自身职能相关的字段并写回其产出，支持松耦合协作并天然形成可审计的状态变更记录。三者并非互斥，实践中常以编排者调度、以黑板共享状态、以分层流水线体现辨证层次。</w:t>
      </w:r>
    </w:p>
    <w:p w14:paraId="54E09B18">
      <w:pPr>
        <w:spacing w:after="80" w:line="360" w:lineRule="auto"/>
        <w:ind w:firstLine="480" w:firstLineChars="200"/>
        <w:jc w:val="both"/>
      </w:pPr>
      <w:r>
        <w:rPr>
          <w:rFonts w:ascii="Times New Roman" w:hAnsi="Times New Roman" w:eastAsia="宋体"/>
          <w:b w:val="0"/>
          <w:sz w:val="24"/>
        </w:rPr>
        <w:t>在通信协议方面，智能体间的交互不应是自由文本的随意传递，而应采用结构化消息。一条规范的消息至少包含发送者与接收者标识、消息类型（请求、结论、质疑或仲裁）、内容主体、依据来源（检索条目或知识图谱路径）、置信度与时间戳，从而使每一次交互可被记录、检索与归因。共享状态对象则以统一的数据结构承载病例的演进，包括主诉、四诊要素、候选证候及其依据、治法、处方、禁忌核查结果与未决分歧；所有写操作均带来源标注，以满足通信可审计的要求。</w:t>
      </w:r>
    </w:p>
    <w:p w14:paraId="1A78A020">
      <w:pPr>
        <w:spacing w:after="80" w:line="360" w:lineRule="auto"/>
        <w:ind w:firstLine="480" w:firstLineChars="200"/>
        <w:jc w:val="both"/>
      </w:pPr>
      <w:r>
        <w:rPr>
          <w:rFonts w:ascii="Times New Roman" w:hAnsi="Times New Roman" w:eastAsia="宋体"/>
          <w:b w:val="0"/>
          <w:sz w:val="24"/>
        </w:rPr>
        <w:t>在争议仲裁方面，分歧处理是多智能体协作区别于简单叠加的核心环节，其运作可分为三步。其一为分歧发现：当多个智能体对同一字段（如证候判断或是否使用某药）给出不一致结论时，系统触发仲裁。其二为裁决：裁决并非简单多数表决，而应结合中医药临床逻辑分级处理——安全审查智能体对涉及禁忌、毒性与配伍风险的结论具有否决权，任何治疗建议在其否决时不得输出；循证检索智能体提供的依据按证据等级赋予不同权重，高等级证据支持的结论优先；在证据等级相近时比较各智能体的置信度与依据充分性；必要时令分歧智能体在若干轮内交换依据并相互修正，若收敛则采纳一致结论。其三为升级人工：当上述策略仍无法裁决或涉及高风险决策时，系统不强行输出，而是保留分歧、标注理由并提交临床医师裁定，从而把不确定显式转化为人机协同的接口。</w:t>
      </w:r>
    </w:p>
    <w:p w14:paraId="0E07C6C4">
      <w:pPr>
        <w:spacing w:after="80" w:line="360" w:lineRule="auto"/>
        <w:ind w:firstLine="480" w:firstLineChars="200"/>
        <w:jc w:val="both"/>
      </w:pPr>
      <w:r>
        <w:rPr>
          <w:rFonts w:ascii="Times New Roman" w:hAnsi="Times New Roman" w:eastAsia="宋体"/>
          <w:b w:val="0"/>
          <w:sz w:val="24"/>
        </w:rPr>
        <w:t>在控制流方面，协作的效率与安全取决于串行、并行与终止条件的设计。证候判断依赖四诊信息，故问诊与辨证须串行；方药智能体与针灸智能体可在证候确定后并行生成候选方案，再交由安全审查汇聚；循证检索智能体可在辨证与处方阶段并行提供依据。终止条件须明确：当安全审查通过且关键字段无未决分歧时，由解释智能体生成最终输出；当达到最大轮次仍未收敛时转入人工。明确的终止条件可避免智能体间无休止的往复。</w:t>
      </w:r>
    </w:p>
    <w:p w14:paraId="172568C6">
      <w:pPr>
        <w:spacing w:after="80" w:line="360" w:lineRule="auto"/>
        <w:ind w:firstLine="480" w:firstLineChars="200"/>
        <w:jc w:val="both"/>
      </w:pPr>
      <w:r>
        <w:rPr>
          <w:rFonts w:ascii="Times New Roman" w:hAnsi="Times New Roman" w:eastAsia="宋体"/>
          <w:b w:val="0"/>
          <w:sz w:val="24"/>
        </w:rPr>
        <w:t>案例10-11　多智能体协作辨证的一次完整流程。患者以“失眠、心烦、口干”就诊。问诊智能体补全四诊信息并结构化写入共享状态；辨证智能体给出“心火亢盛”，循证检索智能体并行检索相关指南与医案作为依据写回；方药智能体据证推荐清心泻火方，针灸智能体并行推荐相应取穴。安全审查智能体在核查时发现患者处于妊娠早期，遂对方药中某味药行使否决权并触发仲裁；循证检索智能体补充妊娠禁忌依据，方药智能体据此调整处方，分歧在两轮内收敛。安全审查通过后，解释智能体输出最终建议，并附证候依据、处方调整理由与所引证据来源。全过程的消息与状态变更均被记录，可供事后归因。该案例表明，协作的价值在于分歧被显式发现并依规则裁决，而非被多数票掩盖。</w:t>
      </w:r>
    </w:p>
    <w:p w14:paraId="00F76E98">
      <w:pPr>
        <w:spacing w:after="80" w:line="360" w:lineRule="auto"/>
        <w:ind w:firstLine="480" w:firstLineChars="200"/>
        <w:jc w:val="both"/>
      </w:pPr>
      <w:r>
        <w:rPr>
          <w:rFonts w:ascii="Times New Roman" w:hAnsi="Times New Roman" w:eastAsia="宋体"/>
          <w:b w:val="0"/>
          <w:sz w:val="24"/>
        </w:rPr>
        <w:t>由此可见，多智能体架构相对单一模型的实质增益来自三个层面，而非智能体数量本身。其一，分工使每个智能体得以在更窄的任务上深度优化，并配置专用知识与工具。其二，独立审查形成多重把关，安全审查智能体的否决权将临床安全约束制度化，降低单点错误的风险。其三，结构化通信与争议仲裁使系统的推理过程可追溯、可干预，从而在鲁棒性与人机协同体验上取得可测量的提升。反之，若缺少编排、通信与仲裁机制，多个智能体的叠加反而会引入额外的不一致与协调成本，未必优于经过良好对齐的单一模型。</w:t>
      </w:r>
    </w:p>
    <w:p w14:paraId="0043E516">
      <w:pPr>
        <w:spacing w:after="80" w:line="360" w:lineRule="auto"/>
        <w:ind w:firstLine="480" w:firstLineChars="200"/>
        <w:jc w:val="both"/>
      </w:pPr>
      <w:r>
        <w:rPr>
          <w:rFonts w:ascii="Times New Roman" w:hAnsi="Times New Roman" w:eastAsia="宋体"/>
          <w:b w:val="0"/>
          <w:sz w:val="24"/>
        </w:rPr>
        <w:t>围绕多智能体系统的研究与开发，以下三个问题构成当前关注的重点。其一是任务分解的合理性问题，即每个智能体的输入格式、输出形式、权限边界与责任范围是否清晰界定，这直接决定了系统能否在复杂任务中稳定运转。其二是通信过程的可审计性问题，智能体之间的交互记录，包括检索依据的来源、工具调用的轨迹以及决策推演的变化过程，均需以可追溯的形式保存，以便在出现偏差时进行事后归因。其三是系统整体的性能增益问题，即多智能体架构相较单一模型的实质优势是否得到验证——不仅体现在任务完成准确率上，更需要在安全性保障、鲁棒性表现以及人机协同体验等维度取得可测量的提升。</w:t>
      </w:r>
    </w:p>
    <w:p w14:paraId="45C686B8">
      <w:pPr>
        <w:pStyle w:val="6"/>
        <w:spacing w:after="120"/>
        <w:ind w:firstLine="602" w:firstLineChars="200"/>
        <w:jc w:val="left"/>
      </w:pPr>
      <w:r>
        <w:rPr>
          <w:rFonts w:ascii="Times New Roman" w:hAnsi="Times New Roman" w:eastAsia="黑体"/>
          <w:b/>
          <w:sz w:val="30"/>
        </w:rPr>
        <w:t>（五）四诊合参多模态大模型的评测</w:t>
      </w:r>
      <w:r>
        <w:rPr>
          <w:rFonts w:hint="eastAsia" w:ascii="Times New Roman" w:hAnsi="Times New Roman" w:eastAsia="黑体"/>
          <w:b/>
          <w:sz w:val="30"/>
          <w:lang w:val="en-US" w:eastAsia="zh-CN"/>
        </w:rPr>
      </w:r>
      <w:r>
        <w:rPr>
          <w:rFonts w:ascii="Times New Roman" w:hAnsi="Times New Roman" w:eastAsia="黑体"/>
          <w:b/>
          <w:sz w:val="30"/>
        </w:rPr>
      </w:r>
      <w:r>
        <w:rPr>
          <w:rFonts w:hint="eastAsia" w:ascii="Times New Roman" w:hAnsi="Times New Roman" w:eastAsia="黑体"/>
          <w:b/>
          <w:sz w:val="30"/>
          <w:lang w:eastAsia="zh-CN"/>
        </w:rPr>
      </w:r>
      <w:r>
        <w:rPr>
          <w:rFonts w:hint="eastAsia" w:ascii="Times New Roman" w:hAnsi="Times New Roman" w:eastAsia="黑体"/>
          <w:b/>
          <w:sz w:val="30"/>
          <w:lang w:val="en-US" w:eastAsia="zh-CN"/>
        </w:rPr>
      </w:r>
      <w:r>
        <w:rPr>
          <w:rFonts w:ascii="Times New Roman" w:hAnsi="Times New Roman" w:eastAsia="黑体"/>
          <w:b/>
          <w:sz w:val="30"/>
        </w:rPr>
      </w:r>
    </w:p>
    <w:p w14:paraId="424B3972">
      <w:pPr>
        <w:spacing w:after="80" w:line="360" w:lineRule="auto"/>
        <w:ind w:firstLine="480" w:firstLineChars="200"/>
        <w:jc w:val="both"/>
      </w:pPr>
      <w:r>
        <w:rPr>
          <w:rFonts w:ascii="Times New Roman" w:hAnsi="Times New Roman" w:eastAsia="宋体"/>
          <w:b w:val="0"/>
          <w:sz w:val="24"/>
        </w:rPr>
        <w:t>四诊合参是中医多模态大模型最具代表性的未来应用场景；面向这一方向，评测体系的建立是其走向可信落地的关键。多模态四诊合参模型的评测不能沿用单模态任务的单一准确率指标，而应针对融合质量、跨模态一致性、缺失鲁棒性、证候层性能、解释质量与临床效用建立多维评价框架。其评测维度概要见表10-5。</w:t>
      </w:r>
    </w:p>
    <w:p w14:paraId="786ECB85">
      <w:pPr>
        <w:spacing w:after="80" w:line="360" w:lineRule="auto"/>
        <w:ind w:firstLine="480" w:firstLineChars="200"/>
        <w:jc w:val="both"/>
      </w:pPr>
      <w:r>
        <w:rPr>
          <w:rFonts w:ascii="Times New Roman" w:hAnsi="Times New Roman" w:eastAsia="宋体"/>
          <w:b w:val="0"/>
          <w:sz w:val="24"/>
        </w:rPr>
        <w:t>第一，融合增益评价。须验证多模态融合是否真正优于最佳单模态及简单拼接基线，即在同一测试集上并列报告“全模态、最佳单模态、特征拼接”三类模型的性能；若多模态模型未显著优于最佳单模态，则说明融合设计未达目的，可能仅增加了参数与计算成本。第二，跨模态一致性评价。通过模态消融，即依次移除某一模态并观察预测变化，量化各模态的边际贡献，并检验模型是否过度依赖单一模态（如仅凭问诊文本而忽视舌象与脉象），这与中医强调四诊并重的原则直接相关。第三，模态缺失鲁棒性评价。构造不同模态缺失组合的测试子集，绘制性能随缺失模态数量变化的衰减曲线，并核查模型在缺失时是否如实下调置信度、是否触发补采或人工复核，而非维持虚高置信。第四，证候层与解释层评价。在证候层按证候分层报告准确率、查全率与查准率，避免总体指标掩盖少见证候的低性能；在解释层评估辨证解释是否引用了正确而完整的跨模态依据链，例如“舌红少苔＋脉细数＋五心烦热→阴虚”的依据是否齐备，并引入专家对解释合理性的评分。第五，校准与不确定性评价。报告多模态模型的期望校准误差与置信度可靠性，确保其输出的把握程度与真实正确率一致；多模态信息融合后尤易出现过度自信，故校准评价不可省略。第六，临床效用与基准建设。最终评价须落到临床效用，借助人在回路设计考察模型对医师辨证准确率与效率的实际影响。当前中医药多模态四诊基准仍较稀缺，领域社区应协作构建配有统一证候金标准与跨模态对齐标注的标准化基准，使不同模型的评测结果可比，基准建设本身即是重要的研究方向。</w:t>
      </w:r>
    </w:p>
    <w:p w14:paraId="5AE4BFD0">
      <w:pPr>
        <w:spacing w:after="40"/>
        <w:jc w:val="center"/>
      </w:pPr>
      <w:r>
        <w:rPr>
          <w:rFonts w:ascii="黑体" w:hAnsi="黑体" w:eastAsia="黑体"/>
          <w:b/>
          <w:sz w:val="21"/>
        </w:rPr>
        <w:t>表10-5　多模态四诊合参模型评测维度</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3145"/>
        <w:gridCol w:w="4227"/>
      </w:tblGrid>
      <w:tr w14:paraId="54EB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0ADDDF6F">
            <w:pPr>
              <w:spacing w:after="20"/>
            </w:pPr>
            <w:r>
              <w:rPr>
                <w:rFonts w:ascii="Times New Roman" w:hAnsi="Times New Roman" w:eastAsia="黑体"/>
                <w:b/>
                <w:sz w:val="21"/>
              </w:rPr>
              <w:t>评测维度</w:t>
            </w:r>
          </w:p>
        </w:tc>
        <w:tc>
          <w:tcPr>
            <w:tcW w:w="3200" w:type="dxa"/>
          </w:tcPr>
          <w:p w14:paraId="5F7B02AB">
            <w:pPr>
              <w:spacing w:after="20"/>
            </w:pPr>
            <w:r>
              <w:rPr>
                <w:rFonts w:ascii="Times New Roman" w:hAnsi="Times New Roman" w:eastAsia="黑体"/>
                <w:b/>
                <w:sz w:val="21"/>
              </w:rPr>
              <w:t>核心问题</w:t>
            </w:r>
          </w:p>
        </w:tc>
        <w:tc>
          <w:tcPr>
            <w:tcW w:w="4300" w:type="dxa"/>
          </w:tcPr>
          <w:p w14:paraId="640966CC">
            <w:pPr>
              <w:spacing w:after="20"/>
            </w:pPr>
            <w:r>
              <w:rPr>
                <w:rFonts w:ascii="Times New Roman" w:hAnsi="Times New Roman" w:eastAsia="黑体"/>
                <w:b/>
                <w:sz w:val="21"/>
              </w:rPr>
              <w:t>主要指标/方法</w:t>
            </w:r>
          </w:p>
        </w:tc>
      </w:tr>
      <w:tr w14:paraId="6B54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E893140">
            <w:pPr>
              <w:spacing w:after="20"/>
            </w:pPr>
            <w:r>
              <w:rPr>
                <w:rFonts w:ascii="Times New Roman" w:hAnsi="Times New Roman" w:eastAsia="宋体"/>
                <w:b w:val="0"/>
                <w:sz w:val="21"/>
              </w:rPr>
              <w:t>融合增益</w:t>
            </w:r>
          </w:p>
        </w:tc>
        <w:tc>
          <w:tcPr>
            <w:tcW w:w="3200" w:type="dxa"/>
          </w:tcPr>
          <w:p w14:paraId="7805A95F">
            <w:pPr>
              <w:spacing w:after="20"/>
            </w:pPr>
            <w:r>
              <w:rPr>
                <w:rFonts w:ascii="Times New Roman" w:hAnsi="Times New Roman" w:eastAsia="宋体"/>
                <w:b w:val="0"/>
                <w:sz w:val="21"/>
              </w:rPr>
              <w:t>多模态是否优于单模态与简单拼接</w:t>
            </w:r>
          </w:p>
        </w:tc>
        <w:tc>
          <w:tcPr>
            <w:tcW w:w="4300" w:type="dxa"/>
          </w:tcPr>
          <w:p w14:paraId="2C8A1BB1">
            <w:pPr>
              <w:spacing w:after="20"/>
            </w:pPr>
            <w:r>
              <w:rPr>
                <w:rFonts w:ascii="Times New Roman" w:hAnsi="Times New Roman" w:eastAsia="宋体"/>
                <w:b w:val="0"/>
                <w:sz w:val="21"/>
              </w:rPr>
              <w:t>全模态、最佳单模态、特征拼接三者的性能差</w:t>
            </w:r>
          </w:p>
        </w:tc>
      </w:tr>
      <w:tr w14:paraId="08E4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F08065B">
            <w:pPr>
              <w:spacing w:after="20"/>
            </w:pPr>
            <w:r>
              <w:rPr>
                <w:rFonts w:ascii="Times New Roman" w:hAnsi="Times New Roman" w:eastAsia="宋体"/>
                <w:b w:val="0"/>
                <w:sz w:val="21"/>
              </w:rPr>
              <w:t>跨模态一致性</w:t>
            </w:r>
          </w:p>
        </w:tc>
        <w:tc>
          <w:tcPr>
            <w:tcW w:w="3200" w:type="dxa"/>
          </w:tcPr>
          <w:p w14:paraId="178EDB3D">
            <w:pPr>
              <w:spacing w:after="20"/>
            </w:pPr>
            <w:r>
              <w:rPr>
                <w:rFonts w:ascii="Times New Roman" w:hAnsi="Times New Roman" w:eastAsia="宋体"/>
                <w:b w:val="0"/>
                <w:sz w:val="21"/>
              </w:rPr>
              <w:t>各模态贡献及是否过度依赖单一模态</w:t>
            </w:r>
          </w:p>
        </w:tc>
        <w:tc>
          <w:tcPr>
            <w:tcW w:w="4300" w:type="dxa"/>
          </w:tcPr>
          <w:p w14:paraId="05FE0E62">
            <w:pPr>
              <w:spacing w:after="20"/>
            </w:pPr>
            <w:r>
              <w:rPr>
                <w:rFonts w:ascii="Times New Roman" w:hAnsi="Times New Roman" w:eastAsia="宋体"/>
                <w:b w:val="0"/>
                <w:sz w:val="21"/>
              </w:rPr>
              <w:t>模态消融的边际贡献、模态依赖度</w:t>
            </w:r>
          </w:p>
        </w:tc>
      </w:tr>
      <w:tr w14:paraId="3FAE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352EC416">
            <w:pPr>
              <w:spacing w:after="20"/>
            </w:pPr>
            <w:r>
              <w:rPr>
                <w:rFonts w:ascii="Times New Roman" w:hAnsi="Times New Roman" w:eastAsia="宋体"/>
                <w:b w:val="0"/>
                <w:sz w:val="21"/>
              </w:rPr>
              <w:t>缺失鲁棒性</w:t>
            </w:r>
          </w:p>
        </w:tc>
        <w:tc>
          <w:tcPr>
            <w:tcW w:w="3200" w:type="dxa"/>
          </w:tcPr>
          <w:p w14:paraId="2175B7E9">
            <w:pPr>
              <w:spacing w:after="20"/>
            </w:pPr>
            <w:r>
              <w:rPr>
                <w:rFonts w:ascii="Times New Roman" w:hAnsi="Times New Roman" w:eastAsia="宋体"/>
                <w:b w:val="0"/>
                <w:sz w:val="21"/>
              </w:rPr>
              <w:t>缺失模态时是否稳定且如实降置信</w:t>
            </w:r>
          </w:p>
        </w:tc>
        <w:tc>
          <w:tcPr>
            <w:tcW w:w="4300" w:type="dxa"/>
          </w:tcPr>
          <w:p w14:paraId="64E61DCF">
            <w:pPr>
              <w:spacing w:after="20"/>
            </w:pPr>
            <w:r>
              <w:rPr>
                <w:rFonts w:ascii="Times New Roman" w:hAnsi="Times New Roman" w:eastAsia="宋体"/>
                <w:b w:val="0"/>
                <w:sz w:val="21"/>
              </w:rPr>
              <w:t>缺失衰减曲线、置信度变化、是否触发复核</w:t>
            </w:r>
          </w:p>
        </w:tc>
      </w:tr>
      <w:tr w14:paraId="3EC4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415A83EF">
            <w:pPr>
              <w:spacing w:after="20"/>
            </w:pPr>
            <w:r>
              <w:rPr>
                <w:rFonts w:ascii="Times New Roman" w:hAnsi="Times New Roman" w:eastAsia="宋体"/>
                <w:b w:val="0"/>
                <w:sz w:val="21"/>
              </w:rPr>
              <w:t>证候层性能</w:t>
            </w:r>
          </w:p>
        </w:tc>
        <w:tc>
          <w:tcPr>
            <w:tcW w:w="3200" w:type="dxa"/>
          </w:tcPr>
          <w:p w14:paraId="36B0D897">
            <w:pPr>
              <w:spacing w:after="20"/>
            </w:pPr>
            <w:r>
              <w:rPr>
                <w:rFonts w:ascii="Times New Roman" w:hAnsi="Times New Roman" w:eastAsia="宋体"/>
                <w:b w:val="0"/>
                <w:sz w:val="21"/>
              </w:rPr>
              <w:t>少见证候是否被总体指标掩盖</w:t>
            </w:r>
          </w:p>
        </w:tc>
        <w:tc>
          <w:tcPr>
            <w:tcW w:w="4300" w:type="dxa"/>
          </w:tcPr>
          <w:p w14:paraId="388256AC">
            <w:pPr>
              <w:spacing w:after="20"/>
            </w:pPr>
            <w:r>
              <w:rPr>
                <w:rFonts w:ascii="Times New Roman" w:hAnsi="Times New Roman" w:eastAsia="宋体"/>
                <w:b w:val="0"/>
                <w:sz w:val="21"/>
              </w:rPr>
              <w:t>分证候准确率、查全率、查准率</w:t>
            </w:r>
          </w:p>
        </w:tc>
      </w:tr>
      <w:tr w14:paraId="3DEFA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702451E1">
            <w:pPr>
              <w:spacing w:after="20"/>
            </w:pPr>
            <w:r>
              <w:rPr>
                <w:rFonts w:ascii="Times New Roman" w:hAnsi="Times New Roman" w:eastAsia="宋体"/>
                <w:b w:val="0"/>
                <w:sz w:val="21"/>
              </w:rPr>
              <w:t>解释质量</w:t>
            </w:r>
          </w:p>
        </w:tc>
        <w:tc>
          <w:tcPr>
            <w:tcW w:w="3200" w:type="dxa"/>
          </w:tcPr>
          <w:p w14:paraId="34F2DDC3">
            <w:pPr>
              <w:spacing w:after="20"/>
            </w:pPr>
            <w:r>
              <w:rPr>
                <w:rFonts w:ascii="Times New Roman" w:hAnsi="Times New Roman" w:eastAsia="宋体"/>
                <w:b w:val="0"/>
                <w:sz w:val="21"/>
              </w:rPr>
              <w:t>跨模态依据链是否正确完整</w:t>
            </w:r>
          </w:p>
        </w:tc>
        <w:tc>
          <w:tcPr>
            <w:tcW w:w="4300" w:type="dxa"/>
          </w:tcPr>
          <w:p w14:paraId="087A4660">
            <w:pPr>
              <w:spacing w:after="20"/>
            </w:pPr>
            <w:r>
              <w:rPr>
                <w:rFonts w:ascii="Times New Roman" w:hAnsi="Times New Roman" w:eastAsia="宋体"/>
                <w:b w:val="0"/>
                <w:sz w:val="21"/>
              </w:rPr>
              <w:t>专家解释合理性评分、依据链完整度</w:t>
            </w:r>
          </w:p>
        </w:tc>
      </w:tr>
      <w:tr w14:paraId="2F72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6AB055C2">
            <w:pPr>
              <w:spacing w:after="20"/>
            </w:pPr>
            <w:r>
              <w:rPr>
                <w:rFonts w:ascii="Times New Roman" w:hAnsi="Times New Roman" w:eastAsia="宋体"/>
                <w:b w:val="0"/>
                <w:sz w:val="21"/>
              </w:rPr>
              <w:t>校准与不确定性</w:t>
            </w:r>
          </w:p>
        </w:tc>
        <w:tc>
          <w:tcPr>
            <w:tcW w:w="3200" w:type="dxa"/>
          </w:tcPr>
          <w:p w14:paraId="256151C2">
            <w:pPr>
              <w:spacing w:after="20"/>
            </w:pPr>
            <w:r>
              <w:rPr>
                <w:rFonts w:ascii="Times New Roman" w:hAnsi="Times New Roman" w:eastAsia="宋体"/>
                <w:b w:val="0"/>
                <w:sz w:val="21"/>
              </w:rPr>
              <w:t>置信度是否与真实正确率一致</w:t>
            </w:r>
          </w:p>
        </w:tc>
        <w:tc>
          <w:tcPr>
            <w:tcW w:w="4300" w:type="dxa"/>
          </w:tcPr>
          <w:p w14:paraId="7AD8EC09">
            <w:pPr>
              <w:spacing w:after="20"/>
            </w:pPr>
            <w:r>
              <w:rPr>
                <w:rFonts w:ascii="Times New Roman" w:hAnsi="Times New Roman" w:eastAsia="宋体"/>
                <w:b w:val="0"/>
                <w:sz w:val="21"/>
              </w:rPr>
              <w:t>期望校准误差、可靠性曲线</w:t>
            </w:r>
          </w:p>
        </w:tc>
      </w:tr>
      <w:tr w14:paraId="775D2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0" w:type="dxa"/>
          </w:tcPr>
          <w:p w14:paraId="2414F5CB">
            <w:pPr>
              <w:spacing w:after="20"/>
            </w:pPr>
            <w:r>
              <w:rPr>
                <w:rFonts w:ascii="Times New Roman" w:hAnsi="Times New Roman" w:eastAsia="宋体"/>
                <w:b w:val="0"/>
                <w:sz w:val="21"/>
              </w:rPr>
              <w:t>临床效用</w:t>
            </w:r>
          </w:p>
        </w:tc>
        <w:tc>
          <w:tcPr>
            <w:tcW w:w="3200" w:type="dxa"/>
          </w:tcPr>
          <w:p w14:paraId="6C6F5892">
            <w:pPr>
              <w:spacing w:after="20"/>
            </w:pPr>
            <w:r>
              <w:rPr>
                <w:rFonts w:ascii="Times New Roman" w:hAnsi="Times New Roman" w:eastAsia="宋体"/>
                <w:b w:val="0"/>
                <w:sz w:val="21"/>
              </w:rPr>
              <w:t>是否真正改善医师辨证</w:t>
            </w:r>
          </w:p>
        </w:tc>
        <w:tc>
          <w:tcPr>
            <w:tcW w:w="4300" w:type="dxa"/>
          </w:tcPr>
          <w:p w14:paraId="19EE3616">
            <w:pPr>
              <w:spacing w:after="20"/>
            </w:pPr>
            <w:r>
              <w:rPr>
                <w:rFonts w:ascii="Times New Roman" w:hAnsi="Times New Roman" w:eastAsia="宋体"/>
                <w:b w:val="0"/>
                <w:sz w:val="21"/>
              </w:rPr>
              <w:t>人在回路准确率、决策时间、认知负荷</w:t>
            </w:r>
          </w:p>
        </w:tc>
      </w:tr>
    </w:tbl>
    <w:p w14:paraId="23769B66">
      <w:pPr>
        <w:pStyle w:val="6"/>
        <w:spacing w:after="120"/>
        <w:ind w:firstLine="602" w:firstLineChars="200"/>
        <w:jc w:val="left"/>
      </w:pPr>
      <w:r>
        <w:rPr>
          <w:rFonts w:ascii="Times New Roman" w:hAnsi="Times New Roman" w:eastAsia="黑体"/>
          <w:b/>
          <w:sz w:val="30"/>
        </w:rPr>
        <w:t>（六）生成式科学发现、隐私计算与边缘部署</w:t>
      </w:r>
      <w:r>
        <w:rPr>
          <w:rFonts w:hint="eastAsia" w:ascii="Times New Roman" w:hAnsi="Times New Roman" w:eastAsia="黑体"/>
          <w:b/>
          <w:sz w:val="30"/>
        </w:rPr>
      </w:r>
    </w:p>
    <w:p w14:paraId="222D3006">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生成式模型的能力已从文本生成扩展到分子生成、网络生成与机制假说生成。在中药研究中,生成式模型可用于中药—成分—靶点—疾病关系的挖掘、中西药相互作用预测、复方作用机制假说的构建、候选分子筛选以及药效物质基础研究。此类方法在科研流程中扮演的是假说生成与证据整合的角色,而非实验结论的替代者</w:t>
      </w:r>
      <w:r>
        <w:rPr>
          <w:rFonts w:hint="eastAsia" w:ascii="Times New Roman" w:hAnsi="Times New Roman"/>
          <w:b w:val="0"/>
          <w:sz w:val="24"/>
          <w:lang w:eastAsia="zh-CN"/>
        </w:rPr>
        <w:t>。</w:t>
      </w:r>
      <w:r>
        <w:rPr>
          <w:rFonts w:hint="eastAsia" w:ascii="Times New Roman" w:hAnsi="Times New Roman" w:eastAsia="宋体"/>
          <w:b w:val="0"/>
          <w:sz w:val="24"/>
        </w:rPr>
        <w:t>所有由模型生成的候选成分、靶点与机制链条都必须经由药理实验、组学验证或临床研究进一步确认,方能进入证据体系。</w:t>
      </w:r>
      <w:r>
        <w:rPr>
          <w:rFonts w:hint="eastAsia" w:ascii="Times New Roman" w:hAnsi="Times New Roman"/>
          <w:b w:val="0"/>
          <w:sz w:val="24"/>
          <w:lang w:val="en-US" w:eastAsia="zh-CN"/>
        </w:rPr>
        <w:t>因此，</w:t>
      </w:r>
      <w:r>
        <w:rPr>
          <w:rFonts w:hint="eastAsia" w:ascii="Times New Roman" w:hAnsi="Times New Roman" w:eastAsia="宋体"/>
          <w:b w:val="0"/>
          <w:sz w:val="24"/>
        </w:rPr>
        <w:t>其价值不在于直接给出结论,而在于从浩繁的化合物与靶点空间中高效缩小搜索范围、提出可检验的研究假设。</w:t>
      </w:r>
    </w:p>
    <w:p w14:paraId="6F8D05BC">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中医药数据普遍具有隐私敏感、样本分散、机构间标准不一等特点,单一机构往往难以独立积累足以训练高质量模型的数据规模。联邦学习为此提供了一条在数据不出域前提下实现多中心协作的技术路径</w:t>
      </w:r>
      <w:r>
        <w:rPr>
          <w:rFonts w:hint="eastAsia" w:ascii="Times New Roman" w:hAnsi="Times New Roman"/>
          <w:b w:val="0"/>
          <w:sz w:val="24"/>
          <w:lang w:eastAsia="zh-CN"/>
        </w:rPr>
        <w:t>。</w:t>
      </w:r>
      <w:r>
        <w:rPr>
          <w:rFonts w:hint="eastAsia" w:ascii="Times New Roman" w:hAnsi="Times New Roman" w:eastAsia="宋体"/>
          <w:b w:val="0"/>
          <w:sz w:val="24"/>
        </w:rPr>
        <w:t>各参与机构在本地以自有数据训练模型,仅将梯度或模型参数等中间结果上传至中心节点进行聚合,原始病例数据始终保留在本地,从而在不集中汇聚数据的条件下获得接近于集中训练的模型性能。</w:t>
      </w:r>
    </w:p>
    <w:p w14:paraId="51C39DC0">
      <w:pPr>
        <w:spacing w:after="80" w:line="360" w:lineRule="auto"/>
        <w:ind w:firstLine="480" w:firstLineChars="200"/>
        <w:jc w:val="both"/>
        <w:rPr>
          <w:rFonts w:hint="eastAsia" w:ascii="Times New Roman" w:hAnsi="Times New Roman" w:eastAsia="宋体"/>
          <w:b w:val="0"/>
          <w:sz w:val="24"/>
        </w:rPr>
      </w:pPr>
      <w:r>
        <w:rPr>
          <w:rFonts w:hint="eastAsia" w:ascii="Times New Roman" w:hAnsi="Times New Roman" w:eastAsia="宋体"/>
          <w:b w:val="0"/>
          <w:sz w:val="24"/>
        </w:rPr>
        <w:t>在中医药多中心协作中,联邦学习的落地须充分考虑数据分布的特殊性。其一,不同机构的患者人群、流派习惯与电子病历结构存在差异,数据呈非独立同分布,直接聚合可能导致模型在部分机构上性能下降,须借助个性化联邦学习,或在聚合时对各机构赋予差异化权重加以缓解。其二,各机构的术语与标注标准不一,须在协作前建立统一的术语映射与标注规范,否则参数聚合会放大语义噪声。其三,参数传递本身仍存在隐私泄露风险,须与差分隐私、安全多方计算或同态加密等技术结合,对上传的梯度施加噪声或加密保护,进一步降低从中间结果反推原始数据的可能。其四,跨机构通信与本地算力构成现实约束,须在聚合频率、模型规模与通信开销之间作出权衡。</w:t>
      </w:r>
    </w:p>
    <w:p w14:paraId="3A80203F">
      <w:pPr>
        <w:spacing w:after="80" w:line="360" w:lineRule="auto"/>
        <w:ind w:firstLine="480" w:firstLineChars="200"/>
        <w:jc w:val="both"/>
      </w:pPr>
      <w:r>
        <w:rPr>
          <w:rFonts w:hint="eastAsia" w:ascii="Times New Roman" w:hAnsi="Times New Roman" w:eastAsia="宋体"/>
          <w:b w:val="0"/>
          <w:sz w:val="24"/>
        </w:rPr>
        <w:t>隐私计算与边缘部署进一步完善了这一协作体系。隐私计算通过密码学与扰动机制,使敏感信息在"可用不可见"的前提下参与计算,为跨机构数据流通提供合规保障;边缘部署则将小而专的模型下沉到基层医疗机构,使其在本地完成推理而无须将数据上传云端,既保护隐私,又适应基层算力有限、网络条件不一的现实。三者协同,可形成一个层次化的协作网络</w:t>
      </w:r>
      <w:r>
        <w:rPr>
          <w:rFonts w:hint="eastAsia" w:ascii="Times New Roman" w:hAnsi="Times New Roman"/>
          <w:b w:val="0"/>
          <w:sz w:val="24"/>
          <w:lang w:eastAsia="zh-CN"/>
        </w:rPr>
        <w:t>。</w:t>
      </w:r>
      <w:r>
        <w:rPr>
          <w:rFonts w:hint="eastAsia" w:ascii="Times New Roman" w:hAnsi="Times New Roman" w:eastAsia="宋体"/>
          <w:b w:val="0"/>
          <w:sz w:val="24"/>
        </w:rPr>
        <w:t>中心层维护可治理的中医药知识基座并负责参数聚合,机构层在本地训练并运行贴合自身人群的模型,参数更新在隐私保护下安全回传,整个网络辅以持续的评测与监测,以及时发现性能漂移并触发再校准。这一范式使中医药科研得以在尊重数据主权与患者隐私的前提下汇聚多中心智慧。</w:t>
      </w:r>
    </w:p>
    <w:p w14:paraId="62661016">
      <w:pPr>
        <w:pStyle w:val="6"/>
        <w:spacing w:after="120"/>
        <w:ind w:firstLine="602" w:firstLineChars="200"/>
        <w:jc w:val="left"/>
      </w:pPr>
      <w:r>
        <w:rPr>
          <w:rFonts w:ascii="Times New Roman" w:hAnsi="Times New Roman" w:eastAsia="黑体"/>
          <w:b/>
          <w:sz w:val="30"/>
        </w:rPr>
        <w:t>（七）仿真孪生与真实证据</w:t>
      </w:r>
      <w:r>
        <w:rPr>
          <w:rFonts w:hint="eastAsia" w:ascii="Times New Roman" w:hAnsi="Times New Roman" w:eastAsia="黑体"/>
          <w:b/>
          <w:sz w:val="30"/>
        </w:rPr>
      </w:r>
    </w:p>
    <w:p w14:paraId="3E541DB8">
      <w:pPr>
        <w:spacing w:after="80" w:line="360" w:lineRule="auto"/>
        <w:ind w:firstLine="480" w:firstLineChars="200"/>
        <w:jc w:val="both"/>
        <w:rPr>
          <w:rFonts w:hint="eastAsia"/>
        </w:rPr>
      </w:pPr>
      <w:r>
        <w:rPr>
          <w:rFonts w:hint="eastAsia"/>
        </w:rPr>
        <w:t>生成式大模型不仅是应用对象,也可作为研究方法工具,用于构建虚拟病例、模拟医患问诊对话、辅助研究方案设计与真实世界研究预演。与第九章真实世界证据相衔接,生成式仿真可用于训练与压力测试模型、检验问诊策略、补充低风险教学场景,并在正式研究开展前预演数据流程与分析方案,从而降低试错成本、暴露设计缺陷。</w:t>
      </w:r>
    </w:p>
    <w:p w14:paraId="13A5F9CD">
      <w:pPr>
        <w:spacing w:after="80" w:line="360" w:lineRule="auto"/>
        <w:ind w:firstLine="480" w:firstLineChars="200"/>
        <w:jc w:val="both"/>
        <w:rPr>
          <w:rFonts w:hint="eastAsia"/>
        </w:rPr>
      </w:pPr>
      <w:r>
        <w:rPr>
          <w:rFonts w:hint="eastAsia"/>
        </w:rPr>
        <w:t xml:space="preserve"> 数字孪生为这一方向提供了更具系统性的方法学框架。数字孪生指以真实个体或人群的多源数据为基础,构建可随新数据持续更新的动态虚拟模型,使其在计算环境中映射真实对象的状态与演变。在中医药场景中,数字孪生可在三个层次发挥作用。其一为个体层面,基于患者的四诊信息、体质辨识与病史构建虚拟患者,推演其证候随时间或干预而发生的演变,为个体化辨证论治提供先推演、后实施的参考。其二为队列层面,构建虚拟患者队列以开展计算机模拟试验,在正式临床研究前估计样本量、比较候选干预方案、识别潜在风险亚组;该层次与前述因果推断方法结合,可对不同治法的异质性效应作出初步推演。其三为流程层面,对诊疗路径或科研流程构建数字孪生,用于压力测试与方案优化。须强调,数字孪生的推演结果属于假设生成与方案预演,其结论必须经真实世界数据与临床研究检验,不能直接作为疗效证据。</w:t>
      </w:r>
    </w:p>
    <w:p w14:paraId="7B834CBE">
      <w:pPr>
        <w:spacing w:after="80" w:line="360" w:lineRule="auto"/>
        <w:ind w:firstLine="480" w:firstLineChars="200"/>
        <w:jc w:val="both"/>
        <w:rPr>
          <w:rFonts w:hint="eastAsia"/>
        </w:rPr>
      </w:pPr>
      <w:r>
        <w:rPr>
          <w:rFonts w:hint="eastAsia"/>
        </w:rPr>
        <w:t>仿真数据与真实证据之间必须保持严格区分。仿真数据适用于教学演示、系统测试与方法预演,可以补充真实数据的不足、覆盖罕见情形,但不能直接替代临床真实世界数据形成疗效结论;一旦混淆二者,将从根本上动摇证据的可靠性。</w:t>
      </w:r>
    </w:p>
    <w:p w14:paraId="533C64C0">
      <w:pPr>
        <w:spacing w:after="80" w:line="360" w:lineRule="auto"/>
        <w:ind w:firstLine="480" w:firstLineChars="200"/>
        <w:jc w:val="both"/>
      </w:pPr>
      <w:r>
        <w:rPr>
          <w:rFonts w:ascii="Segoe UI" w:hAnsi="Segoe UI" w:eastAsia="Segoe UI" w:cs="Segoe UI"/>
          <w:i w:val="0"/>
          <w:iCs w:val="0"/>
          <w:caps w:val="0"/>
          <w:color w:val="0F1115"/>
          <w:spacing w:val="0"/>
          <w:sz w:val="24"/>
          <w:szCs w:val="24"/>
          <w:shd w:val="clear" w:fill="FFFFFF"/>
        </w:rPr>
        <w:t>为保障研究诚信，生成式仿真与数字孪生的应用须遵循若干底线规范，这些规范共同构成生成式人工智能进入中医药研究方法学的基本前提。合成数据的来源与生成方法应予以明确标注，使其在后续使用中可被识别与追溯；数据管理层面应设置隔离机制，防止合成病例混入真实病例库而对真实世界证据造成污染；仿真数据与真实数据之间的分布差异需进行定量评估，避免因分布偏移导致研究结论失真。此外，应避免由同一模型既承担数据生成职能又负责自身能力评价，以防止产生自我印证式的虚假性能表现。论文与研究报告应单独披露合成数据的占比与具体用途，以接受同行评议与审查</w:t>
      </w:r>
      <w:r>
        <w:rPr>
          <w:rFonts w:hint="eastAsia" w:ascii="Segoe UI" w:hAnsi="Segoe UI"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确保其产出成果可信、可核验的根本性前提。</w:t>
      </w:r>
    </w:p>
    <w:p w14:paraId="0FD37107">
      <w:pPr>
        <w:pStyle w:val="5"/>
        <w:spacing w:after="160"/>
        <w:ind w:firstLine="643" w:firstLineChars="200"/>
        <w:jc w:val="left"/>
      </w:pPr>
      <w:r>
        <w:rPr>
          <w:rFonts w:ascii="Times New Roman" w:hAnsi="Times New Roman" w:eastAsia="黑体"/>
          <w:b/>
          <w:sz w:val="32"/>
        </w:rPr>
        <w:t>二、下一代AI技术在中医药中的应用展望</w:t>
      </w:r>
    </w:p>
    <w:p w14:paraId="1F160DFF">
      <w:pPr>
        <w:spacing w:after="80" w:line="360" w:lineRule="auto"/>
        <w:ind w:firstLine="480" w:firstLineChars="200"/>
        <w:jc w:val="both"/>
      </w:pPr>
      <w:r>
        <w:rPr>
          <w:rFonts w:ascii="Times New Roman" w:hAnsi="Times New Roman" w:eastAsia="宋体"/>
          <w:b w:val="0"/>
          <w:sz w:val="24"/>
        </w:rPr>
        <w:t>人工智能作为新一轮科技革命与产业变革中渗透性最强、带动性最广的战略性技术，正日益受到中医药传承创新发展的高度重视。推动人工智能与中医药深度融合，是促进中医药现代化和高质量发展的一项重要举措。下一代人工智能技术在中医药领域的应用，旨在整合分散的中医药数据与知识资源，构建面向临床、科研与教育的可信、智能、可持续的方法学体系。展望未来，其总体演进可概括为三条主线：第一，模型形态从单一大语言模型转向多模态、工具增强和智能体系统；第二，研究对象从问答任务扩展到临床路径、科研流程、教育训练和产业转化；第三，评价标准从准确率扩展到可信性、安全性、可解释性、公平性和治理合规。本节据此将这些主线归纳为“知识基座化、推理过程化、系统智能体化、证据闭环化、部署安全化”五个方向。需要强调的是，上述方向多属未来仍需持续努力的目标，而非业已完全实现的现状；本节意在标示前行方向，而非罗列既有成果。</w:t>
      </w:r>
    </w:p>
    <w:p w14:paraId="57E7F77D">
      <w:pPr>
        <w:pStyle w:val="6"/>
        <w:spacing w:after="120"/>
        <w:ind w:firstLine="602" w:firstLineChars="200"/>
        <w:jc w:val="left"/>
      </w:pPr>
      <w:r>
        <w:rPr>
          <w:rFonts w:ascii="Times New Roman" w:hAnsi="Times New Roman" w:eastAsia="黑体"/>
          <w:b/>
          <w:sz w:val="30"/>
        </w:rPr>
        <w:t>（一）知识基座化</w:t>
      </w:r>
    </w:p>
    <w:p w14:paraId="5BC7C318">
      <w:pPr>
        <w:spacing w:after="80" w:line="360" w:lineRule="auto"/>
        <w:ind w:firstLine="480" w:firstLineChars="200"/>
        <w:jc w:val="both"/>
      </w:pPr>
      <w:r>
        <w:rPr>
          <w:rFonts w:ascii="Times New Roman" w:hAnsi="Times New Roman" w:eastAsia="宋体"/>
          <w:b w:val="0"/>
          <w:sz w:val="24"/>
        </w:rPr>
        <w:t>未来中医药大模型的竞争核心将从参数规模转向知识基座质量。高质量知识基座具有四项特征：来源清晰、术语统一、证据分级、流派可辨。研究生在设计相关课题时，应把知识基座建设视为模型工程的上游工作，而不是训练前的附属整理。没有高质量知识基座，继续预训练将放大语料噪声，RAG将检索到不可靠依据，知识图谱约束也会被错误关系污染。</w:t>
      </w:r>
    </w:p>
    <w:p w14:paraId="6647D2F9">
      <w:pPr>
        <w:pStyle w:val="6"/>
        <w:spacing w:after="120"/>
        <w:ind w:firstLine="602" w:firstLineChars="200"/>
        <w:jc w:val="left"/>
      </w:pPr>
      <w:r>
        <w:rPr>
          <w:rFonts w:ascii="Times New Roman" w:hAnsi="Times New Roman" w:eastAsia="黑体"/>
          <w:b/>
          <w:sz w:val="30"/>
        </w:rPr>
        <w:t>（二）推理过程化</w:t>
      </w:r>
    </w:p>
    <w:p w14:paraId="306DCAD2">
      <w:pPr>
        <w:spacing w:after="80" w:line="360" w:lineRule="auto"/>
        <w:ind w:firstLine="480" w:firstLineChars="200"/>
        <w:jc w:val="both"/>
      </w:pPr>
      <w:r>
        <w:rPr>
          <w:rFonts w:ascii="Times New Roman" w:hAnsi="Times New Roman" w:eastAsia="宋体"/>
          <w:b w:val="0"/>
          <w:sz w:val="24"/>
        </w:rPr>
        <w:t>中医药AI的核心不在于一次性给出答案，而在于展示可检查的辨证过程。推理过程化要求模型把诊疗逻辑显式分解，并接受过程监督与安全审查。对研究生而言，这意味着数据标注不应停留在“问题—答案”层面，而应标注“症状抽取—证候依据—病机解释—治法—处方—禁忌”链条。模型评价也应从答案层评价扩展到过程层评价。</w:t>
      </w:r>
    </w:p>
    <w:p w14:paraId="60AFC967">
      <w:pPr>
        <w:pStyle w:val="6"/>
        <w:spacing w:after="120"/>
        <w:ind w:firstLine="602" w:firstLineChars="200"/>
        <w:jc w:val="left"/>
      </w:pPr>
      <w:r>
        <w:rPr>
          <w:rFonts w:ascii="Times New Roman" w:hAnsi="Times New Roman" w:eastAsia="黑体"/>
          <w:b/>
          <w:sz w:val="30"/>
        </w:rPr>
        <w:t>（三）系统智能体化</w:t>
      </w:r>
    </w:p>
    <w:p w14:paraId="26341DD4">
      <w:pPr>
        <w:spacing w:after="80" w:line="360" w:lineRule="auto"/>
        <w:ind w:firstLine="480" w:firstLineChars="200"/>
        <w:jc w:val="both"/>
      </w:pPr>
      <w:r>
        <w:rPr>
          <w:rFonts w:ascii="Times New Roman" w:hAnsi="Times New Roman" w:eastAsia="宋体"/>
          <w:b w:val="0"/>
          <w:sz w:val="24"/>
        </w:rPr>
        <w:t>智能体化使大模型从内容生成器转变为工作流执行者。中医药科研中的文献综述、数据清洗、知识图谱构建、模型评测、图表生成和论文撰写均可被组织为智能体工作流。临床场景中的问诊补全、病历摘要、风险提示、随访提醒和患者教育也可由智能体辅助完成。系统智能体化的前提是工具调用可追踪、权限可控制、错误可恢复、人类可接管。</w:t>
      </w:r>
    </w:p>
    <w:p w14:paraId="586056FE">
      <w:pPr>
        <w:pStyle w:val="6"/>
        <w:spacing w:after="120"/>
        <w:ind w:firstLine="602" w:firstLineChars="200"/>
        <w:jc w:val="left"/>
      </w:pPr>
      <w:r>
        <w:rPr>
          <w:rFonts w:ascii="Times New Roman" w:hAnsi="Times New Roman" w:eastAsia="黑体"/>
          <w:b/>
          <w:sz w:val="30"/>
        </w:rPr>
        <w:t>（四）证据闭环化</w:t>
      </w:r>
    </w:p>
    <w:p w14:paraId="0E475901">
      <w:pPr>
        <w:spacing w:after="80" w:line="360" w:lineRule="auto"/>
        <w:ind w:firstLine="480" w:firstLineChars="200"/>
        <w:jc w:val="both"/>
      </w:pPr>
      <w:r>
        <w:rPr>
          <w:rFonts w:ascii="Times New Roman" w:hAnsi="Times New Roman" w:eastAsia="宋体"/>
          <w:b w:val="0"/>
          <w:sz w:val="24"/>
        </w:rPr>
        <w:t>中医药AI不应只产生输出，还应形成证据闭环。所谓证据闭环，是指模型输出、依据来源、专家审核、临床反馈、真实世界结局和模型更新之间形成连续记录。以方药推荐为例，系统应记录推荐依据、专家是否采纳、患者疗效与不良反应、模型置信度和后续修正。只有形成证据闭环，模型才能从“静态工具”转向“可持续改进的医疗科研系统”。</w:t>
      </w:r>
    </w:p>
    <w:p w14:paraId="7C97936A">
      <w:pPr>
        <w:pStyle w:val="6"/>
        <w:spacing w:after="120"/>
        <w:ind w:firstLine="602" w:firstLineChars="200"/>
        <w:jc w:val="left"/>
      </w:pPr>
      <w:r>
        <w:rPr>
          <w:rFonts w:ascii="Times New Roman" w:hAnsi="Times New Roman" w:eastAsia="黑体"/>
          <w:b/>
          <w:sz w:val="30"/>
        </w:rPr>
        <w:t>（五）部署安全化</w:t>
      </w:r>
    </w:p>
    <w:p w14:paraId="741087BF">
      <w:pPr>
        <w:spacing w:after="80" w:line="360" w:lineRule="auto"/>
        <w:ind w:firstLine="480" w:firstLineChars="200"/>
        <w:jc w:val="both"/>
      </w:pPr>
      <w:r>
        <w:rPr>
          <w:rFonts w:ascii="Times New Roman" w:hAnsi="Times New Roman" w:eastAsia="宋体"/>
          <w:b w:val="0"/>
          <w:sz w:val="24"/>
        </w:rPr>
        <w:t>下一代AI的部署安全包括数据安全、模型安全、临床安全和治理安全。数据安全关注隐私保护和跨机构共享；模型安全关注幻觉、越权调用和提示攻击；临床安全关注禁忌漏检、错误建议和自动化偏见；治理安全关注责任归属、审计记录和监管合规。中医药AI进入临床和教学场景前，应建立分级部署制度：低风险场景可用于知识检索和教学辅助，中风险场景可用于病历摘要和随访建议，高风险场景如辨证处方和用药推荐必须有人类医师审核。</w:t>
      </w:r>
    </w:p>
    <w:p w14:paraId="347FBCD7">
      <w:pPr>
        <w:pStyle w:val="5"/>
        <w:spacing w:after="120"/>
        <w:ind w:firstLine="562" w:firstLineChars="200"/>
        <w:jc w:val="left"/>
      </w:pPr>
      <w:r>
        <w:rPr>
          <w:rFonts w:ascii="Times New Roman" w:hAnsi="Times New Roman" w:eastAsia="宋体"/>
          <w:b/>
          <w:sz w:val="28"/>
        </w:rPr>
        <w:t>第一节小结</w:t>
      </w:r>
    </w:p>
    <w:p w14:paraId="5B6F278F">
      <w:pPr>
        <w:spacing w:after="80" w:line="360" w:lineRule="auto"/>
        <w:ind w:firstLine="480" w:firstLineChars="200"/>
        <w:jc w:val="both"/>
      </w:pPr>
      <w:r>
        <w:rPr>
          <w:rFonts w:ascii="Times New Roman" w:hAnsi="Times New Roman" w:eastAsia="宋体"/>
          <w:b w:val="0"/>
          <w:sz w:val="24"/>
        </w:rPr>
        <w:t>生成式大模型与下一代AI技术为中医药研究方法带来新的工具体系，但其价值取决于领域适配质量。对齐辨证逻辑、参数高效微调、多智能体协作编排与多模态融合分别从不同层面回应适配需求，而高质量知识基座、证据等级与安全边界是这些方向得以落地的共同前提。面向研究生的关键认识是：中医药大模型的核心工程不是“把模型接入中医药文本”，而是建立从知识基座、辨证逻辑、证据等级、安全规则到人机协同的完整方法学体系。需要强调，本节所述多属未来仍需持续推进的方向，而非业已成熟的现状。</w:t>
      </w:r>
    </w:p>
    <w:p w14:paraId="1CCE3F68">
      <w:pPr>
        <w:pStyle w:val="4"/>
        <w:spacing w:after="200"/>
        <w:jc w:val="center"/>
      </w:pPr>
      <w:r>
        <w:rPr>
          <w:rFonts w:ascii="黑体" w:hAnsi="黑体" w:eastAsia="黑体"/>
          <w:b/>
          <w:sz w:val="36"/>
        </w:rPr>
        <w:t>第二节　可信AI与医疗安全：不确定性、鲁棒性、公平性、可解释性与因果推断</w:t>
      </w:r>
    </w:p>
    <w:p w14:paraId="775382AA">
      <w:pPr>
        <w:pStyle w:val="5"/>
        <w:spacing w:after="120"/>
        <w:ind w:firstLine="562" w:firstLineChars="200"/>
        <w:jc w:val="left"/>
      </w:pPr>
      <w:r>
        <w:rPr>
          <w:rFonts w:ascii="Times New Roman" w:hAnsi="Times New Roman" w:eastAsia="宋体"/>
          <w:b/>
          <w:sz w:val="28"/>
        </w:rPr>
        <w:t>本节导读</w:t>
      </w:r>
    </w:p>
    <w:p w14:paraId="38929DFE">
      <w:pPr>
        <w:spacing w:after="80" w:line="360" w:lineRule="auto"/>
        <w:ind w:firstLine="480" w:firstLineChars="200"/>
        <w:jc w:val="both"/>
      </w:pPr>
      <w:r>
        <w:rPr>
          <w:rFonts w:ascii="Times New Roman" w:hAnsi="Times New Roman" w:eastAsia="宋体"/>
          <w:b w:val="0"/>
          <w:sz w:val="24"/>
        </w:rPr>
        <w:t>上一节讨论了生成式大模型和下一代AI技术的应用前景。本节讨论这些前景成立的前提：可信与安全。医疗AI的风险不同于普通信息系统。普通问答错误通常影响信息获取效率，医疗AI错误会影响诊疗决策、患者安全和责任归属。中医药AI还叠加了辨证主观性、古今术语差异、流派差异、个体化诊疗、证据等级复杂等问题。本节从可信AI框架出发，重点讲解不确定性量化、鲁棒性和算法公平性三类技术，并将其转化为中医药研究设计中的可操作步骤。</w:t>
      </w:r>
    </w:p>
    <w:p w14:paraId="709201A9">
      <w:pPr>
        <w:pStyle w:val="5"/>
        <w:spacing w:after="160"/>
        <w:ind w:firstLine="643" w:firstLineChars="200"/>
        <w:jc w:val="left"/>
      </w:pPr>
      <w:r>
        <w:rPr>
          <w:rFonts w:ascii="Times New Roman" w:hAnsi="Times New Roman" w:eastAsia="黑体"/>
          <w:b/>
          <w:sz w:val="32"/>
        </w:rPr>
        <w:t>一、可信AI与医疗实践的伦理挑战</w:t>
      </w:r>
    </w:p>
    <w:p w14:paraId="0E4C3DB2">
      <w:pPr>
        <w:pStyle w:val="6"/>
        <w:spacing w:after="120"/>
        <w:ind w:firstLine="602" w:firstLineChars="200"/>
        <w:jc w:val="left"/>
      </w:pPr>
      <w:r>
        <w:rPr>
          <w:rFonts w:ascii="Times New Roman" w:hAnsi="Times New Roman" w:eastAsia="黑体"/>
          <w:b/>
          <w:sz w:val="30"/>
        </w:rPr>
        <w:t>（一）可信AI的基本框架</w:t>
      </w:r>
    </w:p>
    <w:p w14:paraId="65BC2FA1">
      <w:pPr>
        <w:spacing w:after="80" w:line="360" w:lineRule="auto"/>
        <w:ind w:firstLine="480" w:firstLineChars="200"/>
        <w:jc w:val="both"/>
      </w:pPr>
      <w:r>
        <w:rPr>
          <w:rFonts w:ascii="Times New Roman" w:hAnsi="Times New Roman" w:eastAsia="宋体"/>
          <w:b w:val="0"/>
          <w:sz w:val="24"/>
        </w:rPr>
        <w:t>可信AI不是单一指标，而是由多个相互制约的属性组成。可靠性要求模型在预期场景中稳定完成任务；安全性要求模型在异常输入、分布变化和高风险场景中避免造成伤害；透明性与可解释性要求模型输出能够被理解、追踪和审查；公平性要求模型不因地域、年龄、性别、民族、语言、流派和数据来源差异而产生系统性不利；隐私保护要求数据采集、存储、训练和共享符合最小必要原则；可问责性要求系统行为、工具调用、模型版本和人类审核记录能够追溯。</w:t>
      </w:r>
    </w:p>
    <w:p w14:paraId="25A4FC54">
      <w:pPr>
        <w:spacing w:after="80" w:line="360" w:lineRule="auto"/>
        <w:ind w:firstLine="480" w:firstLineChars="200"/>
        <w:jc w:val="both"/>
      </w:pPr>
      <w:r>
        <w:rPr>
          <w:rFonts w:ascii="Times New Roman" w:hAnsi="Times New Roman" w:eastAsia="宋体"/>
          <w:b w:val="0"/>
          <w:sz w:val="24"/>
        </w:rPr>
        <w:t>国际可信AI框架为中医药AI提供了原则基础，但原则本身不能直接替代中医药场景中的方法设计。将可信原则落地，需要把抽象要求转化为数据表、模型约束、评价指标、审计日志和临床工作制度。例如，“可解释性”在中医药场景中不仅要求展示模型关注的文本片段，还要求说明证候判断依据、病机解释、治法选择和方药禁忌；“公平性”不仅关注性别和年龄，也要关注地域、民族、语言文化和中医学术流派。</w:t>
      </w:r>
    </w:p>
    <w:p w14:paraId="2DB5F375">
      <w:pPr>
        <w:pStyle w:val="6"/>
        <w:spacing w:after="120"/>
        <w:ind w:firstLine="602" w:firstLineChars="200"/>
        <w:jc w:val="left"/>
      </w:pPr>
      <w:r>
        <w:rPr>
          <w:rFonts w:ascii="Times New Roman" w:hAnsi="Times New Roman" w:eastAsia="黑体"/>
          <w:b/>
          <w:sz w:val="30"/>
        </w:rPr>
        <w:t>（二）医疗场景的高风险性与中医药特殊性</w:t>
      </w:r>
    </w:p>
    <w:p w14:paraId="55417C8C">
      <w:pPr>
        <w:spacing w:after="80" w:line="360" w:lineRule="auto"/>
        <w:ind w:firstLine="480" w:firstLineChars="200"/>
        <w:jc w:val="both"/>
      </w:pPr>
      <w:r>
        <w:rPr>
          <w:rFonts w:ascii="Times New Roman" w:hAnsi="Times New Roman" w:eastAsia="宋体"/>
          <w:b w:val="0"/>
          <w:sz w:val="24"/>
        </w:rPr>
        <w:t>医疗AI具有高风险性、责任敏感性和强监管属性。一次错误的辨证、错误的用药建议或遗漏禁忌提示，均会造成临床风险。中医药AI的特殊性进一步提高了可信门槛。</w:t>
      </w:r>
    </w:p>
    <w:p w14:paraId="18609194">
      <w:pPr>
        <w:spacing w:after="80" w:line="360" w:lineRule="auto"/>
        <w:ind w:firstLine="480" w:firstLineChars="200"/>
        <w:jc w:val="both"/>
      </w:pPr>
      <w:r>
        <w:rPr>
          <w:rFonts w:ascii="Times New Roman" w:hAnsi="Times New Roman" w:eastAsia="宋体"/>
          <w:b w:val="0"/>
          <w:sz w:val="24"/>
        </w:rPr>
        <w:t>第一，辨证标签具有主观性。同一患者的舌象、脉象和症状组合在不同医师处会得到不同辨证结论。该问题要求研究者在标注阶段报告专家人数、一致性指标和分歧处理规则。</w:t>
      </w:r>
    </w:p>
    <w:p w14:paraId="3352C117">
      <w:pPr>
        <w:spacing w:after="80" w:line="360" w:lineRule="auto"/>
        <w:ind w:firstLine="480" w:firstLineChars="200"/>
        <w:jc w:val="both"/>
      </w:pPr>
      <w:r>
        <w:rPr>
          <w:rFonts w:ascii="Times New Roman" w:hAnsi="Times New Roman" w:eastAsia="宋体"/>
          <w:b w:val="0"/>
          <w:sz w:val="24"/>
        </w:rPr>
        <w:t>第二，个体化诊疗与标准化评价之间存在张力。中医强调同病异治、异病同治，AI评测强调可重复和可比较。研究设计需要同时保留个体化信息并建立标准化评价框架。</w:t>
      </w:r>
    </w:p>
    <w:p w14:paraId="3F65504D">
      <w:pPr>
        <w:spacing w:after="80" w:line="360" w:lineRule="auto"/>
        <w:ind w:firstLine="480" w:firstLineChars="200"/>
        <w:jc w:val="both"/>
      </w:pPr>
      <w:r>
        <w:rPr>
          <w:rFonts w:ascii="Times New Roman" w:hAnsi="Times New Roman" w:eastAsia="宋体"/>
          <w:b w:val="0"/>
          <w:sz w:val="24"/>
        </w:rPr>
        <w:t>第三，知识证据等级差异显著。经典文献、经验医案、药典标准、临床试验和真实世界研究各有价值，也各有适用范围。模型调用知识时应区分来源与证据等级，不能把不同证据形式视为同等强度。</w:t>
      </w:r>
    </w:p>
    <w:p w14:paraId="7F6E0EA3">
      <w:pPr>
        <w:spacing w:after="80" w:line="360" w:lineRule="auto"/>
        <w:ind w:firstLine="480" w:firstLineChars="200"/>
        <w:jc w:val="both"/>
      </w:pPr>
      <w:r>
        <w:rPr>
          <w:rFonts w:ascii="Times New Roman" w:hAnsi="Times New Roman" w:eastAsia="宋体"/>
          <w:b w:val="0"/>
          <w:sz w:val="24"/>
        </w:rPr>
        <w:t>第四，跨文化与跨地域泛化存在风险。中医药术语和临床经验具有语言、文化和地域背景。训练数据若偏向某一来源，模型将在其他来源数据上产生性能下降和解释偏差。</w:t>
      </w:r>
    </w:p>
    <w:p w14:paraId="3EBBD85C">
      <w:pPr>
        <w:pStyle w:val="6"/>
        <w:spacing w:after="120"/>
        <w:ind w:firstLine="602" w:firstLineChars="200"/>
        <w:jc w:val="left"/>
      </w:pPr>
      <w:r>
        <w:rPr>
          <w:rFonts w:ascii="Times New Roman" w:hAnsi="Times New Roman" w:eastAsia="黑体"/>
          <w:b/>
          <w:sz w:val="30"/>
        </w:rPr>
        <w:t>（三）可信AI在研究全流程中的落点</w:t>
      </w:r>
    </w:p>
    <w:p w14:paraId="31B3B505">
      <w:pPr>
        <w:spacing w:after="80"/>
        <w:jc w:val="center"/>
      </w:pPr>
      <w:r>
        <w:rPr>
          <w:rFonts w:ascii="Times New Roman" w:hAnsi="Times New Roman" w:eastAsia="黑体"/>
          <w:b/>
          <w:sz w:val="21"/>
        </w:rPr>
        <w:t>表10-2　中医药可信AI的全流程落点</w:t>
      </w:r>
    </w:p>
    <w:p w14:paraId="208C4F62">
      <w:pPr>
        <w:spacing w:after="80" w:line="360" w:lineRule="auto"/>
        <w:ind w:firstLine="480" w:firstLineChars="200"/>
        <w:jc w:val="both"/>
      </w:pPr>
      <w:r>
        <w:rPr>
          <w:rFonts w:ascii="Times New Roman" w:hAnsi="Times New Roman" w:eastAsia="宋体"/>
          <w:b w:val="0"/>
          <w:sz w:val="24"/>
        </w:rPr>
        <w:t>第一行“数据环节”：术语标准化、标注一致性、敏感信息脱敏、证据等级标注、数据来源记录。第二行“建模环节”：RAG、知识图谱约束、禁忌规则库、参数高效微调、模型校准。第三行“评测环节”：准确率、幻觉率、错误信息识别、置信度校准、分布外泛化、公平性分层评价。第四行“部署环节”：人类审核、权限控制、解释输出、日志记录、版本管理。第五行“监测环节”：性能漂移监测、不良事件记录、用户反馈、模型再训练与监管报告。</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3"/>
        <w:gridCol w:w="4427"/>
      </w:tblGrid>
      <w:tr w14:paraId="2576D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AF7B840">
            <w:pPr>
              <w:spacing w:after="40"/>
              <w:jc w:val="left"/>
            </w:pPr>
            <w:r>
              <w:rPr>
                <w:rFonts w:ascii="Times New Roman" w:hAnsi="Times New Roman" w:eastAsia="黑体"/>
                <w:b/>
                <w:sz w:val="21"/>
              </w:rPr>
              <w:t>环节</w:t>
            </w:r>
          </w:p>
        </w:tc>
        <w:tc>
          <w:tcPr>
            <w:tcW w:w="4500" w:type="dxa"/>
          </w:tcPr>
          <w:p w14:paraId="72350950">
            <w:pPr>
              <w:spacing w:after="40"/>
              <w:jc w:val="left"/>
            </w:pPr>
            <w:r>
              <w:rPr>
                <w:rFonts w:ascii="Times New Roman" w:hAnsi="Times New Roman" w:eastAsia="黑体"/>
                <w:b/>
                <w:sz w:val="21"/>
              </w:rPr>
              <w:t>可信AI落点要素</w:t>
            </w:r>
          </w:p>
        </w:tc>
      </w:tr>
      <w:tr w14:paraId="56A5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B30A3D0">
            <w:pPr>
              <w:spacing w:after="40"/>
              <w:jc w:val="left"/>
            </w:pPr>
            <w:r>
              <w:rPr>
                <w:rFonts w:ascii="Times New Roman" w:hAnsi="Times New Roman" w:eastAsia="宋体"/>
                <w:b w:val="0"/>
                <w:sz w:val="21"/>
              </w:rPr>
              <w:t>数据环节</w:t>
            </w:r>
          </w:p>
        </w:tc>
        <w:tc>
          <w:tcPr>
            <w:tcW w:w="4500" w:type="dxa"/>
          </w:tcPr>
          <w:p w14:paraId="057C95FB">
            <w:pPr>
              <w:spacing w:after="40"/>
              <w:jc w:val="left"/>
            </w:pPr>
            <w:r>
              <w:rPr>
                <w:rFonts w:ascii="Times New Roman" w:hAnsi="Times New Roman" w:eastAsia="宋体"/>
                <w:b w:val="0"/>
                <w:sz w:val="21"/>
              </w:rPr>
              <w:t>术语标准化、标注一致性、敏感信息脱敏、证据等级标注、数据来源与版权记录</w:t>
            </w:r>
          </w:p>
        </w:tc>
      </w:tr>
      <w:tr w14:paraId="5B267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DC3DE78">
            <w:pPr>
              <w:spacing w:after="40"/>
              <w:jc w:val="left"/>
            </w:pPr>
            <w:r>
              <w:rPr>
                <w:rFonts w:ascii="Times New Roman" w:hAnsi="Times New Roman" w:eastAsia="宋体"/>
                <w:b w:val="0"/>
                <w:sz w:val="21"/>
              </w:rPr>
              <w:t>建模环节</w:t>
            </w:r>
          </w:p>
        </w:tc>
        <w:tc>
          <w:tcPr>
            <w:tcW w:w="4500" w:type="dxa"/>
          </w:tcPr>
          <w:p w14:paraId="0363490D">
            <w:pPr>
              <w:spacing w:after="40"/>
              <w:jc w:val="left"/>
            </w:pPr>
            <w:r>
              <w:rPr>
                <w:rFonts w:ascii="Times New Roman" w:hAnsi="Times New Roman" w:eastAsia="宋体"/>
                <w:b w:val="0"/>
                <w:sz w:val="21"/>
              </w:rPr>
              <w:t>检索增强生成、知识图谱约束、禁忌规则库、参数高效微调、模型校准</w:t>
            </w:r>
          </w:p>
        </w:tc>
      </w:tr>
      <w:tr w14:paraId="742A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348F0428">
            <w:pPr>
              <w:spacing w:after="40"/>
              <w:jc w:val="left"/>
            </w:pPr>
            <w:r>
              <w:rPr>
                <w:rFonts w:ascii="Times New Roman" w:hAnsi="Times New Roman" w:eastAsia="宋体"/>
                <w:b w:val="0"/>
                <w:sz w:val="21"/>
              </w:rPr>
              <w:t>评测环节</w:t>
            </w:r>
          </w:p>
        </w:tc>
        <w:tc>
          <w:tcPr>
            <w:tcW w:w="4500" w:type="dxa"/>
          </w:tcPr>
          <w:p w14:paraId="2831277E">
            <w:pPr>
              <w:spacing w:after="40"/>
              <w:jc w:val="left"/>
            </w:pPr>
            <w:r>
              <w:rPr>
                <w:rFonts w:ascii="Times New Roman" w:hAnsi="Times New Roman" w:eastAsia="宋体"/>
                <w:b w:val="0"/>
                <w:sz w:val="21"/>
              </w:rPr>
              <w:t>准确率、幻觉率、错误信息识别、置信度校准、分布外泛化、公平性分层评价</w:t>
            </w:r>
          </w:p>
        </w:tc>
      </w:tr>
      <w:tr w14:paraId="672D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03C036B6">
            <w:pPr>
              <w:spacing w:after="40"/>
              <w:jc w:val="left"/>
            </w:pPr>
            <w:r>
              <w:rPr>
                <w:rFonts w:ascii="Times New Roman" w:hAnsi="Times New Roman" w:eastAsia="宋体"/>
                <w:b w:val="0"/>
                <w:sz w:val="21"/>
              </w:rPr>
              <w:t>部署环节</w:t>
            </w:r>
          </w:p>
        </w:tc>
        <w:tc>
          <w:tcPr>
            <w:tcW w:w="4500" w:type="dxa"/>
          </w:tcPr>
          <w:p w14:paraId="516F1449">
            <w:pPr>
              <w:spacing w:after="40"/>
              <w:jc w:val="left"/>
            </w:pPr>
            <w:r>
              <w:rPr>
                <w:rFonts w:ascii="Times New Roman" w:hAnsi="Times New Roman" w:eastAsia="宋体"/>
                <w:b w:val="0"/>
                <w:sz w:val="21"/>
              </w:rPr>
              <w:t>人类审核、权限控制、解释输出、低置信拒答、操作日志审计</w:t>
            </w:r>
          </w:p>
        </w:tc>
      </w:tr>
      <w:tr w14:paraId="00D39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41FB4E7B">
            <w:pPr>
              <w:spacing w:after="40"/>
              <w:jc w:val="left"/>
            </w:pPr>
            <w:r>
              <w:rPr>
                <w:rFonts w:ascii="Times New Roman" w:hAnsi="Times New Roman" w:eastAsia="宋体"/>
                <w:b w:val="0"/>
                <w:sz w:val="21"/>
              </w:rPr>
              <w:t>监测环节</w:t>
            </w:r>
          </w:p>
        </w:tc>
        <w:tc>
          <w:tcPr>
            <w:tcW w:w="4500" w:type="dxa"/>
          </w:tcPr>
          <w:p w14:paraId="208E16AB">
            <w:pPr>
              <w:spacing w:after="40"/>
              <w:jc w:val="left"/>
            </w:pPr>
            <w:r>
              <w:rPr>
                <w:rFonts w:ascii="Times New Roman" w:hAnsi="Times New Roman" w:eastAsia="宋体"/>
                <w:b w:val="0"/>
                <w:sz w:val="21"/>
              </w:rPr>
              <w:t>性能漂移监测、不良事件上报、定期再校准、模型版本与责任记录</w:t>
            </w:r>
          </w:p>
        </w:tc>
      </w:tr>
    </w:tbl>
    <w:p w14:paraId="14B8645E">
      <w:pPr>
        <w:spacing w:after="80" w:line="360" w:lineRule="auto"/>
        <w:ind w:firstLine="480" w:firstLineChars="200"/>
        <w:jc w:val="both"/>
      </w:pPr>
      <w:r>
        <w:rPr>
          <w:rFonts w:ascii="Times New Roman" w:hAnsi="Times New Roman" w:eastAsia="宋体"/>
          <w:b w:val="0"/>
          <w:sz w:val="24"/>
        </w:rPr>
        <w:t>该表说明，可信AI不是模型训练完成后附加的检查项，而是贯穿数据、建模、评测、部署和监测的系统工程。研究生在设计课题时，应在开题阶段就明确可信性指标，而不是在论文撰写阶段补充伦理讨论。</w:t>
      </w:r>
    </w:p>
    <w:p w14:paraId="42E0C738">
      <w:pPr>
        <w:pStyle w:val="5"/>
        <w:spacing w:after="160"/>
        <w:ind w:firstLine="643" w:firstLineChars="200"/>
        <w:jc w:val="left"/>
      </w:pPr>
      <w:r>
        <w:rPr>
          <w:rFonts w:ascii="Times New Roman" w:hAnsi="Times New Roman" w:eastAsia="黑体"/>
          <w:b/>
          <w:sz w:val="32"/>
        </w:rPr>
        <w:t>二、不确定性量化、鲁棒性与算法公平性探索</w:t>
      </w:r>
    </w:p>
    <w:p w14:paraId="04D51090">
      <w:pPr>
        <w:pStyle w:val="6"/>
        <w:spacing w:after="120"/>
        <w:ind w:firstLine="602" w:firstLineChars="200"/>
        <w:jc w:val="left"/>
      </w:pPr>
      <w:r>
        <w:rPr>
          <w:rFonts w:ascii="Times New Roman" w:hAnsi="Times New Roman" w:eastAsia="黑体"/>
          <w:b/>
          <w:sz w:val="30"/>
        </w:rPr>
        <w:t>（一）不确定性量化：让模型表达“把握程度”</w:t>
      </w:r>
    </w:p>
    <w:p w14:paraId="46750D4E">
      <w:pPr>
        <w:spacing w:after="80" w:line="360" w:lineRule="auto"/>
        <w:ind w:firstLine="480" w:firstLineChars="200"/>
        <w:jc w:val="both"/>
      </w:pPr>
      <w:r>
        <w:rPr>
          <w:rFonts w:ascii="Times New Roman" w:hAnsi="Times New Roman" w:eastAsia="宋体"/>
          <w:b w:val="0"/>
          <w:sz w:val="24"/>
        </w:rPr>
        <w:t>不确定性量化旨在使模型不仅输出结果，还输出对结果的把握程度。中医药AI尤其需要不确定性量化，原因有三点。第一，中医药数据存在弱标签、小样本和分布不均。第二，辨证标签包含专家主观判断。第三，大模型在不熟悉或信息不足的场景中会生成看似流畅但依据不足的回答。若系统能够识别低置信输出，就能触发人工复核、拒答或补充问诊。</w:t>
      </w:r>
    </w:p>
    <w:p w14:paraId="22E430D5">
      <w:pPr>
        <w:spacing w:after="80" w:line="360" w:lineRule="auto"/>
        <w:ind w:firstLine="480" w:firstLineChars="200"/>
        <w:jc w:val="both"/>
      </w:pPr>
      <w:r>
        <w:rPr>
          <w:rFonts w:ascii="Times New Roman" w:hAnsi="Times New Roman" w:eastAsia="宋体"/>
          <w:b w:val="0"/>
          <w:sz w:val="24"/>
        </w:rPr>
        <w:t>不确定性通常分为偶然不确定性和认知不确定性。偶然不确定性来自数据本身的噪声和模糊，例如舌象图像光照不足、脉象信号采集不稳定、同一症状表达存在歧义。认知不确定性来自模型知识不足，例如训练集中罕见证型样本过少或某类中西药相互作用证据缺失。二者的处理策略不同：偶然不确定性要求改善采集质量、增加重复测量和专家共识；认知不确定性要求补充数据、主动学习或限定模型适用范围。</w:t>
      </w:r>
    </w:p>
    <w:p w14:paraId="3F6CD95D">
      <w:pPr>
        <w:spacing w:after="80" w:line="360" w:lineRule="auto"/>
        <w:ind w:firstLine="480" w:firstLineChars="200"/>
        <w:jc w:val="both"/>
      </w:pPr>
      <w:r>
        <w:rPr>
          <w:rFonts w:ascii="Times New Roman" w:hAnsi="Times New Roman" w:eastAsia="宋体"/>
          <w:b w:val="0"/>
          <w:sz w:val="24"/>
        </w:rPr>
        <w:t>关键推导：预测不确定性的基本表达</w:t>
      </w:r>
    </w:p>
    <w:p w14:paraId="3286EA5D">
      <w:pPr>
        <w:spacing w:after="80" w:line="360" w:lineRule="auto"/>
        <w:ind w:firstLine="480" w:firstLineChars="200"/>
        <w:jc w:val="both"/>
      </w:pPr>
      <w:r>
        <w:rPr>
          <w:rFonts w:ascii="Times New Roman" w:hAnsi="Times New Roman" w:eastAsia="宋体"/>
          <w:b w:val="0"/>
          <w:sz w:val="24"/>
        </w:rPr>
        <w:t>给定输入 \(x\) 和训练数据 \(D\)，贝叶斯视角下的预测分布可写为：</w:t>
      </w:r>
    </w:p>
    <w:p w14:paraId="22188F59">
      <w:pPr>
        <w:spacing w:after="80" w:line="360" w:lineRule="auto"/>
        <w:ind w:firstLine="480" w:firstLineChars="200"/>
        <w:jc w:val="both"/>
      </w:pPr>
      <w:r>
        <w:rPr>
          <w:rFonts w:ascii="Times New Roman" w:hAnsi="Times New Roman" w:eastAsia="宋体"/>
          <w:b w:val="0"/>
          <w:sz w:val="24"/>
        </w:rPr>
        <w:t>\[</w:t>
      </w:r>
    </w:p>
    <w:p w14:paraId="029B06C9">
      <w:pPr>
        <w:spacing w:after="80" w:line="360" w:lineRule="auto"/>
        <w:ind w:firstLine="480" w:firstLineChars="200"/>
        <w:jc w:val="both"/>
      </w:pPr>
      <w:r>
        <w:rPr>
          <w:rFonts w:ascii="Times New Roman" w:hAnsi="Times New Roman" w:eastAsia="宋体"/>
          <w:b w:val="0"/>
          <w:sz w:val="24"/>
        </w:rPr>
        <w:t>p(y|x,D)=\int p(y|x,\theta)p(\theta|D)d\theta</w:t>
      </w:r>
    </w:p>
    <w:p w14:paraId="218AB414">
      <w:pPr>
        <w:spacing w:after="80" w:line="360" w:lineRule="auto"/>
        <w:ind w:firstLine="480" w:firstLineChars="200"/>
        <w:jc w:val="both"/>
      </w:pPr>
      <w:r>
        <w:rPr>
          <w:rFonts w:ascii="Times New Roman" w:hAnsi="Times New Roman" w:eastAsia="宋体"/>
          <w:b w:val="0"/>
          <w:sz w:val="24"/>
        </w:rPr>
        <w:t>\]</w:t>
      </w:r>
    </w:p>
    <w:p w14:paraId="56F15EF5">
      <w:pPr>
        <w:spacing w:after="80" w:line="360" w:lineRule="auto"/>
        <w:ind w:firstLine="480" w:firstLineChars="200"/>
        <w:jc w:val="both"/>
      </w:pPr>
      <w:r>
        <w:rPr>
          <w:rFonts w:ascii="Times New Roman" w:hAnsi="Times New Roman" w:eastAsia="宋体"/>
          <w:b w:val="0"/>
          <w:sz w:val="24"/>
        </w:rPr>
        <w:t>其中，\(\theta\) 表示模型参数，\(p(\theta|D)\) 表示在训练数据给定时参数的后验分布。该式包含两层含义。第一，若不同参数取值均给出相近结果，模型认知不确定性较低。第二，若参数取值不同导致输出分歧较大，说明模型对该样本缺乏稳定判断。实际深度学习中难以精确计算该积分，因此常采用蒙特卡洛Dropout、深度集成等近似方法。</w:t>
      </w:r>
    </w:p>
    <w:p w14:paraId="6FAFED66">
      <w:pPr>
        <w:spacing w:after="80" w:line="360" w:lineRule="auto"/>
        <w:ind w:firstLine="480" w:firstLineChars="200"/>
        <w:jc w:val="both"/>
      </w:pPr>
      <w:r>
        <w:rPr>
          <w:rFonts w:ascii="Times New Roman" w:hAnsi="Times New Roman" w:eastAsia="宋体"/>
          <w:b w:val="0"/>
          <w:sz w:val="24"/>
        </w:rPr>
        <w:t>蒙特卡洛Dropout的步骤</w:t>
      </w:r>
    </w:p>
    <w:p w14:paraId="0FD707AA">
      <w:pPr>
        <w:spacing w:after="80" w:line="360" w:lineRule="auto"/>
        <w:ind w:firstLine="480" w:firstLineChars="200"/>
        <w:jc w:val="both"/>
      </w:pPr>
      <w:r>
        <w:rPr>
          <w:rFonts w:ascii="Times New Roman" w:hAnsi="Times New Roman" w:eastAsia="宋体"/>
          <w:b w:val="0"/>
          <w:sz w:val="24"/>
        </w:rPr>
        <w:t>其步骤为：推理阶段保留 Dropout 随机失活，对同一输入运行 \(T\) 次得到 \(T\) 个输出，以均值为最终预测、以方差或熵度量不确定性。用于辨证时，若同一病例多次推理得到不同证候，系统应提示“辨证不确定，需补充四诊信息或专家复核”。</w:t>
      </w:r>
    </w:p>
    <w:p w14:paraId="0911917B">
      <w:pPr>
        <w:spacing w:after="80" w:line="360" w:lineRule="auto"/>
        <w:ind w:firstLine="480" w:firstLineChars="200"/>
        <w:jc w:val="both"/>
      </w:pPr>
      <w:r>
        <w:rPr>
          <w:rFonts w:ascii="Times New Roman" w:hAnsi="Times New Roman" w:eastAsia="宋体"/>
          <w:b w:val="0"/>
          <w:sz w:val="24"/>
        </w:rPr>
        <w:t>模型校准与ECE指标</w:t>
      </w:r>
    </w:p>
    <w:p w14:paraId="475DA379">
      <w:pPr>
        <w:spacing w:after="80" w:line="360" w:lineRule="auto"/>
        <w:ind w:firstLine="480" w:firstLineChars="200"/>
        <w:jc w:val="both"/>
      </w:pPr>
      <w:r>
        <w:rPr>
          <w:rFonts w:ascii="Times New Roman" w:hAnsi="Times New Roman" w:eastAsia="宋体"/>
          <w:b w:val="0"/>
          <w:sz w:val="24"/>
        </w:rPr>
        <w:t>模型校准关注“模型给出的置信度是否与真实正确率一致”。将预测按置信度划分为 \(M\) 个区间，第 \(m\) 个区间的样本集合为 \(B_m\)，则期望校准误差可写为：</w:t>
      </w:r>
    </w:p>
    <w:p w14:paraId="53DEEC26">
      <w:pPr>
        <w:spacing w:after="80" w:line="360" w:lineRule="auto"/>
        <w:ind w:firstLine="480" w:firstLineChars="200"/>
        <w:jc w:val="both"/>
      </w:pPr>
      <w:r>
        <w:rPr>
          <w:rFonts w:ascii="Times New Roman" w:hAnsi="Times New Roman" w:eastAsia="宋体"/>
          <w:b w:val="0"/>
          <w:sz w:val="24"/>
        </w:rPr>
        <w:t>\[</w:t>
      </w:r>
    </w:p>
    <w:p w14:paraId="5306CA4E">
      <w:pPr>
        <w:spacing w:after="80" w:line="360" w:lineRule="auto"/>
        <w:ind w:firstLine="480" w:firstLineChars="200"/>
        <w:jc w:val="both"/>
      </w:pPr>
      <w:r>
        <w:rPr>
          <w:rFonts w:ascii="Times New Roman" w:hAnsi="Times New Roman" w:eastAsia="宋体"/>
          <w:b w:val="0"/>
          <w:sz w:val="24"/>
        </w:rPr>
        <w:t>ECE=\sum_{m=1}^{M}\frac{|B_m|}{n}\left|acc(B_m)-conf(B_m)\right|</w:t>
      </w:r>
    </w:p>
    <w:p w14:paraId="14E9FE96">
      <w:pPr>
        <w:spacing w:after="80" w:line="360" w:lineRule="auto"/>
        <w:ind w:firstLine="480" w:firstLineChars="200"/>
        <w:jc w:val="both"/>
      </w:pPr>
      <w:r>
        <w:rPr>
          <w:rFonts w:ascii="Times New Roman" w:hAnsi="Times New Roman" w:eastAsia="宋体"/>
          <w:b w:val="0"/>
          <w:sz w:val="24"/>
        </w:rPr>
        <w:t>\]</w:t>
      </w:r>
    </w:p>
    <w:p w14:paraId="15392CB3">
      <w:pPr>
        <w:spacing w:after="80" w:line="360" w:lineRule="auto"/>
        <w:ind w:firstLine="480" w:firstLineChars="200"/>
        <w:jc w:val="both"/>
      </w:pPr>
      <w:r>
        <w:rPr>
          <w:rFonts w:ascii="Times New Roman" w:hAnsi="Times New Roman" w:eastAsia="宋体"/>
          <w:b w:val="0"/>
          <w:sz w:val="24"/>
        </w:rPr>
        <w:t>其中，\(acc(B_m)\) 是该区间真实准确率，\(conf(B_m)\) 是该区间平均置信度。若模型对某类证候给出90%置信度，但真实正确率只有60%，则该模型存在过度自信。中医药大模型在进入临床辅助前，应报告校准曲线和ECE，而不应只报告平均准确率。</w:t>
      </w:r>
    </w:p>
    <w:p w14:paraId="403F5971">
      <w:pPr>
        <w:spacing w:after="80" w:line="360" w:lineRule="auto"/>
        <w:ind w:firstLine="480" w:firstLineChars="200"/>
        <w:jc w:val="both"/>
      </w:pPr>
      <w:r>
        <w:rPr>
          <w:rFonts w:ascii="Times New Roman" w:hAnsi="Times New Roman" w:eastAsia="宋体"/>
          <w:b w:val="0"/>
          <w:sz w:val="24"/>
        </w:rPr>
        <w:t>关键算例：期望校准误差的计算。设某辨证模型按置信度分为三个区间，其样本占比、平均置信度与真实准确率分别为（0.5，0.95，0.80）、（0.3，0.75，0.70）、（0.2，0.55，0.58），按定义加权求和得 \(ECE\approx0.096\)，即整体约有 9.6% 的置信度偏差，且主要来自高置信区间的过度自信。据此应优先对高置信区间施加温度缩放等校准，而非笼统调整全局阈值。</w:t>
      </w:r>
    </w:p>
    <w:p w14:paraId="5932AE98">
      <w:pPr>
        <w:spacing w:after="80" w:line="360" w:lineRule="auto"/>
        <w:ind w:firstLine="480" w:firstLineChars="200"/>
        <w:jc w:val="both"/>
      </w:pPr>
      <w:r>
        <w:rPr>
          <w:rFonts w:ascii="Times New Roman" w:hAnsi="Times New Roman" w:eastAsia="宋体"/>
          <w:b w:val="0"/>
          <w:sz w:val="24"/>
        </w:rPr>
        <w:t>共形预测的基本步骤</w:t>
      </w:r>
    </w:p>
    <w:p w14:paraId="47CDA017">
      <w:pPr>
        <w:spacing w:after="80" w:line="360" w:lineRule="auto"/>
        <w:ind w:firstLine="480" w:firstLineChars="200"/>
        <w:jc w:val="both"/>
      </w:pPr>
      <w:r>
        <w:rPr>
          <w:rFonts w:ascii="Times New Roman" w:hAnsi="Times New Roman" w:eastAsia="宋体"/>
          <w:b w:val="0"/>
          <w:sz w:val="24"/>
        </w:rPr>
        <w:t>其步骤为：划分训练集、校准集与测试集，在校准集上计算非一致性分数（如 1 减去正确类别概率），取其分位数为阈值，对新样本输出预测集合而非单一标签；当预测集合包含多个候选证型时，提示证候边界不清并建议补充症状。共形预测可提供覆盖率保证，适合高风险医疗任务的选择性输出。</w:t>
      </w:r>
    </w:p>
    <w:p w14:paraId="16CAC94C">
      <w:pPr>
        <w:spacing w:after="80" w:line="360" w:lineRule="auto"/>
        <w:ind w:firstLine="480" w:firstLineChars="200"/>
        <w:jc w:val="both"/>
      </w:pPr>
      <w:r>
        <w:rPr>
          <w:rFonts w:ascii="Times New Roman" w:hAnsi="Times New Roman" w:eastAsia="宋体"/>
          <w:b w:val="0"/>
          <w:sz w:val="24"/>
        </w:rPr>
        <w:t>案例10-3　辨证模型的低置信触发机制</w:t>
      </w:r>
    </w:p>
    <w:p w14:paraId="52F4F11B">
      <w:pPr>
        <w:spacing w:after="80" w:line="360" w:lineRule="auto"/>
        <w:ind w:firstLine="480" w:firstLineChars="200"/>
        <w:jc w:val="both"/>
      </w:pPr>
      <w:r>
        <w:rPr>
          <w:rFonts w:ascii="Times New Roman" w:hAnsi="Times New Roman" w:eastAsia="宋体"/>
          <w:b w:val="0"/>
          <w:sz w:val="24"/>
        </w:rPr>
        <w:t>某模型用于门诊病历摘要后的证候提示。系统对每个病例输出前三个证候及置信度，并设置低置信阈值。当最高置信度低于阈值，或前三个证候之间差距过小，系统不输出确定性结论，而是提示医师补充舌象、脉象和睡眠、食欲、二便等信息。该机制的价值在于把不确定性转化为临床工作流中的“补充信息”和“人工复核”。</w:t>
      </w:r>
    </w:p>
    <w:p w14:paraId="5126A7A5">
      <w:pPr>
        <w:pStyle w:val="6"/>
        <w:spacing w:after="120"/>
        <w:ind w:firstLine="602" w:firstLineChars="200"/>
        <w:jc w:val="left"/>
      </w:pPr>
      <w:r>
        <w:rPr>
          <w:rFonts w:ascii="Times New Roman" w:hAnsi="Times New Roman" w:eastAsia="黑体"/>
          <w:b/>
          <w:sz w:val="30"/>
        </w:rPr>
        <w:t>（二）鲁棒性：让模型经受扰动、分布变化与异常输入</w:t>
      </w:r>
    </w:p>
    <w:p w14:paraId="13D18C7D">
      <w:pPr>
        <w:spacing w:after="80" w:line="360" w:lineRule="auto"/>
        <w:ind w:firstLine="480" w:firstLineChars="200"/>
        <w:jc w:val="both"/>
      </w:pPr>
      <w:r>
        <w:rPr>
          <w:rFonts w:ascii="Times New Roman" w:hAnsi="Times New Roman" w:eastAsia="宋体"/>
          <w:b w:val="0"/>
          <w:sz w:val="24"/>
        </w:rPr>
        <w:t>鲁棒性指模型在输入扰动、环境变化和异常样本下保持稳定可靠的能力。中医药AI的鲁棒性问题主要来自三类扰动。第一，分布偏移，即训练数据与部署数据不同。例如，训练数据来自三甲医院，部署对象为基层门诊；训练医案来自某一流派，应用于其他流派。第二，对抗扰动，即输入被人为改变以诱导错误输出。例如，在问诊文本中加入错误概念、伪造药物名称或误导性症状描述。第三，数据质量波动，即舌象图像光照、脉象设备、文本记录格式和标注习惯发生变化。</w:t>
      </w:r>
    </w:p>
    <w:p w14:paraId="2E6C6DC0">
      <w:pPr>
        <w:spacing w:after="80" w:line="360" w:lineRule="auto"/>
        <w:ind w:firstLine="480" w:firstLineChars="200"/>
        <w:jc w:val="both"/>
      </w:pPr>
      <w:r>
        <w:rPr>
          <w:rFonts w:ascii="Times New Roman" w:hAnsi="Times New Roman" w:eastAsia="宋体"/>
          <w:b w:val="0"/>
          <w:sz w:val="24"/>
        </w:rPr>
        <w:t>鲁棒性评估不应停留在标准测试集准确率。研究生可从以下步骤设计鲁棒性实验。第一，建立标准测试集和扰动测试集。第二，对症状表述、术语同义词、缺失四诊信息、方言化表达、古今术语混用、伪造实体等因素分别构造扰动。第三，比较模型在原始样本和扰动样本上的性能下降幅度。第四，记录模型是否能拒绝捏造概念、是否能提示信息不足、是否能保持用药禁忌。第五，对不同地域、年龄、性别、病种和流派进行分层分析。</w:t>
      </w:r>
    </w:p>
    <w:p w14:paraId="109F1C06">
      <w:pPr>
        <w:spacing w:after="80"/>
        <w:jc w:val="center"/>
      </w:pPr>
      <w:r>
        <w:rPr>
          <w:rFonts w:ascii="Times New Roman" w:hAnsi="Times New Roman" w:eastAsia="黑体"/>
          <w:b/>
          <w:sz w:val="21"/>
        </w:rPr>
        <w:t>表10-3　中医药AI鲁棒性测试场景</w:t>
      </w:r>
    </w:p>
    <w:p w14:paraId="3F002AC1">
      <w:pPr>
        <w:spacing w:after="80" w:line="360" w:lineRule="auto"/>
        <w:ind w:firstLine="480" w:firstLineChars="200"/>
        <w:jc w:val="both"/>
      </w:pPr>
      <w:r>
        <w:rPr>
          <w:rFonts w:ascii="Times New Roman" w:hAnsi="Times New Roman" w:eastAsia="宋体"/>
          <w:b w:val="0"/>
          <w:sz w:val="24"/>
        </w:rPr>
        <w:t>第一列“扰动类型”：同义改写、信息缺失、伪造实体、跨地域数据、设备差异。第二列“示例”：将“胃脘胀满”改写为“胃部发胀”，删除舌脉信息，加入不存在的中药名，将南方湿热地区病例用于北方人群测试，使用不同舌诊设备。第三列“观察指标”：准确率下降、幻觉率、拒识率、禁忌漏检率。第四列“风险含义”：语言脆弱、信息不足仍强行判断、对错误信息缺乏辨别、跨域泛化不足、设备依赖。第五列“改进方法”：数据增广、RAG、知识图谱约束、分布外检测、设备标准化。</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8"/>
        <w:gridCol w:w="2214"/>
        <w:gridCol w:w="2214"/>
        <w:gridCol w:w="2214"/>
      </w:tblGrid>
      <w:tr w14:paraId="7FF9B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7C232E">
            <w:pPr>
              <w:spacing w:after="40"/>
              <w:jc w:val="left"/>
            </w:pPr>
            <w:r>
              <w:rPr>
                <w:rFonts w:ascii="Times New Roman" w:hAnsi="Times New Roman" w:eastAsia="黑体"/>
                <w:b/>
                <w:sz w:val="21"/>
              </w:rPr>
              <w:t>扰动类型</w:t>
            </w:r>
          </w:p>
        </w:tc>
        <w:tc>
          <w:tcPr>
            <w:tcW w:w="2250" w:type="dxa"/>
          </w:tcPr>
          <w:p w14:paraId="360E488E">
            <w:pPr>
              <w:spacing w:after="40"/>
              <w:jc w:val="left"/>
            </w:pPr>
            <w:r>
              <w:rPr>
                <w:rFonts w:ascii="Times New Roman" w:hAnsi="Times New Roman" w:eastAsia="黑体"/>
                <w:b/>
                <w:sz w:val="21"/>
              </w:rPr>
              <w:t>示例</w:t>
            </w:r>
          </w:p>
        </w:tc>
        <w:tc>
          <w:tcPr>
            <w:tcW w:w="2250" w:type="dxa"/>
          </w:tcPr>
          <w:p w14:paraId="532EBD25">
            <w:pPr>
              <w:spacing w:after="40"/>
              <w:jc w:val="left"/>
            </w:pPr>
            <w:r>
              <w:rPr>
                <w:rFonts w:ascii="Times New Roman" w:hAnsi="Times New Roman" w:eastAsia="黑体"/>
                <w:b/>
                <w:sz w:val="21"/>
              </w:rPr>
              <w:t>观察指标</w:t>
            </w:r>
          </w:p>
        </w:tc>
        <w:tc>
          <w:tcPr>
            <w:tcW w:w="2250" w:type="dxa"/>
          </w:tcPr>
          <w:p w14:paraId="349B8441">
            <w:pPr>
              <w:spacing w:after="40"/>
              <w:jc w:val="left"/>
            </w:pPr>
            <w:r>
              <w:rPr>
                <w:rFonts w:ascii="Times New Roman" w:hAnsi="Times New Roman" w:eastAsia="黑体"/>
                <w:b/>
                <w:sz w:val="21"/>
              </w:rPr>
              <w:t>风险含义</w:t>
            </w:r>
          </w:p>
        </w:tc>
      </w:tr>
      <w:tr w14:paraId="31526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54702B7">
            <w:pPr>
              <w:spacing w:after="40"/>
              <w:jc w:val="left"/>
            </w:pPr>
            <w:r>
              <w:rPr>
                <w:rFonts w:ascii="Times New Roman" w:hAnsi="Times New Roman" w:eastAsia="宋体"/>
                <w:b w:val="0"/>
                <w:sz w:val="21"/>
              </w:rPr>
              <w:t>同义改写</w:t>
            </w:r>
          </w:p>
        </w:tc>
        <w:tc>
          <w:tcPr>
            <w:tcW w:w="2250" w:type="dxa"/>
          </w:tcPr>
          <w:p w14:paraId="31A15FE3">
            <w:pPr>
              <w:spacing w:after="40"/>
              <w:jc w:val="left"/>
            </w:pPr>
            <w:r>
              <w:rPr>
                <w:rFonts w:ascii="Times New Roman" w:hAnsi="Times New Roman" w:eastAsia="宋体"/>
                <w:b w:val="0"/>
                <w:sz w:val="21"/>
              </w:rPr>
              <w:t>将“胃脘胀满”改写为“胃部发胀”</w:t>
            </w:r>
          </w:p>
        </w:tc>
        <w:tc>
          <w:tcPr>
            <w:tcW w:w="2250" w:type="dxa"/>
          </w:tcPr>
          <w:p w14:paraId="54E86A13">
            <w:pPr>
              <w:spacing w:after="40"/>
              <w:jc w:val="left"/>
            </w:pPr>
            <w:r>
              <w:rPr>
                <w:rFonts w:ascii="Times New Roman" w:hAnsi="Times New Roman" w:eastAsia="宋体"/>
                <w:b w:val="0"/>
                <w:sz w:val="21"/>
              </w:rPr>
              <w:t>准确率下降幅度</w:t>
            </w:r>
          </w:p>
        </w:tc>
        <w:tc>
          <w:tcPr>
            <w:tcW w:w="2250" w:type="dxa"/>
          </w:tcPr>
          <w:p w14:paraId="7C66B058">
            <w:pPr>
              <w:spacing w:after="40"/>
              <w:jc w:val="left"/>
            </w:pPr>
            <w:r>
              <w:rPr>
                <w:rFonts w:ascii="Times New Roman" w:hAnsi="Times New Roman" w:eastAsia="宋体"/>
                <w:b w:val="0"/>
                <w:sz w:val="21"/>
              </w:rPr>
              <w:t>对表述脆弱，术语鲁棒性不足</w:t>
            </w:r>
          </w:p>
        </w:tc>
      </w:tr>
      <w:tr w14:paraId="08BD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5C6635E">
            <w:pPr>
              <w:spacing w:after="40"/>
              <w:jc w:val="left"/>
            </w:pPr>
            <w:r>
              <w:rPr>
                <w:rFonts w:ascii="Times New Roman" w:hAnsi="Times New Roman" w:eastAsia="宋体"/>
                <w:b w:val="0"/>
                <w:sz w:val="21"/>
              </w:rPr>
              <w:t>信息缺失</w:t>
            </w:r>
          </w:p>
        </w:tc>
        <w:tc>
          <w:tcPr>
            <w:tcW w:w="2250" w:type="dxa"/>
          </w:tcPr>
          <w:p w14:paraId="0D55B2C6">
            <w:pPr>
              <w:spacing w:after="40"/>
              <w:jc w:val="left"/>
            </w:pPr>
            <w:r>
              <w:rPr>
                <w:rFonts w:ascii="Times New Roman" w:hAnsi="Times New Roman" w:eastAsia="宋体"/>
                <w:b w:val="0"/>
                <w:sz w:val="21"/>
              </w:rPr>
              <w:t>删除舌象与脉象信息</w:t>
            </w:r>
          </w:p>
        </w:tc>
        <w:tc>
          <w:tcPr>
            <w:tcW w:w="2250" w:type="dxa"/>
          </w:tcPr>
          <w:p w14:paraId="25B20AF8">
            <w:pPr>
              <w:spacing w:after="40"/>
              <w:jc w:val="left"/>
            </w:pPr>
            <w:r>
              <w:rPr>
                <w:rFonts w:ascii="Times New Roman" w:hAnsi="Times New Roman" w:eastAsia="宋体"/>
                <w:b w:val="0"/>
                <w:sz w:val="21"/>
              </w:rPr>
              <w:t>拒识率、幻觉率</w:t>
            </w:r>
          </w:p>
        </w:tc>
        <w:tc>
          <w:tcPr>
            <w:tcW w:w="2250" w:type="dxa"/>
          </w:tcPr>
          <w:p w14:paraId="139163DB">
            <w:pPr>
              <w:spacing w:after="40"/>
              <w:jc w:val="left"/>
            </w:pPr>
            <w:r>
              <w:rPr>
                <w:rFonts w:ascii="Times New Roman" w:hAnsi="Times New Roman" w:eastAsia="宋体"/>
                <w:b w:val="0"/>
                <w:sz w:val="21"/>
              </w:rPr>
              <w:t>缺失模态下过度自信</w:t>
            </w:r>
          </w:p>
        </w:tc>
      </w:tr>
      <w:tr w14:paraId="2BFAE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36F41B5">
            <w:pPr>
              <w:spacing w:after="40"/>
              <w:jc w:val="left"/>
            </w:pPr>
            <w:r>
              <w:rPr>
                <w:rFonts w:ascii="Times New Roman" w:hAnsi="Times New Roman" w:eastAsia="宋体"/>
                <w:b w:val="0"/>
                <w:sz w:val="21"/>
              </w:rPr>
              <w:t>伪造实体</w:t>
            </w:r>
          </w:p>
        </w:tc>
        <w:tc>
          <w:tcPr>
            <w:tcW w:w="2250" w:type="dxa"/>
          </w:tcPr>
          <w:p w14:paraId="1D2FDD4C">
            <w:pPr>
              <w:spacing w:after="40"/>
              <w:jc w:val="left"/>
            </w:pPr>
            <w:r>
              <w:rPr>
                <w:rFonts w:ascii="Times New Roman" w:hAnsi="Times New Roman" w:eastAsia="宋体"/>
                <w:b w:val="0"/>
                <w:sz w:val="21"/>
              </w:rPr>
              <w:t>加入不存在的中药名或证候名</w:t>
            </w:r>
          </w:p>
        </w:tc>
        <w:tc>
          <w:tcPr>
            <w:tcW w:w="2250" w:type="dxa"/>
          </w:tcPr>
          <w:p w14:paraId="1F49E6FC">
            <w:pPr>
              <w:spacing w:after="40"/>
              <w:jc w:val="left"/>
            </w:pPr>
            <w:r>
              <w:rPr>
                <w:rFonts w:ascii="Times New Roman" w:hAnsi="Times New Roman" w:eastAsia="宋体"/>
                <w:b w:val="0"/>
                <w:sz w:val="21"/>
              </w:rPr>
              <w:t>拒识率、捏造接受率</w:t>
            </w:r>
          </w:p>
        </w:tc>
        <w:tc>
          <w:tcPr>
            <w:tcW w:w="2250" w:type="dxa"/>
          </w:tcPr>
          <w:p w14:paraId="7411F5F7">
            <w:pPr>
              <w:spacing w:after="40"/>
              <w:jc w:val="left"/>
            </w:pPr>
            <w:r>
              <w:rPr>
                <w:rFonts w:ascii="Times New Roman" w:hAnsi="Times New Roman" w:eastAsia="宋体"/>
                <w:b w:val="0"/>
                <w:sz w:val="21"/>
              </w:rPr>
              <w:t>接受并使用虚假概念</w:t>
            </w:r>
          </w:p>
        </w:tc>
      </w:tr>
      <w:tr w14:paraId="1A8A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F40096C">
            <w:pPr>
              <w:spacing w:after="40"/>
              <w:jc w:val="left"/>
            </w:pPr>
            <w:r>
              <w:rPr>
                <w:rFonts w:ascii="Times New Roman" w:hAnsi="Times New Roman" w:eastAsia="宋体"/>
                <w:b w:val="0"/>
                <w:sz w:val="21"/>
              </w:rPr>
              <w:t>跨地域数据</w:t>
            </w:r>
          </w:p>
        </w:tc>
        <w:tc>
          <w:tcPr>
            <w:tcW w:w="2250" w:type="dxa"/>
          </w:tcPr>
          <w:p w14:paraId="4C007674">
            <w:pPr>
              <w:spacing w:after="40"/>
              <w:jc w:val="left"/>
            </w:pPr>
            <w:r>
              <w:rPr>
                <w:rFonts w:ascii="Times New Roman" w:hAnsi="Times New Roman" w:eastAsia="宋体"/>
                <w:b w:val="0"/>
                <w:sz w:val="21"/>
              </w:rPr>
              <w:t>南方湿热地区病例用于北方人群</w:t>
            </w:r>
          </w:p>
        </w:tc>
        <w:tc>
          <w:tcPr>
            <w:tcW w:w="2250" w:type="dxa"/>
          </w:tcPr>
          <w:p w14:paraId="39D0766F">
            <w:pPr>
              <w:spacing w:after="40"/>
              <w:jc w:val="left"/>
            </w:pPr>
            <w:r>
              <w:rPr>
                <w:rFonts w:ascii="Times New Roman" w:hAnsi="Times New Roman" w:eastAsia="宋体"/>
                <w:b w:val="0"/>
                <w:sz w:val="21"/>
              </w:rPr>
              <w:t>准确率下降、公平性差异</w:t>
            </w:r>
          </w:p>
        </w:tc>
        <w:tc>
          <w:tcPr>
            <w:tcW w:w="2250" w:type="dxa"/>
          </w:tcPr>
          <w:p w14:paraId="028A2468">
            <w:pPr>
              <w:spacing w:after="40"/>
              <w:jc w:val="left"/>
            </w:pPr>
            <w:r>
              <w:rPr>
                <w:rFonts w:ascii="Times New Roman" w:hAnsi="Times New Roman" w:eastAsia="宋体"/>
                <w:b w:val="0"/>
                <w:sz w:val="21"/>
              </w:rPr>
              <w:t>分布偏移导致泛化失败</w:t>
            </w:r>
          </w:p>
        </w:tc>
      </w:tr>
      <w:tr w14:paraId="2199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F86609B">
            <w:pPr>
              <w:spacing w:after="40"/>
              <w:jc w:val="left"/>
            </w:pPr>
            <w:r>
              <w:rPr>
                <w:rFonts w:ascii="Times New Roman" w:hAnsi="Times New Roman" w:eastAsia="宋体"/>
                <w:b w:val="0"/>
                <w:sz w:val="21"/>
              </w:rPr>
              <w:t>设备差异</w:t>
            </w:r>
          </w:p>
        </w:tc>
        <w:tc>
          <w:tcPr>
            <w:tcW w:w="2250" w:type="dxa"/>
          </w:tcPr>
          <w:p w14:paraId="2E8A8591">
            <w:pPr>
              <w:spacing w:after="40"/>
              <w:jc w:val="left"/>
            </w:pPr>
            <w:r>
              <w:rPr>
                <w:rFonts w:ascii="Times New Roman" w:hAnsi="Times New Roman" w:eastAsia="宋体"/>
                <w:b w:val="0"/>
                <w:sz w:val="21"/>
              </w:rPr>
              <w:t>不同舌诊设备成像、不同脉诊仪信号</w:t>
            </w:r>
          </w:p>
        </w:tc>
        <w:tc>
          <w:tcPr>
            <w:tcW w:w="2250" w:type="dxa"/>
          </w:tcPr>
          <w:p w14:paraId="1C76935F">
            <w:pPr>
              <w:spacing w:after="40"/>
              <w:jc w:val="left"/>
            </w:pPr>
            <w:r>
              <w:rPr>
                <w:rFonts w:ascii="Times New Roman" w:hAnsi="Times New Roman" w:eastAsia="宋体"/>
                <w:b w:val="0"/>
                <w:sz w:val="21"/>
              </w:rPr>
              <w:t>准确率下降幅度</w:t>
            </w:r>
          </w:p>
        </w:tc>
        <w:tc>
          <w:tcPr>
            <w:tcW w:w="2250" w:type="dxa"/>
          </w:tcPr>
          <w:p w14:paraId="2CA9E5BC">
            <w:pPr>
              <w:spacing w:after="40"/>
              <w:jc w:val="left"/>
            </w:pPr>
            <w:r>
              <w:rPr>
                <w:rFonts w:ascii="Times New Roman" w:hAnsi="Times New Roman" w:eastAsia="宋体"/>
                <w:b w:val="0"/>
                <w:sz w:val="21"/>
              </w:rPr>
              <w:t>采集偏倚影响稳定性</w:t>
            </w:r>
          </w:p>
        </w:tc>
      </w:tr>
    </w:tbl>
    <w:p w14:paraId="668588D9">
      <w:pPr>
        <w:spacing w:after="80" w:line="360" w:lineRule="auto"/>
        <w:ind w:firstLine="480" w:firstLineChars="200"/>
        <w:jc w:val="both"/>
      </w:pPr>
      <w:r>
        <w:rPr>
          <w:rFonts w:ascii="Times New Roman" w:hAnsi="Times New Roman" w:eastAsia="宋体"/>
          <w:b w:val="0"/>
          <w:sz w:val="24"/>
        </w:rPr>
        <w:t>鲁棒性提升可采用多种方法。数据层面可进行症状同义改写、四诊缺失模拟、跨机构采样和难例扩充。模型层面可采用对抗训练、深度集成、分布外检测和置信度校准。知识层面可通过知识图谱约束和禁忌规则库限制危险输出。系统层面可设置智能体复核、人工接管和日志审计。鲁棒性研究的核心不是让模型在所有扰动下都给出答案，而是让模型在不可靠场景中知道停止、询问、检索或转交人类。</w:t>
      </w:r>
    </w:p>
    <w:p w14:paraId="06FFEA21">
      <w:pPr>
        <w:pStyle w:val="6"/>
        <w:spacing w:after="120"/>
        <w:ind w:firstLine="602" w:firstLineChars="200"/>
        <w:jc w:val="left"/>
      </w:pPr>
      <w:r>
        <w:rPr>
          <w:rFonts w:ascii="Times New Roman" w:hAnsi="Times New Roman" w:eastAsia="黑体"/>
          <w:b/>
          <w:sz w:val="30"/>
        </w:rPr>
        <w:t>（三）算法公平性：让模型避免系统性不利</w:t>
      </w:r>
    </w:p>
    <w:p w14:paraId="07A61FEF">
      <w:pPr>
        <w:spacing w:after="80" w:line="360" w:lineRule="auto"/>
        <w:ind w:firstLine="480" w:firstLineChars="200"/>
        <w:jc w:val="both"/>
      </w:pPr>
      <w:r>
        <w:rPr>
          <w:rFonts w:ascii="Times New Roman" w:hAnsi="Times New Roman" w:eastAsia="宋体"/>
          <w:b w:val="0"/>
          <w:sz w:val="24"/>
        </w:rPr>
        <w:t>算法公平性关注模型是否对不同群体产生系统性差异。中医药AI的公平性不仅包括通用医疗AI关注的年龄、性别、民族和社会经济因素，还包括地域、语言文化、流派、医疗机构级别和数据采集条件。若训练数据主要来自城市三甲医院，模型在基层、少数民族地区或老年人群中的表现就需要单独评估。</w:t>
      </w:r>
    </w:p>
    <w:p w14:paraId="4F85F8C4">
      <w:pPr>
        <w:spacing w:after="80" w:line="360" w:lineRule="auto"/>
        <w:ind w:firstLine="480" w:firstLineChars="200"/>
        <w:jc w:val="both"/>
      </w:pPr>
      <w:r>
        <w:rPr>
          <w:rFonts w:ascii="Times New Roman" w:hAnsi="Times New Roman" w:eastAsia="宋体"/>
          <w:b w:val="0"/>
          <w:sz w:val="24"/>
        </w:rPr>
        <w:t>公平性问题的来源包括四类。第一，数据代表性不足，某些地区、病种、年龄段或流派样本过少。第二，标注偏倚，专家经验差异被固化为模型规则。第三，语言文化偏倚，通用模型的预训练语料未充分覆盖中医药表达和中文医学语境。第四，采集偏倚，不同设备、光照、问诊模板和电子病历系统对某些人群更不友好。</w:t>
      </w:r>
    </w:p>
    <w:p w14:paraId="2877B170">
      <w:pPr>
        <w:spacing w:after="80" w:line="360" w:lineRule="auto"/>
        <w:ind w:firstLine="480" w:firstLineChars="200"/>
        <w:jc w:val="both"/>
      </w:pPr>
      <w:r>
        <w:rPr>
          <w:rFonts w:ascii="Times New Roman" w:hAnsi="Times New Roman" w:eastAsia="宋体"/>
          <w:b w:val="0"/>
          <w:sz w:val="24"/>
        </w:rPr>
        <w:t>常用公平性指标包括群体错误率差异、机会均等、校准公平和预测值公平。以机会均等为例，若 \(A\) 表示群体属性，\(\hat{Y}\) 表示模型预测，\(Y\) 表示真实标签，则机会均等要求在真实阳性样本中，各群体被正确识别的概率接近：</w:t>
      </w:r>
    </w:p>
    <w:p w14:paraId="1EBFF622">
      <w:pPr>
        <w:spacing w:after="80" w:line="360" w:lineRule="auto"/>
        <w:ind w:firstLine="480" w:firstLineChars="200"/>
        <w:jc w:val="both"/>
      </w:pPr>
      <w:r>
        <w:rPr>
          <w:rFonts w:ascii="Times New Roman" w:hAnsi="Times New Roman" w:eastAsia="宋体"/>
          <w:b w:val="0"/>
          <w:sz w:val="24"/>
        </w:rPr>
        <w:t>\[</w:t>
      </w:r>
    </w:p>
    <w:p w14:paraId="49555BC4">
      <w:pPr>
        <w:spacing w:after="80" w:line="360" w:lineRule="auto"/>
        <w:ind w:firstLine="480" w:firstLineChars="200"/>
        <w:jc w:val="both"/>
      </w:pPr>
      <w:r>
        <w:rPr>
          <w:rFonts w:ascii="Times New Roman" w:hAnsi="Times New Roman" w:eastAsia="宋体"/>
          <w:b w:val="0"/>
          <w:sz w:val="24"/>
        </w:rPr>
        <w:t>P(\hat{Y}=1|Y=1,A=a)=P(\hat{Y}=1|Y=1,A=b)</w:t>
      </w:r>
    </w:p>
    <w:p w14:paraId="6EA32174">
      <w:pPr>
        <w:spacing w:after="80" w:line="360" w:lineRule="auto"/>
        <w:ind w:firstLine="480" w:firstLineChars="200"/>
        <w:jc w:val="both"/>
      </w:pPr>
      <w:r>
        <w:rPr>
          <w:rFonts w:ascii="Times New Roman" w:hAnsi="Times New Roman" w:eastAsia="宋体"/>
          <w:b w:val="0"/>
          <w:sz w:val="24"/>
        </w:rPr>
        <w:t>\]</w:t>
      </w:r>
    </w:p>
    <w:p w14:paraId="1CC51A7C">
      <w:pPr>
        <w:spacing w:after="80" w:line="360" w:lineRule="auto"/>
        <w:ind w:firstLine="480" w:firstLineChars="200"/>
        <w:jc w:val="both"/>
      </w:pPr>
      <w:r>
        <w:rPr>
          <w:rFonts w:ascii="Times New Roman" w:hAnsi="Times New Roman" w:eastAsia="宋体"/>
          <w:b w:val="0"/>
          <w:sz w:val="24"/>
        </w:rPr>
        <w:t>在中医药场景中，\(A\) 可代表地域、年龄段、民族、语言文化或流派来源。若模型对某一地区患者的某类证候识别率明显低于其他地区，就需要追溯数据代表性、标注标准和模型特征学习过程。</w:t>
      </w:r>
    </w:p>
    <w:p w14:paraId="5874F875">
      <w:pPr>
        <w:spacing w:after="80" w:line="360" w:lineRule="auto"/>
        <w:ind w:firstLine="480" w:firstLineChars="200"/>
        <w:jc w:val="both"/>
      </w:pPr>
      <w:r>
        <w:rPr>
          <w:rFonts w:ascii="Times New Roman" w:hAnsi="Times New Roman" w:eastAsia="宋体"/>
          <w:b w:val="0"/>
          <w:sz w:val="24"/>
        </w:rPr>
        <w:t>关键算例：机会均等差异的计算。设某证候识别模型在两个地域群体上的真阳性率分别为 \(170/200=0.85\) 与 \(108/150=0.72\)，机会均等差异为 0.13，表明模型对后一群体的漏诊风险系统性偏高；若仅报告总体准确率，该差异将被掩盖。故公平性评价须分层报告，并在发现显著差异后追溯数据代表性、标注标准与特征学习过程。</w:t>
      </w:r>
    </w:p>
    <w:p w14:paraId="77E86C95">
      <w:pPr>
        <w:spacing w:after="80" w:line="360" w:lineRule="auto"/>
        <w:ind w:firstLine="480" w:firstLineChars="200"/>
        <w:jc w:val="both"/>
      </w:pPr>
      <w:r>
        <w:rPr>
          <w:rFonts w:ascii="Times New Roman" w:hAnsi="Times New Roman" w:eastAsia="宋体"/>
          <w:b w:val="0"/>
          <w:sz w:val="24"/>
        </w:rPr>
        <w:t>公平性存在不可兼得现象。不同公平性定义在群体基础发生率不同的条件下难以同时满足。例如，要求各群体校准一致与要求各群体错误率完全一致，常会出现冲突。教材在此强调一个研究素养：公平性不是纯技术调参问题，而是技术、伦理与临床价值共同决定的问题。研究者必须说明选择何种公平性指标、牺牲何种指标、依据何种医学与伦理理由作出取舍。</w:t>
      </w:r>
    </w:p>
    <w:p w14:paraId="6ADC071A">
      <w:pPr>
        <w:spacing w:after="80" w:line="360" w:lineRule="auto"/>
        <w:ind w:firstLine="480" w:firstLineChars="200"/>
        <w:jc w:val="both"/>
      </w:pPr>
      <w:r>
        <w:rPr>
          <w:rFonts w:ascii="Times New Roman" w:hAnsi="Times New Roman" w:eastAsia="宋体"/>
          <w:b w:val="0"/>
          <w:sz w:val="24"/>
        </w:rPr>
        <w:t>中医药AI还存在一个独特问题：流派公平性。若模型训练数据主要来自某一学术流派，模型将倾向于该流派的辨证和处方习惯。流派传承是中医药的重要特征，模型不应以单一流派覆盖全部中医知识。可行做法是在数据层面保留流派标签，在模型层面支持流派条件化输出，在评价层面按流派分层报告性能，在教学层面向学生说明不同流派的适用范围与差异。</w:t>
      </w:r>
    </w:p>
    <w:p w14:paraId="41C24F4E">
      <w:pPr>
        <w:pStyle w:val="6"/>
        <w:spacing w:after="120"/>
        <w:ind w:firstLine="602" w:firstLineChars="200"/>
        <w:jc w:val="left"/>
      </w:pPr>
      <w:r>
        <w:rPr>
          <w:rFonts w:ascii="Times New Roman" w:hAnsi="Times New Roman" w:eastAsia="黑体"/>
          <w:b/>
          <w:sz w:val="30"/>
        </w:rPr>
        <w:t>（四）可信AI的整合设计：从指标集合到安全工程</w:t>
      </w:r>
    </w:p>
    <w:p w14:paraId="4C2995ED">
      <w:pPr>
        <w:spacing w:after="80" w:line="360" w:lineRule="auto"/>
        <w:ind w:firstLine="480" w:firstLineChars="200"/>
        <w:jc w:val="both"/>
      </w:pPr>
      <w:r>
        <w:rPr>
          <w:rFonts w:ascii="Times New Roman" w:hAnsi="Times New Roman" w:eastAsia="宋体"/>
          <w:b w:val="0"/>
          <w:sz w:val="24"/>
        </w:rPr>
        <w:t>不确定性量化、鲁棒性和公平性不是孤立模块，而应共同组成安全工程。一个面向中医药临床辅助的大模型系统至少应包含六个安全层。第一，数据治理层，负责术语标准化、脱敏、证据分级和代表性评估。第二，模型训练层，负责领域适配、校准和对抗样本训练。第三，知识约束层，负责RAG、知识图谱、药物禁忌和指南调用。第四，输出审查层，负责低置信拒答、危险建议拦截和解释生成。第五，人机协同层，负责医师审核、患者知情和责任归属。第六，部署监测层，负责漂移监测、不良事件记录、版本回滚和监管报告。</w:t>
      </w:r>
    </w:p>
    <w:p w14:paraId="0C641571">
      <w:pPr>
        <w:spacing w:after="80"/>
        <w:jc w:val="center"/>
      </w:pPr>
      <w:r>
        <w:rPr>
          <w:rFonts w:ascii="Times New Roman" w:hAnsi="Times New Roman" w:eastAsia="黑体"/>
          <w:b/>
          <w:sz w:val="21"/>
        </w:rPr>
        <w:t>图10-3　中医药可信AI安全工程闭环</w:t>
      </w:r>
    </w:p>
    <w:p w14:paraId="31FFB454">
      <w:pPr>
        <w:spacing w:after="80" w:line="360" w:lineRule="auto"/>
        <w:ind w:firstLine="480" w:firstLineChars="200"/>
        <w:jc w:val="both"/>
      </w:pPr>
      <w:r>
        <w:rPr>
          <w:rFonts w:ascii="Times New Roman" w:hAnsi="Times New Roman" w:eastAsia="宋体"/>
          <w:b w:val="0"/>
          <w:sz w:val="24"/>
        </w:rPr>
        <w:t>图中心为“中医药AI模型”，外层按顺时针排列数据治理、领域适配、知识约束、可信评测、临床部署、持续监测六个环节。每个环节均向审计日志汇聚，审计日志再反馈到模型更新与监管报告。图的重点是说明可信AI不是一次性评测，而是持续闭环。</w:t>
      </w:r>
    </w:p>
    <w:p w14:paraId="66FCE49F">
      <w:pPr>
        <w:pStyle w:val="6"/>
        <w:spacing w:after="120"/>
        <w:ind w:firstLine="602" w:firstLineChars="200"/>
        <w:jc w:val="left"/>
      </w:pPr>
      <w:r>
        <w:rPr>
          <w:rFonts w:ascii="Times New Roman" w:hAnsi="Times New Roman" w:eastAsia="黑体"/>
          <w:b/>
          <w:sz w:val="30"/>
        </w:rPr>
        <w:t>（五）争议与多元观点</w:t>
      </w:r>
    </w:p>
    <w:p w14:paraId="6A2C46EC">
      <w:pPr>
        <w:spacing w:after="80" w:line="360" w:lineRule="auto"/>
        <w:ind w:firstLine="480" w:firstLineChars="200"/>
        <w:jc w:val="both"/>
      </w:pPr>
      <w:r>
        <w:rPr>
          <w:rFonts w:ascii="Times New Roman" w:hAnsi="Times New Roman" w:eastAsia="宋体"/>
          <w:b w:val="0"/>
          <w:sz w:val="24"/>
        </w:rPr>
        <w:t>可信AI研究中存在若干需要学生理解的争议。</w:t>
      </w:r>
    </w:p>
    <w:p w14:paraId="75296252">
      <w:pPr>
        <w:spacing w:after="80" w:line="360" w:lineRule="auto"/>
        <w:ind w:firstLine="480" w:firstLineChars="200"/>
        <w:jc w:val="both"/>
      </w:pPr>
      <w:r>
        <w:rPr>
          <w:rFonts w:ascii="Times New Roman" w:hAnsi="Times New Roman" w:eastAsia="宋体"/>
          <w:b w:val="0"/>
          <w:sz w:val="24"/>
        </w:rPr>
        <w:t>第一，性能优先与安全优先。性能优先观点强调模型应尽快提高复杂任务能力，否则难以体现临床价值；安全优先观点强调医疗场景必须先建立边界、审查和拒答机制。教材建议在低风险教学与科研辅助场景中允许较快迭代，在用药、诊断和治疗建议等高风险场景中坚持安全优先。</w:t>
      </w:r>
    </w:p>
    <w:p w14:paraId="3CF8C44E">
      <w:pPr>
        <w:spacing w:after="80" w:line="360" w:lineRule="auto"/>
        <w:ind w:firstLine="480" w:firstLineChars="200"/>
        <w:jc w:val="both"/>
      </w:pPr>
      <w:r>
        <w:rPr>
          <w:rFonts w:ascii="Times New Roman" w:hAnsi="Times New Roman" w:eastAsia="宋体"/>
          <w:b w:val="0"/>
          <w:sz w:val="24"/>
        </w:rPr>
        <w:t>第二，开放模型与闭源系统。开放模型便于学术复现、审计和本地化适配；闭源系统在工程稳定性、持续维护和责任承担方面具有优势。中医药研究可采用开放模型进行方法学验证，在临床部署时根据监管要求、数据安全和责任边界选择合适形态。</w:t>
      </w:r>
    </w:p>
    <w:p w14:paraId="7326F5B5">
      <w:pPr>
        <w:spacing w:after="80" w:line="360" w:lineRule="auto"/>
        <w:ind w:firstLine="480" w:firstLineChars="200"/>
        <w:jc w:val="both"/>
      </w:pPr>
      <w:r>
        <w:rPr>
          <w:rFonts w:ascii="Times New Roman" w:hAnsi="Times New Roman" w:eastAsia="宋体"/>
          <w:b w:val="0"/>
          <w:sz w:val="24"/>
        </w:rPr>
        <w:t>第三，专家经验与统计证据。专家经验承载中医传承价值，统计证据提供可重复评价基础。二者不能互相替代。理想系统应把专家经验转化为可记录、可评价的规则与示范，同时通过真实世界数据和临床研究持续检验。</w:t>
      </w:r>
    </w:p>
    <w:p w14:paraId="64A2D6BA">
      <w:pPr>
        <w:spacing w:after="80" w:line="360" w:lineRule="auto"/>
        <w:ind w:firstLine="480" w:firstLineChars="200"/>
        <w:jc w:val="both"/>
      </w:pPr>
      <w:r>
        <w:rPr>
          <w:rFonts w:ascii="Times New Roman" w:hAnsi="Times New Roman" w:eastAsia="宋体"/>
          <w:b w:val="0"/>
          <w:sz w:val="24"/>
        </w:rPr>
        <w:t>第四，公平性指标的选择。不同公平性定义之间存在冲突，研究者不能笼统宣称模型“公平”。严谨做法是报告所选指标、分层结果、群体差异、改进措施和仍然存在的限制。</w:t>
      </w:r>
    </w:p>
    <w:p w14:paraId="78803A98">
      <w:pPr>
        <w:pStyle w:val="5"/>
        <w:spacing w:after="160"/>
        <w:ind w:firstLine="643" w:firstLineChars="200"/>
        <w:jc w:val="left"/>
      </w:pPr>
      <w:r>
        <w:rPr>
          <w:rFonts w:ascii="Times New Roman" w:hAnsi="Times New Roman" w:eastAsia="黑体"/>
          <w:b/>
          <w:sz w:val="32"/>
        </w:rPr>
        <w:t>三、可解释性机器学习：从经典归因到可落地的新方法</w:t>
      </w:r>
    </w:p>
    <w:p w14:paraId="4D42FA32">
      <w:pPr>
        <w:spacing w:after="80" w:line="360" w:lineRule="auto"/>
        <w:ind w:firstLine="480" w:firstLineChars="200"/>
        <w:jc w:val="both"/>
      </w:pPr>
      <w:r>
        <w:rPr>
          <w:rFonts w:ascii="Times New Roman" w:hAnsi="Times New Roman" w:eastAsia="宋体"/>
          <w:b w:val="0"/>
          <w:sz w:val="24"/>
        </w:rPr>
        <w:t>可解释性是可信人工智能的中介性属性：不确定性量化回答“模型有多大把握”，鲁棒性回答“模型是否稳定”，公平性回答“模型是否一视同仁”，可解释性则回答“模型为何如此判断”。对中医药人工智能而言，可解释性不仅要求给出特征重要性，更要求解释能够追溯到证候判断依据、病机分析、治法选择与方药禁忌，即语义层面的可追溯性。本节在经典的局部可解释模型无关解释（LIME）与沙普利可加解释（SHAP）之外，系统介绍可落地的较新方法，并讨论其与中医辨证论治逻辑的契合点。</w:t>
      </w:r>
    </w:p>
    <w:p w14:paraId="063F25C6">
      <w:pPr>
        <w:pStyle w:val="6"/>
        <w:spacing w:after="120"/>
        <w:ind w:firstLine="602" w:firstLineChars="200"/>
        <w:jc w:val="left"/>
      </w:pPr>
      <w:r>
        <w:rPr>
          <w:rFonts w:ascii="Times New Roman" w:hAnsi="Times New Roman" w:eastAsia="黑体"/>
          <w:b/>
          <w:sz w:val="30"/>
        </w:rPr>
        <w:t>（一）可解释性的层次、对象与中医药需求</w:t>
      </w:r>
    </w:p>
    <w:p w14:paraId="2BA0555E">
      <w:pPr>
        <w:spacing w:after="80" w:line="360" w:lineRule="auto"/>
        <w:ind w:firstLine="480" w:firstLineChars="200"/>
        <w:jc w:val="both"/>
      </w:pPr>
      <w:r>
        <w:rPr>
          <w:rFonts w:ascii="Times New Roman" w:hAnsi="Times New Roman" w:eastAsia="宋体"/>
          <w:b w:val="0"/>
          <w:sz w:val="24"/>
        </w:rPr>
        <w:t>可解释性方法可按三维度划分：按范围分全局与局部解释，按时机分内在可解释模型与事后解释方法，按适用性分模型特定与模型无关方法。中医药场景对解释提出三层要求：特征层指出舌象、脉象、症状等输入的贡献，语义层将贡献映射到证候、病机与治法，临床层使解释可被医师核验并支持决策与转诊。解释的受众包括研究者、医师、患者与监管机构，对粒度与形式的要求各不相同。</w:t>
      </w:r>
    </w:p>
    <w:p w14:paraId="5A0DE847">
      <w:pPr>
        <w:spacing w:after="80" w:line="360" w:lineRule="auto"/>
        <w:ind w:firstLine="480" w:firstLineChars="200"/>
        <w:jc w:val="both"/>
      </w:pPr>
      <w:r>
        <w:rPr>
          <w:rFonts w:ascii="Times New Roman" w:hAnsi="Times New Roman" w:eastAsia="宋体"/>
          <w:b w:val="0"/>
          <w:sz w:val="24"/>
        </w:rPr>
        <w:t>解释本身亦须被评价。忠实度衡量解释是否真实反映决策依据，常用做法是删除被标记的重要特征观察输出变化（变化越大越忠实），或反向仅保留重要特征观察性能保持；稳定性衡量对相近输入或重复运行解释是否一致。中医药场景还须引入语义合理性：解释强调的特征是否与公认辨证要点一致——当模型以与中医理论无关的特征作出判断时，即便忠实度与稳定性达标，解释在临床上仍不可接受。</w:t>
      </w:r>
    </w:p>
    <w:p w14:paraId="0C5EBE27">
      <w:pPr>
        <w:pStyle w:val="6"/>
        <w:spacing w:after="120"/>
        <w:ind w:firstLine="602" w:firstLineChars="200"/>
        <w:jc w:val="left"/>
      </w:pPr>
      <w:r>
        <w:rPr>
          <w:rFonts w:ascii="Times New Roman" w:hAnsi="Times New Roman" w:eastAsia="黑体"/>
          <w:b/>
          <w:sz w:val="30"/>
        </w:rPr>
        <w:t>（二）经典归因方法及其局限：LIME 与 SHAP</w:t>
      </w:r>
    </w:p>
    <w:p w14:paraId="224990D4">
      <w:pPr>
        <w:spacing w:after="80" w:line="360" w:lineRule="auto"/>
        <w:ind w:firstLine="480" w:firstLineChars="200"/>
        <w:jc w:val="both"/>
      </w:pPr>
      <w:r>
        <w:rPr>
          <w:rFonts w:ascii="Times New Roman" w:hAnsi="Times New Roman" w:eastAsia="宋体"/>
          <w:b w:val="0"/>
          <w:sz w:val="24"/>
        </w:rPr>
        <w:t>LIME 在待解释样本邻域内采样扰动样本，用线性模型局部拟合黑箱预测，以系数作为特征贡献；其优点是模型无关、实现简单，局限是受邻域与扰动分布影响、重复运行稳定性较差。SHAP 以沙普利值为基础将一次预测在各特征间公平分配，满足可加性、一致性等公理，并有 TreeSHAP 与 KernelSHAP 等实现。其局限在于：特征独立假设在症状高度相关的中医数据中难以满足，高维计算成本高，且沙普利归因度量的是相关性贡献而非因果作用——这正是后文转向因果推断的动因。</w:t>
      </w:r>
    </w:p>
    <w:p w14:paraId="1663030C">
      <w:pPr>
        <w:spacing w:after="80" w:line="360" w:lineRule="auto"/>
        <w:ind w:firstLine="480" w:firstLineChars="200"/>
        <w:jc w:val="both"/>
      </w:pPr>
      <w:r>
        <w:rPr>
          <w:rFonts w:ascii="Times New Roman" w:hAnsi="Times New Roman" w:eastAsia="宋体"/>
          <w:b w:val="0"/>
          <w:sz w:val="24"/>
        </w:rPr>
        <w:t>SHAP 的可加性可表述为：对一次预测 \(f(x)\)，存在基线期望 \(\phi_0=E[f(X)]\) 与各特征贡献 \(\phi_i\)，使 \(f(x)=\phi_0+\sum_{i=1}^{M}\phi_i\)。其临床意义是把一次证候判断的概率分解为“群体基线 + 各症状的增减贡献”，便于医师逐项核对；但前提是特征贡献相互独立，当症状高度共现时分解可能在共现特征间任意分配，须结合临床知识审慎解读。</w:t>
      </w:r>
    </w:p>
    <w:p w14:paraId="0FC51E95">
      <w:pPr>
        <w:pStyle w:val="6"/>
        <w:spacing w:after="120"/>
        <w:ind w:firstLine="602" w:firstLineChars="200"/>
        <w:jc w:val="left"/>
      </w:pPr>
      <w:r>
        <w:rPr>
          <w:rFonts w:ascii="Times New Roman" w:hAnsi="Times New Roman" w:eastAsia="黑体"/>
          <w:b/>
          <w:sz w:val="30"/>
        </w:rPr>
        <w:t>（三）面向深度模型的梯度归因：积分梯度与类激活映射</w:t>
      </w:r>
    </w:p>
    <w:p w14:paraId="52F9CCEF">
      <w:pPr>
        <w:spacing w:after="80" w:line="360" w:lineRule="auto"/>
        <w:ind w:firstLine="480" w:firstLineChars="200"/>
        <w:jc w:val="both"/>
      </w:pPr>
      <w:r>
        <w:rPr>
          <w:rFonts w:ascii="Times New Roman" w:hAnsi="Times New Roman" w:eastAsia="宋体"/>
          <w:b w:val="0"/>
          <w:sz w:val="24"/>
        </w:rPr>
        <w:t>对于深度网络，积分梯度沿基线 \(x'\) 到输入 \(x\) 的直线路径对梯度积分，\(IG_i(x)=(x_i-x'_i)\times\int_0^1 \frac{\partial F(x'+\alpha(x-x'))}{\partial x_i}\,d\alpha\)，满足敏感性与实现不变性、缓解梯度饱和，可用于文本词元或脉象波形的逐点贡献分析，基线选择须结合中医临床含义。类激活映射（Grad-CAM）面向卷积图像任务，以目标类别得分对末层卷积特征图的梯度求通道权重，再加权并经线性整流得到类激活图；在舌诊模型中可定位决定证候判断的舌质与舌苔区域，是发现捷径学习的实用工具。</w:t>
      </w:r>
    </w:p>
    <w:p w14:paraId="0B2B23FB">
      <w:pPr>
        <w:spacing w:after="80" w:line="360" w:lineRule="auto"/>
        <w:ind w:firstLine="480" w:firstLineChars="200"/>
        <w:jc w:val="both"/>
      </w:pPr>
      <w:r>
        <w:rPr>
          <w:rFonts w:ascii="Times New Roman" w:hAnsi="Times New Roman" w:eastAsia="宋体"/>
          <w:b w:val="0"/>
          <w:sz w:val="24"/>
        </w:rPr>
        <w:t>案例 10-4　舌诊模型的类激活映射核验。某舌象体质识别模型在标准测试集上准确率较高，但类激活映射显示其高激活区域集中于图像边缘的反光与标尺，而非舌体本身。该结果表明模型学到了与采集设备相关的捷径特征，须通过数据清洗、舌体区域裁剪与对抗去偏重新训练。该案例说明可解释性方法是模型质量审查的手段，而非仅用于事后展示。</w:t>
      </w:r>
    </w:p>
    <w:p w14:paraId="0A85D82B">
      <w:pPr>
        <w:pStyle w:val="6"/>
        <w:spacing w:after="120"/>
        <w:ind w:firstLine="602" w:firstLineChars="200"/>
        <w:jc w:val="left"/>
      </w:pPr>
      <w:r>
        <w:rPr>
          <w:rFonts w:ascii="Times New Roman" w:hAnsi="Times New Roman" w:eastAsia="黑体"/>
          <w:b/>
          <w:sz w:val="30"/>
        </w:rPr>
        <w:t>（四）基于概念的解释：概念激活向量与概念瓶颈模型</w:t>
      </w:r>
    </w:p>
    <w:p w14:paraId="7DE93664">
      <w:pPr>
        <w:spacing w:after="80" w:line="360" w:lineRule="auto"/>
        <w:ind w:firstLine="480" w:firstLineChars="200"/>
        <w:jc w:val="both"/>
      </w:pPr>
      <w:r>
        <w:rPr>
          <w:rFonts w:ascii="Times New Roman" w:hAnsi="Times New Roman" w:eastAsia="宋体"/>
          <w:b w:val="0"/>
          <w:sz w:val="24"/>
        </w:rPr>
        <w:t>特征级归因难以直接对应中医概念。基于概念激活向量的检验（TCAV）收集体现某一可理解概念（如“黄腻苔”）的样本，在网络中间层训练线性分类器得到概念激活向量，再以预测得分沿该向量的方向导数度量概念贡献，从而量化“黄腻苔”对“湿热证”判断的影响。概念瓶颈模型则设置中间概念层：先由输入预测一组可对应四诊要素的概念，再由概念层预测证候；其优势在于解释天然以临床概念表达，且支持人工干预——医师修改概念取值即可观察证候预测如何改变。该结构与中医“四诊—辨证”过程高度对应，是可落地性较强的内在可解释方案。</w:t>
      </w:r>
    </w:p>
    <w:p w14:paraId="340B79D5">
      <w:pPr>
        <w:pStyle w:val="6"/>
        <w:spacing w:after="120"/>
        <w:ind w:firstLine="602" w:firstLineChars="200"/>
        <w:jc w:val="left"/>
      </w:pPr>
      <w:r>
        <w:rPr>
          <w:rFonts w:ascii="Times New Roman" w:hAnsi="Times New Roman" w:eastAsia="黑体"/>
          <w:b/>
          <w:sz w:val="30"/>
        </w:rPr>
        <w:t>（五）基于原型的解释：原型部件网络</w:t>
      </w:r>
    </w:p>
    <w:p w14:paraId="7A70E5FA">
      <w:pPr>
        <w:spacing w:after="80" w:line="360" w:lineRule="auto"/>
        <w:ind w:firstLine="480" w:firstLineChars="200"/>
        <w:jc w:val="both"/>
      </w:pPr>
      <w:r>
        <w:rPr>
          <w:rFonts w:ascii="Times New Roman" w:hAnsi="Times New Roman" w:eastAsia="宋体"/>
          <w:b w:val="0"/>
          <w:sz w:val="24"/>
        </w:rPr>
        <w:t>原型部件网络在训练中学习一组原型部件，预测时将输入的局部表征与各原型比对，以“本例某区域与某原型相似”的形式给出解释。这种基于相似度的案例式推理与中医医案类比、以典型病例指导辨证的临床习惯相契合，可为辨证结论提供可视化的相似病例依据，便于经验传承与教学。</w:t>
      </w:r>
    </w:p>
    <w:p w14:paraId="11822E07">
      <w:pPr>
        <w:pStyle w:val="6"/>
        <w:spacing w:after="120"/>
        <w:ind w:firstLine="602" w:firstLineChars="200"/>
        <w:jc w:val="left"/>
      </w:pPr>
      <w:r>
        <w:rPr>
          <w:rFonts w:ascii="Times New Roman" w:hAnsi="Times New Roman" w:eastAsia="黑体"/>
          <w:b/>
          <w:sz w:val="30"/>
        </w:rPr>
        <w:t>（六）反事实解释与可操作解释：最小改动、多样反事实与锚规则</w:t>
      </w:r>
    </w:p>
    <w:p w14:paraId="020BDD0F">
      <w:pPr>
        <w:spacing w:after="80" w:line="360" w:lineRule="auto"/>
        <w:ind w:firstLine="480" w:firstLineChars="200"/>
        <w:jc w:val="both"/>
      </w:pPr>
      <w:r>
        <w:rPr>
          <w:rFonts w:ascii="Times New Roman" w:hAnsi="Times New Roman" w:eastAsia="宋体"/>
          <w:b w:val="0"/>
          <w:sz w:val="24"/>
        </w:rPr>
        <w:t>反事实解释回答“输入需如何最小改变才能翻转预测”，经典做法以 \(x^*=\arg\min_{x'} \lambda\,(f(x')-y')^2+d(x,x')\) 在翻转预测的同时令改动最小，得到“若舌苔由黄转白且口苦消失，则由湿热证改判脾虚证”一类解释；多样反事实在此基础上生成多样且可行的集合并施加可操作性约束，锚解释则给出“凡见舌红少苔且脉细数者必判阴虚证”式的充分条件规则并报告精度与覆盖度，便于临床核验。须强调，此处“改变输入以翻转输出”的反事实与下节因果意义上“改变处理以改变结局”的反事实分属不同层次，不可混淆。</w:t>
      </w:r>
    </w:p>
    <w:p w14:paraId="16A2B487">
      <w:pPr>
        <w:spacing w:after="80" w:line="360" w:lineRule="auto"/>
        <w:ind w:firstLine="480" w:firstLineChars="200"/>
        <w:jc w:val="both"/>
      </w:pPr>
      <w:r>
        <w:rPr>
          <w:rFonts w:ascii="Times New Roman" w:hAnsi="Times New Roman" w:eastAsia="宋体"/>
          <w:b w:val="0"/>
          <w:sz w:val="24"/>
        </w:rPr>
        <w:t>案例 10-6　反事实解释在辨证模型中的应用。某患者见口苦、舌苔黄腻、脉滑数、脘腹胀满，模型判为“湿热中阻证”（置信度 0.88）。系统生成反事实解释：在其余症状不变时，若“舌苔黄腻”改为“舌苔薄白”，判别将翻转为另一证候。此类“最小改动即翻转”的边界提示，有助于医师理解模型的判别依据与稳健程度。</w:t>
      </w:r>
    </w:p>
    <w:p w14:paraId="76CD79F4">
      <w:pPr>
        <w:spacing w:after="80" w:line="360" w:lineRule="auto"/>
        <w:ind w:firstLine="480" w:firstLineChars="200"/>
        <w:jc w:val="both"/>
      </w:pPr>
      <w:r>
        <w:rPr>
          <w:rFonts w:ascii="Times New Roman" w:hAnsi="Times New Roman" w:eastAsia="宋体"/>
          <w:b w:val="0"/>
          <w:sz w:val="24"/>
        </w:rPr>
        <w:t>案例 10-9　概念瓶颈模型的“四诊—辨证”流程示例。两段式辨证模型先由舌象图像与问诊文本预测舌色、舌苔、脉象、寒热与虚实等中间概念，再仅以这些概念预测证候。某病例第一段输出“舌红、苔黄、脉数、热象明显、实证倾向”，判为“实热证”；当医师认为舌苔实为“黄而少津”、兼有阴伤时，将“津液”概念改为“不足”，证候即更新为“实热兼阴伤”。该案例表明概念瓶颈结构允许医师在概念层施加专业判断并即时观察结论变化，实现真正的人在回路辨证。</w:t>
      </w:r>
    </w:p>
    <w:p w14:paraId="09560EE5">
      <w:pPr>
        <w:spacing w:after="80" w:line="360" w:lineRule="auto"/>
        <w:ind w:firstLine="480" w:firstLineChars="200"/>
        <w:jc w:val="both"/>
      </w:pPr>
      <w:r>
        <w:rPr>
          <w:rFonts w:ascii="Times New Roman" w:hAnsi="Times New Roman" w:eastAsia="宋体"/>
          <w:b w:val="0"/>
          <w:sz w:val="24"/>
        </w:rPr>
        <w:t>须辨析一个常见误区：将神经网络的注意力权重直接当作解释。注意力权重反映模型在表征计算中对各输入位置的加权，但研究表明，存在与原模型输出几乎一致、注意力分布却显著不同的替代权重，这意味着注意力高的位置未必是决策的真正依据。因此在中医药文本辨证模型中，不宜仅凭注意力热图断言模型“关注了”某症状，而应辅以积分梯度、扰动删除等忠实度可检验的方法交叉印证。这一争议提示研究生：解释方法本身的有效性是需要论证的研究对象，而非默认成立的前提。</w:t>
      </w:r>
    </w:p>
    <w:p w14:paraId="702E20FF">
      <w:pPr>
        <w:pStyle w:val="6"/>
        <w:spacing w:after="120"/>
        <w:ind w:firstLine="602" w:firstLineChars="200"/>
        <w:jc w:val="left"/>
      </w:pPr>
      <w:r>
        <w:rPr>
          <w:rFonts w:ascii="Times New Roman" w:hAnsi="Times New Roman" w:eastAsia="黑体"/>
          <w:b/>
          <w:sz w:val="30"/>
        </w:rPr>
        <w:t>（七）内在可解释模型：可解释提升机</w:t>
      </w:r>
    </w:p>
    <w:p w14:paraId="3068096C">
      <w:pPr>
        <w:spacing w:after="80" w:line="360" w:lineRule="auto"/>
        <w:ind w:firstLine="480" w:firstLineChars="200"/>
        <w:jc w:val="both"/>
      </w:pPr>
      <w:r>
        <w:rPr>
          <w:rFonts w:ascii="Times New Roman" w:hAnsi="Times New Roman" w:eastAsia="宋体"/>
          <w:b w:val="0"/>
          <w:sz w:val="24"/>
        </w:rPr>
        <w:t>对结构化的中医临床数据，可解释提升机以广义可加模型为基础，逐特征学习形状函数并可加入受控的二阶交互项，其预测精度接近梯度提升树等黑箱模型，同时每个特征的形状函数可独立可视化，便于医师审视“某症状取值如何影响某证候的预测概率”。对于以症状—证候结构化变量为主的辨证建模任务，内在可解释模型在精度与可读性之间提供了可取的折中，避免了“先建黑箱再事后解释”所带来的解释不忠实风险。</w:t>
      </w:r>
    </w:p>
    <w:p w14:paraId="73FEB8A8">
      <w:pPr>
        <w:pStyle w:val="6"/>
        <w:spacing w:after="120"/>
        <w:ind w:firstLine="602" w:firstLineChars="200"/>
        <w:jc w:val="left"/>
      </w:pPr>
      <w:r>
        <w:rPr>
          <w:rFonts w:ascii="Times New Roman" w:hAnsi="Times New Roman" w:eastAsia="黑体"/>
          <w:b/>
          <w:sz w:val="30"/>
        </w:rPr>
        <w:t>（八）影响函数：将预测追溯到训练样本</w:t>
      </w:r>
    </w:p>
    <w:p w14:paraId="4D370E34">
      <w:pPr>
        <w:spacing w:after="80" w:line="360" w:lineRule="auto"/>
        <w:ind w:firstLine="480" w:firstLineChars="200"/>
        <w:jc w:val="both"/>
      </w:pPr>
      <w:r>
        <w:rPr>
          <w:rFonts w:ascii="Times New Roman" w:hAnsi="Times New Roman" w:eastAsia="宋体"/>
          <w:b w:val="0"/>
          <w:sz w:val="24"/>
        </w:rPr>
        <w:t>影响函数估计移除或扰动某一训练样本对当前预测的影响，从而将一次预测追溯到对其贡献最大的训练医案。该方法可用于定位标注错误、发现训练数据中的偏倚医案，是数据治理与质量审查的实用工具，并与公平性分析、鲁棒性分析形成互补。</w:t>
      </w:r>
    </w:p>
    <w:p w14:paraId="0EB93BC1">
      <w:pPr>
        <w:spacing w:after="80" w:line="360" w:lineRule="auto"/>
        <w:ind w:firstLine="480" w:firstLineChars="200"/>
        <w:jc w:val="both"/>
      </w:pPr>
      <w:r>
        <w:rPr>
          <w:rFonts w:ascii="Times New Roman" w:hAnsi="Times New Roman" w:eastAsia="宋体"/>
          <w:b w:val="0"/>
          <w:sz w:val="24"/>
        </w:rPr>
        <w:t>除上述方法外，全局代理模型提供了一种理解黑箱整体行为的途径：以一个可解释模型（如决策树或规则集）拟合黑箱模型在大量样本上的输入输出，使代理模型在全局上逼近黑箱的决策边界，从而以可读形式概览“模型总体上依据哪些症状组合区分各类证候”。其代价是代理模型只能近似而非精确复现黑箱，须报告二者预测的一致性程度；当一致性偏低时，全局代理的解释仅供参考，不能替代针对个案的局部解释。在实践中，全局代理常与局部方法配合使用：前者把握整体规律，后者核验个案依据，二者共同支撑对模型的系统审查。</w:t>
      </w:r>
    </w:p>
    <w:p w14:paraId="7E69E76A">
      <w:pPr>
        <w:spacing w:after="80"/>
        <w:jc w:val="center"/>
      </w:pPr>
      <w:r>
        <w:rPr>
          <w:rFonts w:ascii="Times New Roman" w:hAnsi="Times New Roman" w:eastAsia="黑体"/>
          <w:b/>
          <w:sz w:val="21"/>
        </w:rPr>
        <w:t>表10-4　可解释性机器学习方法对照</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3"/>
        <w:gridCol w:w="2210"/>
        <w:gridCol w:w="2214"/>
        <w:gridCol w:w="2213"/>
      </w:tblGrid>
      <w:tr w14:paraId="244E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61D7206">
            <w:pPr>
              <w:spacing w:after="40"/>
              <w:jc w:val="left"/>
            </w:pPr>
            <w:r>
              <w:rPr>
                <w:rFonts w:ascii="Times New Roman" w:hAnsi="Times New Roman" w:eastAsia="黑体"/>
                <w:b/>
                <w:sz w:val="21"/>
              </w:rPr>
              <w:t>方法</w:t>
            </w:r>
          </w:p>
        </w:tc>
        <w:tc>
          <w:tcPr>
            <w:tcW w:w="2250" w:type="dxa"/>
          </w:tcPr>
          <w:p w14:paraId="61884EA0">
            <w:pPr>
              <w:spacing w:after="40"/>
              <w:jc w:val="left"/>
            </w:pPr>
            <w:r>
              <w:rPr>
                <w:rFonts w:ascii="Times New Roman" w:hAnsi="Times New Roman" w:eastAsia="黑体"/>
                <w:b/>
                <w:sz w:val="21"/>
              </w:rPr>
              <w:t>类型</w:t>
            </w:r>
          </w:p>
        </w:tc>
        <w:tc>
          <w:tcPr>
            <w:tcW w:w="2250" w:type="dxa"/>
          </w:tcPr>
          <w:p w14:paraId="54FED923">
            <w:pPr>
              <w:spacing w:after="40"/>
              <w:jc w:val="left"/>
            </w:pPr>
            <w:r>
              <w:rPr>
                <w:rFonts w:ascii="Times New Roman" w:hAnsi="Times New Roman" w:eastAsia="黑体"/>
                <w:b/>
                <w:sz w:val="21"/>
              </w:rPr>
              <w:t>解释形式</w:t>
            </w:r>
          </w:p>
        </w:tc>
        <w:tc>
          <w:tcPr>
            <w:tcW w:w="2250" w:type="dxa"/>
          </w:tcPr>
          <w:p w14:paraId="56A8101B">
            <w:pPr>
              <w:spacing w:after="40"/>
              <w:jc w:val="left"/>
            </w:pPr>
            <w:r>
              <w:rPr>
                <w:rFonts w:ascii="Times New Roman" w:hAnsi="Times New Roman" w:eastAsia="黑体"/>
                <w:b/>
                <w:sz w:val="21"/>
              </w:rPr>
              <w:t>中医药适配场景</w:t>
            </w:r>
          </w:p>
        </w:tc>
      </w:tr>
      <w:tr w14:paraId="3A6A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E3B8543">
            <w:pPr>
              <w:spacing w:after="40"/>
              <w:jc w:val="left"/>
            </w:pPr>
            <w:r>
              <w:rPr>
                <w:rFonts w:ascii="Times New Roman" w:hAnsi="Times New Roman" w:eastAsia="宋体"/>
                <w:b w:val="0"/>
                <w:sz w:val="21"/>
              </w:rPr>
              <w:t>LIME</w:t>
            </w:r>
          </w:p>
        </w:tc>
        <w:tc>
          <w:tcPr>
            <w:tcW w:w="2250" w:type="dxa"/>
          </w:tcPr>
          <w:p w14:paraId="02D7204C">
            <w:pPr>
              <w:spacing w:after="40"/>
              <w:jc w:val="left"/>
            </w:pPr>
            <w:r>
              <w:rPr>
                <w:rFonts w:ascii="Times New Roman" w:hAnsi="Times New Roman" w:eastAsia="宋体"/>
                <w:b w:val="0"/>
                <w:sz w:val="21"/>
              </w:rPr>
              <w:t>事后、模型无关、局部</w:t>
            </w:r>
          </w:p>
        </w:tc>
        <w:tc>
          <w:tcPr>
            <w:tcW w:w="2250" w:type="dxa"/>
          </w:tcPr>
          <w:p w14:paraId="0676E3DD">
            <w:pPr>
              <w:spacing w:after="40"/>
              <w:jc w:val="left"/>
            </w:pPr>
            <w:r>
              <w:rPr>
                <w:rFonts w:ascii="Times New Roman" w:hAnsi="Times New Roman" w:eastAsia="宋体"/>
                <w:b w:val="0"/>
                <w:sz w:val="21"/>
              </w:rPr>
              <w:t>局部线性特征权重</w:t>
            </w:r>
          </w:p>
        </w:tc>
        <w:tc>
          <w:tcPr>
            <w:tcW w:w="2250" w:type="dxa"/>
          </w:tcPr>
          <w:p w14:paraId="31A2207B">
            <w:pPr>
              <w:spacing w:after="40"/>
              <w:jc w:val="left"/>
            </w:pPr>
            <w:r>
              <w:rPr>
                <w:rFonts w:ascii="Times New Roman" w:hAnsi="Times New Roman" w:eastAsia="宋体"/>
                <w:b w:val="0"/>
                <w:sz w:val="21"/>
              </w:rPr>
              <w:t>单病例证候判断的特征贡献</w:t>
            </w:r>
          </w:p>
        </w:tc>
      </w:tr>
      <w:tr w14:paraId="13BB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88F7B4F">
            <w:pPr>
              <w:spacing w:after="40"/>
              <w:jc w:val="left"/>
            </w:pPr>
            <w:r>
              <w:rPr>
                <w:rFonts w:ascii="Times New Roman" w:hAnsi="Times New Roman" w:eastAsia="宋体"/>
                <w:b w:val="0"/>
                <w:sz w:val="21"/>
              </w:rPr>
              <w:t>SHAP</w:t>
            </w:r>
          </w:p>
        </w:tc>
        <w:tc>
          <w:tcPr>
            <w:tcW w:w="2250" w:type="dxa"/>
          </w:tcPr>
          <w:p w14:paraId="546BF2A3">
            <w:pPr>
              <w:spacing w:after="40"/>
              <w:jc w:val="left"/>
            </w:pPr>
            <w:r>
              <w:rPr>
                <w:rFonts w:ascii="Times New Roman" w:hAnsi="Times New Roman" w:eastAsia="宋体"/>
                <w:b w:val="0"/>
                <w:sz w:val="21"/>
              </w:rPr>
              <w:t>事后、模型无关、局部/全局</w:t>
            </w:r>
          </w:p>
        </w:tc>
        <w:tc>
          <w:tcPr>
            <w:tcW w:w="2250" w:type="dxa"/>
          </w:tcPr>
          <w:p w14:paraId="3D40BF73">
            <w:pPr>
              <w:spacing w:after="40"/>
              <w:jc w:val="left"/>
            </w:pPr>
            <w:r>
              <w:rPr>
                <w:rFonts w:ascii="Times New Roman" w:hAnsi="Times New Roman" w:eastAsia="宋体"/>
                <w:b w:val="0"/>
                <w:sz w:val="21"/>
              </w:rPr>
              <w:t>沙普利值特征归因</w:t>
            </w:r>
          </w:p>
        </w:tc>
        <w:tc>
          <w:tcPr>
            <w:tcW w:w="2250" w:type="dxa"/>
          </w:tcPr>
          <w:p w14:paraId="1CB359F6">
            <w:pPr>
              <w:spacing w:after="40"/>
              <w:jc w:val="left"/>
            </w:pPr>
            <w:r>
              <w:rPr>
                <w:rFonts w:ascii="Times New Roman" w:hAnsi="Times New Roman" w:eastAsia="宋体"/>
                <w:b w:val="0"/>
                <w:sz w:val="21"/>
              </w:rPr>
              <w:t>症状对证候的可加性贡献分析</w:t>
            </w:r>
          </w:p>
        </w:tc>
      </w:tr>
      <w:tr w14:paraId="3918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26040540">
            <w:pPr>
              <w:spacing w:after="40"/>
              <w:jc w:val="left"/>
            </w:pPr>
            <w:r>
              <w:rPr>
                <w:rFonts w:ascii="Times New Roman" w:hAnsi="Times New Roman" w:eastAsia="宋体"/>
                <w:b w:val="0"/>
                <w:sz w:val="21"/>
              </w:rPr>
              <w:t>积分梯度</w:t>
            </w:r>
          </w:p>
        </w:tc>
        <w:tc>
          <w:tcPr>
            <w:tcW w:w="2250" w:type="dxa"/>
          </w:tcPr>
          <w:p w14:paraId="5E304731">
            <w:pPr>
              <w:spacing w:after="40"/>
              <w:jc w:val="left"/>
            </w:pPr>
            <w:r>
              <w:rPr>
                <w:rFonts w:ascii="Times New Roman" w:hAnsi="Times New Roman" w:eastAsia="宋体"/>
                <w:b w:val="0"/>
                <w:sz w:val="21"/>
              </w:rPr>
              <w:t>事后、模型特定、局部</w:t>
            </w:r>
          </w:p>
        </w:tc>
        <w:tc>
          <w:tcPr>
            <w:tcW w:w="2250" w:type="dxa"/>
          </w:tcPr>
          <w:p w14:paraId="6059896D">
            <w:pPr>
              <w:spacing w:after="40"/>
              <w:jc w:val="left"/>
            </w:pPr>
            <w:r>
              <w:rPr>
                <w:rFonts w:ascii="Times New Roman" w:hAnsi="Times New Roman" w:eastAsia="宋体"/>
                <w:b w:val="0"/>
                <w:sz w:val="21"/>
              </w:rPr>
              <w:t>输入逐点归因</w:t>
            </w:r>
          </w:p>
        </w:tc>
        <w:tc>
          <w:tcPr>
            <w:tcW w:w="2250" w:type="dxa"/>
          </w:tcPr>
          <w:p w14:paraId="6FEF2203">
            <w:pPr>
              <w:spacing w:after="40"/>
              <w:jc w:val="left"/>
            </w:pPr>
            <w:r>
              <w:rPr>
                <w:rFonts w:ascii="Times New Roman" w:hAnsi="Times New Roman" w:eastAsia="宋体"/>
                <w:b w:val="0"/>
                <w:sz w:val="21"/>
              </w:rPr>
              <w:t>文本词元、脉象波形贡献</w:t>
            </w:r>
          </w:p>
        </w:tc>
      </w:tr>
      <w:tr w14:paraId="441D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86C48F6">
            <w:pPr>
              <w:spacing w:after="40"/>
              <w:jc w:val="left"/>
            </w:pPr>
            <w:r>
              <w:rPr>
                <w:rFonts w:ascii="Times New Roman" w:hAnsi="Times New Roman" w:eastAsia="宋体"/>
                <w:b w:val="0"/>
                <w:sz w:val="21"/>
              </w:rPr>
              <w:t>类激活映射</w:t>
            </w:r>
          </w:p>
        </w:tc>
        <w:tc>
          <w:tcPr>
            <w:tcW w:w="2250" w:type="dxa"/>
          </w:tcPr>
          <w:p w14:paraId="1468836B">
            <w:pPr>
              <w:spacing w:after="40"/>
              <w:jc w:val="left"/>
            </w:pPr>
            <w:r>
              <w:rPr>
                <w:rFonts w:ascii="Times New Roman" w:hAnsi="Times New Roman" w:eastAsia="宋体"/>
                <w:b w:val="0"/>
                <w:sz w:val="21"/>
              </w:rPr>
              <w:t>事后、模型特定、局部</w:t>
            </w:r>
          </w:p>
        </w:tc>
        <w:tc>
          <w:tcPr>
            <w:tcW w:w="2250" w:type="dxa"/>
          </w:tcPr>
          <w:p w14:paraId="3C0EF0EC">
            <w:pPr>
              <w:spacing w:after="40"/>
              <w:jc w:val="left"/>
            </w:pPr>
            <w:r>
              <w:rPr>
                <w:rFonts w:ascii="Times New Roman" w:hAnsi="Times New Roman" w:eastAsia="宋体"/>
                <w:b w:val="0"/>
                <w:sz w:val="21"/>
              </w:rPr>
              <w:t>图像热力区域</w:t>
            </w:r>
          </w:p>
        </w:tc>
        <w:tc>
          <w:tcPr>
            <w:tcW w:w="2250" w:type="dxa"/>
          </w:tcPr>
          <w:p w14:paraId="6E306CB6">
            <w:pPr>
              <w:spacing w:after="40"/>
              <w:jc w:val="left"/>
            </w:pPr>
            <w:r>
              <w:rPr>
                <w:rFonts w:ascii="Times New Roman" w:hAnsi="Times New Roman" w:eastAsia="宋体"/>
                <w:b w:val="0"/>
                <w:sz w:val="21"/>
              </w:rPr>
              <w:t>舌象关键区域定位与捷径排查</w:t>
            </w:r>
          </w:p>
        </w:tc>
      </w:tr>
      <w:tr w14:paraId="7F64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3D2B554">
            <w:pPr>
              <w:spacing w:after="40"/>
              <w:jc w:val="left"/>
            </w:pPr>
            <w:r>
              <w:rPr>
                <w:rFonts w:ascii="Times New Roman" w:hAnsi="Times New Roman" w:eastAsia="宋体"/>
                <w:b w:val="0"/>
                <w:sz w:val="21"/>
              </w:rPr>
              <w:t>概念激活向量</w:t>
            </w:r>
          </w:p>
        </w:tc>
        <w:tc>
          <w:tcPr>
            <w:tcW w:w="2250" w:type="dxa"/>
          </w:tcPr>
          <w:p w14:paraId="1E42FBC3">
            <w:pPr>
              <w:spacing w:after="40"/>
              <w:jc w:val="left"/>
            </w:pPr>
            <w:r>
              <w:rPr>
                <w:rFonts w:ascii="Times New Roman" w:hAnsi="Times New Roman" w:eastAsia="宋体"/>
                <w:b w:val="0"/>
                <w:sz w:val="21"/>
              </w:rPr>
              <w:t>事后、概念级、全局</w:t>
            </w:r>
          </w:p>
        </w:tc>
        <w:tc>
          <w:tcPr>
            <w:tcW w:w="2250" w:type="dxa"/>
          </w:tcPr>
          <w:p w14:paraId="0AEE4F95">
            <w:pPr>
              <w:spacing w:after="40"/>
              <w:jc w:val="left"/>
            </w:pPr>
            <w:r>
              <w:rPr>
                <w:rFonts w:ascii="Times New Roman" w:hAnsi="Times New Roman" w:eastAsia="宋体"/>
                <w:b w:val="0"/>
                <w:sz w:val="21"/>
              </w:rPr>
              <w:t>概念对预测的影响度</w:t>
            </w:r>
          </w:p>
        </w:tc>
        <w:tc>
          <w:tcPr>
            <w:tcW w:w="2250" w:type="dxa"/>
          </w:tcPr>
          <w:p w14:paraId="61C9B0AD">
            <w:pPr>
              <w:spacing w:after="40"/>
              <w:jc w:val="left"/>
            </w:pPr>
            <w:r>
              <w:rPr>
                <w:rFonts w:ascii="Times New Roman" w:hAnsi="Times New Roman" w:eastAsia="宋体"/>
                <w:b w:val="0"/>
                <w:sz w:val="21"/>
              </w:rPr>
              <w:t>量化“黄腻苔”对“湿热证”的贡献</w:t>
            </w:r>
          </w:p>
        </w:tc>
      </w:tr>
      <w:tr w14:paraId="3A74E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B1E5F4C">
            <w:pPr>
              <w:spacing w:after="40"/>
              <w:jc w:val="left"/>
            </w:pPr>
            <w:r>
              <w:rPr>
                <w:rFonts w:ascii="Times New Roman" w:hAnsi="Times New Roman" w:eastAsia="宋体"/>
                <w:b w:val="0"/>
                <w:sz w:val="21"/>
              </w:rPr>
              <w:t>概念瓶颈模型</w:t>
            </w:r>
          </w:p>
        </w:tc>
        <w:tc>
          <w:tcPr>
            <w:tcW w:w="2250" w:type="dxa"/>
          </w:tcPr>
          <w:p w14:paraId="254C0554">
            <w:pPr>
              <w:spacing w:after="40"/>
              <w:jc w:val="left"/>
            </w:pPr>
            <w:r>
              <w:rPr>
                <w:rFonts w:ascii="Times New Roman" w:hAnsi="Times New Roman" w:eastAsia="宋体"/>
                <w:b w:val="0"/>
                <w:sz w:val="21"/>
              </w:rPr>
              <w:t>内在、概念级、可干预</w:t>
            </w:r>
          </w:p>
        </w:tc>
        <w:tc>
          <w:tcPr>
            <w:tcW w:w="2250" w:type="dxa"/>
          </w:tcPr>
          <w:p w14:paraId="7758CB73">
            <w:pPr>
              <w:spacing w:after="40"/>
              <w:jc w:val="left"/>
            </w:pPr>
            <w:r>
              <w:rPr>
                <w:rFonts w:ascii="Times New Roman" w:hAnsi="Times New Roman" w:eastAsia="宋体"/>
                <w:b w:val="0"/>
                <w:sz w:val="21"/>
              </w:rPr>
              <w:t>四诊概念→证候</w:t>
            </w:r>
          </w:p>
        </w:tc>
        <w:tc>
          <w:tcPr>
            <w:tcW w:w="2250" w:type="dxa"/>
          </w:tcPr>
          <w:p w14:paraId="5420B345">
            <w:pPr>
              <w:spacing w:after="40"/>
              <w:jc w:val="left"/>
            </w:pPr>
            <w:r>
              <w:rPr>
                <w:rFonts w:ascii="Times New Roman" w:hAnsi="Times New Roman" w:eastAsia="宋体"/>
                <w:b w:val="0"/>
                <w:sz w:val="21"/>
              </w:rPr>
              <w:t>与“四诊—辨证”过程对齐、可人工干预</w:t>
            </w:r>
          </w:p>
        </w:tc>
      </w:tr>
      <w:tr w14:paraId="6320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4075A8B">
            <w:pPr>
              <w:spacing w:after="40"/>
              <w:jc w:val="left"/>
            </w:pPr>
            <w:r>
              <w:rPr>
                <w:rFonts w:ascii="Times New Roman" w:hAnsi="Times New Roman" w:eastAsia="宋体"/>
                <w:b w:val="0"/>
                <w:sz w:val="21"/>
              </w:rPr>
              <w:t>原型部件网络</w:t>
            </w:r>
          </w:p>
        </w:tc>
        <w:tc>
          <w:tcPr>
            <w:tcW w:w="2250" w:type="dxa"/>
          </w:tcPr>
          <w:p w14:paraId="135294CC">
            <w:pPr>
              <w:spacing w:after="40"/>
              <w:jc w:val="left"/>
            </w:pPr>
            <w:r>
              <w:rPr>
                <w:rFonts w:ascii="Times New Roman" w:hAnsi="Times New Roman" w:eastAsia="宋体"/>
                <w:b w:val="0"/>
                <w:sz w:val="21"/>
              </w:rPr>
              <w:t>内在、案例级、局部</w:t>
            </w:r>
          </w:p>
        </w:tc>
        <w:tc>
          <w:tcPr>
            <w:tcW w:w="2250" w:type="dxa"/>
          </w:tcPr>
          <w:p w14:paraId="48362176">
            <w:pPr>
              <w:spacing w:after="40"/>
              <w:jc w:val="left"/>
            </w:pPr>
            <w:r>
              <w:rPr>
                <w:rFonts w:ascii="Times New Roman" w:hAnsi="Times New Roman" w:eastAsia="宋体"/>
                <w:b w:val="0"/>
                <w:sz w:val="21"/>
              </w:rPr>
              <w:t>相似原型比对</w:t>
            </w:r>
          </w:p>
        </w:tc>
        <w:tc>
          <w:tcPr>
            <w:tcW w:w="2250" w:type="dxa"/>
          </w:tcPr>
          <w:p w14:paraId="18942DE2">
            <w:pPr>
              <w:spacing w:after="40"/>
              <w:jc w:val="left"/>
            </w:pPr>
            <w:r>
              <w:rPr>
                <w:rFonts w:ascii="Times New Roman" w:hAnsi="Times New Roman" w:eastAsia="宋体"/>
                <w:b w:val="0"/>
                <w:sz w:val="21"/>
              </w:rPr>
              <w:t>医案类比式辨证解释</w:t>
            </w:r>
          </w:p>
        </w:tc>
      </w:tr>
      <w:tr w14:paraId="6D0B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6B46FD10">
            <w:pPr>
              <w:spacing w:after="40"/>
              <w:jc w:val="left"/>
            </w:pPr>
            <w:r>
              <w:rPr>
                <w:rFonts w:ascii="Times New Roman" w:hAnsi="Times New Roman" w:eastAsia="宋体"/>
                <w:b w:val="0"/>
                <w:sz w:val="21"/>
              </w:rPr>
              <w:t>反事实/锚解释</w:t>
            </w:r>
          </w:p>
        </w:tc>
        <w:tc>
          <w:tcPr>
            <w:tcW w:w="2250" w:type="dxa"/>
          </w:tcPr>
          <w:p w14:paraId="0FB21E1D">
            <w:pPr>
              <w:spacing w:after="40"/>
              <w:jc w:val="left"/>
            </w:pPr>
            <w:r>
              <w:rPr>
                <w:rFonts w:ascii="Times New Roman" w:hAnsi="Times New Roman" w:eastAsia="宋体"/>
                <w:b w:val="0"/>
                <w:sz w:val="21"/>
              </w:rPr>
              <w:t>事后、模型无关、局部</w:t>
            </w:r>
          </w:p>
        </w:tc>
        <w:tc>
          <w:tcPr>
            <w:tcW w:w="2250" w:type="dxa"/>
          </w:tcPr>
          <w:p w14:paraId="67E59B65">
            <w:pPr>
              <w:spacing w:after="40"/>
              <w:jc w:val="left"/>
            </w:pPr>
            <w:r>
              <w:rPr>
                <w:rFonts w:ascii="Times New Roman" w:hAnsi="Times New Roman" w:eastAsia="宋体"/>
                <w:b w:val="0"/>
                <w:sz w:val="21"/>
              </w:rPr>
              <w:t>最小改动或IF-THEN规则</w:t>
            </w:r>
          </w:p>
        </w:tc>
        <w:tc>
          <w:tcPr>
            <w:tcW w:w="2250" w:type="dxa"/>
          </w:tcPr>
          <w:p w14:paraId="4ED80D5E">
            <w:pPr>
              <w:spacing w:after="40"/>
              <w:jc w:val="left"/>
            </w:pPr>
            <w:r>
              <w:rPr>
                <w:rFonts w:ascii="Times New Roman" w:hAnsi="Times New Roman" w:eastAsia="宋体"/>
                <w:b w:val="0"/>
                <w:sz w:val="21"/>
              </w:rPr>
              <w:t>“改舌苔则改证候”、辨证要点规则</w:t>
            </w:r>
          </w:p>
        </w:tc>
      </w:tr>
      <w:tr w14:paraId="31D2A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6220889">
            <w:pPr>
              <w:spacing w:after="40"/>
              <w:jc w:val="left"/>
            </w:pPr>
            <w:r>
              <w:rPr>
                <w:rFonts w:ascii="Times New Roman" w:hAnsi="Times New Roman" w:eastAsia="宋体"/>
                <w:b w:val="0"/>
                <w:sz w:val="21"/>
              </w:rPr>
              <w:t>可解释提升机</w:t>
            </w:r>
          </w:p>
        </w:tc>
        <w:tc>
          <w:tcPr>
            <w:tcW w:w="2250" w:type="dxa"/>
          </w:tcPr>
          <w:p w14:paraId="7248523E">
            <w:pPr>
              <w:spacing w:after="40"/>
              <w:jc w:val="left"/>
            </w:pPr>
            <w:r>
              <w:rPr>
                <w:rFonts w:ascii="Times New Roman" w:hAnsi="Times New Roman" w:eastAsia="宋体"/>
                <w:b w:val="0"/>
                <w:sz w:val="21"/>
              </w:rPr>
              <w:t>内在、全局</w:t>
            </w:r>
          </w:p>
        </w:tc>
        <w:tc>
          <w:tcPr>
            <w:tcW w:w="2250" w:type="dxa"/>
          </w:tcPr>
          <w:p w14:paraId="37494678">
            <w:pPr>
              <w:spacing w:after="40"/>
              <w:jc w:val="left"/>
            </w:pPr>
            <w:r>
              <w:rPr>
                <w:rFonts w:ascii="Times New Roman" w:hAnsi="Times New Roman" w:eastAsia="宋体"/>
                <w:b w:val="0"/>
                <w:sz w:val="21"/>
              </w:rPr>
              <w:t>特征形状函数</w:t>
            </w:r>
          </w:p>
        </w:tc>
        <w:tc>
          <w:tcPr>
            <w:tcW w:w="2250" w:type="dxa"/>
          </w:tcPr>
          <w:p w14:paraId="0AA2148C">
            <w:pPr>
              <w:spacing w:after="40"/>
              <w:jc w:val="left"/>
            </w:pPr>
            <w:r>
              <w:rPr>
                <w:rFonts w:ascii="Times New Roman" w:hAnsi="Times New Roman" w:eastAsia="宋体"/>
                <w:b w:val="0"/>
                <w:sz w:val="21"/>
              </w:rPr>
              <w:t>结构化症状—证候建模</w:t>
            </w:r>
          </w:p>
        </w:tc>
      </w:tr>
      <w:tr w14:paraId="53E2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D5706FD">
            <w:pPr>
              <w:spacing w:after="40"/>
              <w:jc w:val="left"/>
            </w:pPr>
            <w:r>
              <w:rPr>
                <w:rFonts w:ascii="Times New Roman" w:hAnsi="Times New Roman" w:eastAsia="宋体"/>
                <w:b w:val="0"/>
                <w:sz w:val="21"/>
              </w:rPr>
              <w:t>影响函数</w:t>
            </w:r>
          </w:p>
        </w:tc>
        <w:tc>
          <w:tcPr>
            <w:tcW w:w="2250" w:type="dxa"/>
          </w:tcPr>
          <w:p w14:paraId="72FB0767">
            <w:pPr>
              <w:spacing w:after="40"/>
              <w:jc w:val="left"/>
            </w:pPr>
            <w:r>
              <w:rPr>
                <w:rFonts w:ascii="Times New Roman" w:hAnsi="Times New Roman" w:eastAsia="宋体"/>
                <w:b w:val="0"/>
                <w:sz w:val="21"/>
              </w:rPr>
              <w:t>事后、训练溯源</w:t>
            </w:r>
          </w:p>
        </w:tc>
        <w:tc>
          <w:tcPr>
            <w:tcW w:w="2250" w:type="dxa"/>
          </w:tcPr>
          <w:p w14:paraId="2A416E7F">
            <w:pPr>
              <w:spacing w:after="40"/>
              <w:jc w:val="left"/>
            </w:pPr>
            <w:r>
              <w:rPr>
                <w:rFonts w:ascii="Times New Roman" w:hAnsi="Times New Roman" w:eastAsia="宋体"/>
                <w:b w:val="0"/>
                <w:sz w:val="21"/>
              </w:rPr>
              <w:t>贡献最大的训练样本</w:t>
            </w:r>
          </w:p>
        </w:tc>
        <w:tc>
          <w:tcPr>
            <w:tcW w:w="2250" w:type="dxa"/>
          </w:tcPr>
          <w:p w14:paraId="307CCF23">
            <w:pPr>
              <w:spacing w:after="40"/>
              <w:jc w:val="left"/>
            </w:pPr>
            <w:r>
              <w:rPr>
                <w:rFonts w:ascii="Times New Roman" w:hAnsi="Times New Roman" w:eastAsia="宋体"/>
                <w:b w:val="0"/>
                <w:sz w:val="21"/>
              </w:rPr>
              <w:t>定位标注错误与偏倚医案</w:t>
            </w:r>
          </w:p>
        </w:tc>
      </w:tr>
    </w:tbl>
    <w:p w14:paraId="03334FB4">
      <w:pPr>
        <w:spacing w:after="80" w:line="360" w:lineRule="auto"/>
        <w:ind w:firstLine="480" w:firstLineChars="200"/>
        <w:jc w:val="both"/>
      </w:pPr>
      <w:r>
        <w:rPr>
          <w:rFonts w:ascii="Times New Roman" w:hAnsi="Times New Roman" w:eastAsia="宋体"/>
          <w:b w:val="0"/>
          <w:sz w:val="24"/>
        </w:rPr>
        <w:t>就工程落地而言，上述方法多有成熟开源实现：SHAP、LIME 有同名库，积分梯度与类激活映射可借主流框架的归因工具实现，多样反事实、概念瓶颈模型、可解释提升机与影响函数亦有公开实现。建议路径是：先以内在可解释或概念瓶颈模型建立可读基线，再以事后方法交叉验证黑箱解释，最后在医师参与下评估忠实度、稳定性与语义合理性；应避免仅生成彩色热力图便宣称模型“可解释”而不检验解释是否真实、稳定且符合辨证逻辑。</w:t>
      </w:r>
    </w:p>
    <w:p w14:paraId="19683292">
      <w:pPr>
        <w:pStyle w:val="6"/>
        <w:spacing w:after="120"/>
        <w:ind w:firstLine="602" w:firstLineChars="200"/>
        <w:jc w:val="left"/>
      </w:pPr>
      <w:r>
        <w:rPr>
          <w:rFonts w:ascii="Times New Roman" w:hAnsi="Times New Roman" w:eastAsia="黑体"/>
          <w:b/>
          <w:sz w:val="30"/>
        </w:rPr>
        <w:t>（九）方法选择的原则</w:t>
      </w:r>
    </w:p>
    <w:p w14:paraId="573F9558">
      <w:pPr>
        <w:spacing w:after="80" w:line="360" w:lineRule="auto"/>
        <w:ind w:firstLine="480" w:firstLineChars="200"/>
        <w:jc w:val="both"/>
      </w:pPr>
      <w:r>
        <w:rPr>
          <w:rFonts w:ascii="Times New Roman" w:hAnsi="Times New Roman" w:eastAsia="宋体"/>
          <w:b w:val="0"/>
          <w:sz w:val="24"/>
        </w:rPr>
        <w:t>可解释性方法的选择应服务于解释目的而非追求方法新颖。用于模型调试时，宜选梯度归因与影响函数；用于临床决策辅助时，宜选概念瓶颈模型、锚规则与反事实解释；用于结构化辨证建模时，宜选内在可解释模型。任何事后解释方法本身也须接受稳定性与忠实度检验：对同一病例重复生成解释应保持一致，解释所强调的特征经实际扰动后应确实改变模型输出。解释不忠实的可解释性，比没有解释更危险。</w:t>
      </w:r>
    </w:p>
    <w:p w14:paraId="2B729A33">
      <w:pPr>
        <w:pStyle w:val="5"/>
        <w:spacing w:after="160"/>
        <w:ind w:firstLine="643" w:firstLineChars="200"/>
        <w:jc w:val="left"/>
      </w:pPr>
      <w:r>
        <w:rPr>
          <w:rFonts w:ascii="Times New Roman" w:hAnsi="Times New Roman" w:eastAsia="黑体"/>
          <w:b/>
          <w:sz w:val="32"/>
        </w:rPr>
        <w:t>四、从相关性到因果推断：因果建模与反事实推断</w:t>
      </w:r>
    </w:p>
    <w:p w14:paraId="4F87E03C">
      <w:pPr>
        <w:spacing w:after="80" w:line="360" w:lineRule="auto"/>
        <w:ind w:firstLine="480" w:firstLineChars="200"/>
        <w:jc w:val="both"/>
      </w:pPr>
      <w:r>
        <w:rPr>
          <w:rFonts w:ascii="Times New Roman" w:hAnsi="Times New Roman" w:eastAsia="宋体"/>
          <w:b w:val="0"/>
          <w:sz w:val="24"/>
        </w:rPr>
        <w:t>黑箱模型从数据中学到的主要是统计相关，而统计相关可能由混杂因素造成。例如，若某季节既影响某证候的发生，又影响某类方药的使用，模型便可能在用药与转归之间学到虚假关联。临床问题在本质上是因果与反事实问题：医师关心的是“采用此治法是否会改善转归”，以及“若当初未用此药，结局是否不同”。中医鉴别诊断中“排除某证”的推理，正是一种反事实推理。因此，中医药人工智能若要支持决策而非仅作分类，必须从相关性建模走向因果建模。这一方向与可解释性紧密相连：因果解释回答“改变什么会改变结局”，比相关性归因更贴近临床决策的需要。</w:t>
      </w:r>
    </w:p>
    <w:p w14:paraId="1F1FA371">
      <w:pPr>
        <w:pStyle w:val="6"/>
        <w:spacing w:after="120"/>
        <w:ind w:firstLine="602" w:firstLineChars="200"/>
        <w:jc w:val="left"/>
      </w:pPr>
      <w:r>
        <w:rPr>
          <w:rFonts w:ascii="Times New Roman" w:hAnsi="Times New Roman" w:eastAsia="黑体"/>
          <w:b/>
          <w:sz w:val="30"/>
        </w:rPr>
        <w:t>（一）因果阶梯与结构因果模型</w:t>
      </w:r>
    </w:p>
    <w:p w14:paraId="4DC9EA9B">
      <w:pPr>
        <w:spacing w:after="80" w:line="360" w:lineRule="auto"/>
        <w:ind w:firstLine="480" w:firstLineChars="200"/>
        <w:jc w:val="both"/>
      </w:pPr>
      <w:r>
        <w:rPr>
          <w:rFonts w:ascii="Times New Roman" w:hAnsi="Times New Roman" w:eastAsia="宋体"/>
          <w:b w:val="0"/>
          <w:sz w:val="24"/>
        </w:rPr>
        <w:t>因果推断可按三个层次理解。第一层是关联，刻画观测到 \(X\) 时 \(Y\) 的条件分布 \(P(Y\mid X)\)，传统机器学习止步于此。第二层是干预，刻画主动将 \(X\) 设为某值的效果，记为 \(P(Y\mid do(X))\)，对应临床主动选择治法的决策。第三层是反事实，在已观测到事实 \((X',Y')\) 的条件下设想本可发生什么，记为 \(P(Y_x\mid X',Y')\)，对应归因与鉴别诊断。中医辨证论治中的治法选择对应第二层干预，“若不用此药会如何”对应第三层反事实。三个层次所需假设依次增强，仅凭观测数据难以直接跨越层次，须借助因果模型与额外假设。</w:t>
      </w:r>
    </w:p>
    <w:p w14:paraId="1C8C357D">
      <w:pPr>
        <w:spacing w:after="80" w:line="360" w:lineRule="auto"/>
        <w:ind w:firstLine="480" w:firstLineChars="200"/>
        <w:jc w:val="both"/>
      </w:pPr>
      <w:r>
        <w:rPr>
          <w:rFonts w:ascii="Times New Roman" w:hAnsi="Times New Roman" w:eastAsia="宋体"/>
          <w:b w:val="0"/>
          <w:sz w:val="24"/>
        </w:rPr>
        <w:t>三个层次的区分对中医药研究具有直接的方法学意义。停留在关联层的模型只能回答“具有这些症状的患者多被判为某证”，无法支持治法选择；要回答“采用某治法能否改善转归”，必须进入干预层，这要求随机对照试验或满足可识别条件的观测性因果估计；要回答“某患者的恶化是否归因于先前的某次处理”，则需进入反事实层，这要求结构因果模型与更强的假设。临床实践中，疗效评价对应干预层，医疗责任认定与鉴别诊断对应反事实层。明确研究问题所处的层次，是选择恰当方法、避免以相关性冒充因果的前提。</w:t>
      </w:r>
    </w:p>
    <w:p w14:paraId="444E8DC0">
      <w:pPr>
        <w:spacing w:after="80" w:line="360" w:lineRule="auto"/>
        <w:ind w:firstLine="480" w:firstLineChars="200"/>
        <w:jc w:val="both"/>
      </w:pPr>
      <w:r>
        <w:rPr>
          <w:rFonts w:ascii="Times New Roman" w:hAnsi="Times New Roman" w:eastAsia="宋体"/>
          <w:b w:val="0"/>
          <w:sz w:val="24"/>
        </w:rPr>
        <w:t>在厘清关联、干预与反事实三个层次之后，仍需一种形式化语言刻画变量之间的因果关系，并据以判断因果效应能否被识别；结构因果模型正是为此提供的基本工具。结构因果模型由一组变量、描述变量间生成关系的结构方程以及外生噪声构成，并以有向无环图表示变量间的因果方向。图中存在三类基本结构：链式（中介）、分叉（共因）与对撞。识别因果效应的关键在于正确处理混杂：后门准则通过选择满足条件的变量集进行调整以阻断非因果路径；当存在未观测混杂但可找到合适中介时，前门准则提供另一条识别途径；do 演算给出在图结构下将含 do 的干预分布转化为可由观测分布估计的形式化规则。以中医药为例，可构建“体质→证候→治法→转归”的因果图，并将季节、情志等同时影响证候与治法的变量标记为混杂，据此确定估计治法效应时需要调整的变量集。</w:t>
      </w:r>
    </w:p>
    <w:p w14:paraId="310C0361">
      <w:pPr>
        <w:spacing w:after="80"/>
        <w:jc w:val="center"/>
      </w:pPr>
      <w:r>
        <w:rPr>
          <w:rFonts w:ascii="Times New Roman" w:hAnsi="Times New Roman" w:eastAsia="黑体"/>
          <w:b/>
          <w:sz w:val="21"/>
        </w:rPr>
        <w:t>图10-4　中医药因果图示例。图中节点依次为体质、证候、治法、转归，主路径为“体质→证候→治法→转归”；季节与情志作为混杂变量，分别指向证候与治法；舌脉表现作为证候的观测指标（中介或代理）。图旁标注后门调整集，提示在估计“治法→转归”效应时须对季节、情志、体质进行调整。该图强调：因果效应的可识别性取决于图结构与可观测变量，而非样本量。</w:t>
      </w:r>
    </w:p>
    <w:p w14:paraId="63EDD781">
      <w:pPr>
        <w:spacing w:after="80" w:line="360" w:lineRule="auto"/>
        <w:ind w:firstLine="480" w:firstLineChars="200"/>
        <w:jc w:val="both"/>
      </w:pPr>
      <w:r>
        <w:rPr>
          <w:rFonts w:ascii="Times New Roman" w:hAnsi="Times New Roman" w:eastAsia="宋体"/>
          <w:b w:val="0"/>
          <w:sz w:val="24"/>
        </w:rPr>
        <w:t>案例 10-7　后门调整的识别与计算。欲估计治法 \(T\) 对转归 \(Y\) 的因果效应，若季节 \(S\) 既影响是否采用该治法又影响转归即构成混杂。后门准则指出，调整 \(\{S\}\) 可阻断后门路径 \(T\leftarrow S\rightarrow Y\)，从而 \(P(Y\mid do(T))=\sum_s P(Y\mid T,S=s)P(S=s)\)；若直接以 \(P(Y\mid T)\) 估计，则混杂未除，关联中含季节的虚假成分。该式表明，因果估计的关键不在更复杂的模型，而在对正确变量集的正确调整。</w:t>
      </w:r>
    </w:p>
    <w:p w14:paraId="7A54DA0A">
      <w:pPr>
        <w:pStyle w:val="6"/>
        <w:spacing w:after="120"/>
        <w:ind w:firstLine="602" w:firstLineChars="200"/>
        <w:jc w:val="left"/>
      </w:pPr>
      <w:r>
        <w:rPr>
          <w:rFonts w:ascii="Times New Roman" w:hAnsi="Times New Roman" w:eastAsia="黑体"/>
          <w:b/>
          <w:sz w:val="30"/>
        </w:rPr>
        <w:t>（二）从观测数据估计因果效应的可落地方法</w:t>
      </w:r>
    </w:p>
    <w:p w14:paraId="7441A753">
      <w:pPr>
        <w:spacing w:after="80" w:line="360" w:lineRule="auto"/>
        <w:ind w:firstLine="480" w:firstLineChars="200"/>
        <w:jc w:val="both"/>
      </w:pPr>
      <w:r>
        <w:rPr>
          <w:rFonts w:ascii="Times New Roman" w:hAnsi="Times New Roman" w:eastAsia="宋体"/>
          <w:b w:val="0"/>
          <w:sz w:val="24"/>
        </w:rPr>
        <w:t>在多数中医药研究中难以开展随机对照试验，须从观测数据估计因果效应。倾向评分将高维混杂压缩为接受治法的条件概率，用于匹配或分层；逆概率加权以其倒数加权构造伪总体以消除混杂；双重机器学习分别估计结局与处理模型，借正交化与样本分割降低对冗余函数估计误差的敏感性，在高维混杂下仍较稳健地估计平均处理效应；因果森林估计随特征变化的条件平均处理效应，可识别“哪类患者获益最大”，契合中医“同病异治、因人制宜”。存在未观测混杂时，可借工具变量识别。</w:t>
      </w:r>
    </w:p>
    <w:p w14:paraId="6AA5D3E6">
      <w:pPr>
        <w:spacing w:after="80" w:line="360" w:lineRule="auto"/>
        <w:ind w:firstLine="480" w:firstLineChars="200"/>
        <w:jc w:val="both"/>
      </w:pPr>
      <w:r>
        <w:rPr>
          <w:rFonts w:ascii="Times New Roman" w:hAnsi="Times New Roman" w:eastAsia="宋体"/>
          <w:b w:val="0"/>
          <w:sz w:val="24"/>
        </w:rPr>
        <w:t>案例 10-8　倾向评分与逆概率加权的计算。以倾向评分对样本加权（接受治法者取 \(1/e\)、未接受者取 \(1/(1-e)\)），可压低高倾向人群的过度代表，构造处理分配与协变量近似独立的伪总体，再比较两组平均转归即得平均处理效应。须检查正值性：当倾向评分接近 0 或 1 时权重过大、方差激增，提示该类患者缺乏可比对照，结论应谨慎。</w:t>
      </w:r>
    </w:p>
    <w:p w14:paraId="5E059D5F">
      <w:pPr>
        <w:pStyle w:val="6"/>
        <w:spacing w:after="120"/>
        <w:ind w:firstLine="602" w:firstLineChars="200"/>
        <w:jc w:val="left"/>
      </w:pPr>
      <w:r>
        <w:rPr>
          <w:rFonts w:ascii="Times New Roman" w:hAnsi="Times New Roman" w:eastAsia="黑体"/>
          <w:b/>
          <w:sz w:val="30"/>
        </w:rPr>
        <w:t>（三）潜在结果框架与反事实推断</w:t>
      </w:r>
    </w:p>
    <w:p w14:paraId="7BC78418">
      <w:pPr>
        <w:spacing w:after="80" w:line="360" w:lineRule="auto"/>
        <w:ind w:firstLine="480" w:firstLineChars="200"/>
        <w:jc w:val="both"/>
      </w:pPr>
      <w:r>
        <w:rPr>
          <w:rFonts w:ascii="Times New Roman" w:hAnsi="Times New Roman" w:eastAsia="宋体"/>
          <w:b w:val="0"/>
          <w:sz w:val="24"/>
        </w:rPr>
        <w:t>潜在结果框架以 \(Y(1)\)、\(Y(0)\) 表示个体接受与不接受处理的结局，个体处理效应为 \(\tau_i=Y_i(1)-Y_i(0)\)；其根本困难在于二者不可同时观测，故转向可识别的群体量：平均处理效应 \(ATE=E[Y(1)-Y(0)]\) 与条件平均处理效应 \(CATE(x)=E[Y(1)-Y(0)\mid X=x]\)，在可忽略性、正值性与一致性等假设下可由观测数据估计。须区分两类反事实：可解释性意义上的改变输入以翻转预测，因果意义上的改变处理以改变结局；二者在中医药AI中均有价值，但论证强度与所需假设不同。</w:t>
      </w:r>
    </w:p>
    <w:p w14:paraId="29FB6836">
      <w:pPr>
        <w:spacing w:after="80" w:line="360" w:lineRule="auto"/>
        <w:ind w:firstLine="480" w:firstLineChars="200"/>
        <w:jc w:val="both"/>
      </w:pPr>
      <w:r>
        <w:rPr>
          <w:rFonts w:ascii="Times New Roman" w:hAnsi="Times New Roman" w:eastAsia="宋体"/>
          <w:b w:val="0"/>
          <w:sz w:val="24"/>
        </w:rPr>
        <w:t>案例 10-5　某治法对转归的异质性效应估计。研究者以体质、证候、季节、合并用药为协变量构建因果图，用双重机器学习估计平均处理效应、以因果森林估计条件平均处理效应；结果显示总体效应为正但有限，而某证候亚组显著更高，提示该治法宜在该亚组优先使用。该案例说明因果方法不仅回答“是否有效”，更回答“对谁有效”，直接支持个体化辨证论治。</w:t>
      </w:r>
    </w:p>
    <w:p w14:paraId="6D98E096">
      <w:pPr>
        <w:spacing w:after="80" w:line="360" w:lineRule="auto"/>
        <w:ind w:firstLine="480" w:firstLineChars="200"/>
        <w:jc w:val="both"/>
      </w:pPr>
      <w:r>
        <w:rPr>
          <w:rFonts w:ascii="Times New Roman" w:hAnsi="Times New Roman" w:eastAsia="宋体"/>
          <w:b w:val="0"/>
          <w:sz w:val="24"/>
        </w:rPr>
        <w:t>中介分析是连接因果推断与中医病机阐释的有力工具。当关注某治法通过何种途径影响转归时，可将总效应分解为经由特定中介变量的间接效应与不经由该中介的直接效应。例如，分析某清热方对转归的作用时，可考察其效应有多大比例经由“炎症指标下降”这一中介实现。该分解在方法上要求处理与中介、中介与结局之间均无未调整混杂，假设较强；但其价值在于使“治法—病机—转归”的链条得以定量刻画，为中医病机的现代表达提供因果层面的证据，而非停留于相关描述。</w:t>
      </w:r>
    </w:p>
    <w:p w14:paraId="7538910B">
      <w:pPr>
        <w:spacing w:after="80" w:line="360" w:lineRule="auto"/>
        <w:ind w:firstLine="480" w:firstLineChars="200"/>
        <w:jc w:val="both"/>
      </w:pPr>
      <w:r>
        <w:rPr>
          <w:rFonts w:ascii="Times New Roman" w:hAnsi="Times New Roman" w:eastAsia="宋体"/>
          <w:b w:val="0"/>
          <w:sz w:val="24"/>
        </w:rPr>
        <w:t>因果估计的结论依赖无未观测混杂这一不可直接检验的假设，因而须配合敏感性分析。敏感性分析的基本思路是：假设存在一个强度未知的未观测混杂，定量考察其需达到多大强度才能使已估计的因果效应被完全解释掉或翻转方向。若结论在相当强的假设混杂下仍然稳健，则可信度提高；若一个微弱的未观测混杂即可推翻结论，则须谨慎。对于难以开展随机对照试验的中医药真实世界研究，报告敏感性分析结果应成为因果论证的常规组成部分，而非可选附加项。</w:t>
      </w:r>
    </w:p>
    <w:p w14:paraId="2638347F">
      <w:pPr>
        <w:pStyle w:val="6"/>
        <w:spacing w:after="120"/>
        <w:ind w:firstLine="602" w:firstLineChars="200"/>
        <w:jc w:val="left"/>
      </w:pPr>
      <w:r>
        <w:rPr>
          <w:rFonts w:ascii="Times New Roman" w:hAnsi="Times New Roman" w:eastAsia="黑体"/>
          <w:b/>
          <w:sz w:val="30"/>
        </w:rPr>
        <w:t>（四）因果发现</w:t>
      </w:r>
    </w:p>
    <w:p w14:paraId="72018626">
      <w:pPr>
        <w:spacing w:after="80" w:line="360" w:lineRule="auto"/>
        <w:ind w:firstLine="480" w:firstLineChars="200"/>
        <w:jc w:val="both"/>
      </w:pPr>
      <w:r>
        <w:rPr>
          <w:rFonts w:ascii="Times New Roman" w:hAnsi="Times New Roman" w:eastAsia="宋体"/>
          <w:b w:val="0"/>
          <w:sz w:val="24"/>
        </w:rPr>
        <w:t>当因果结构未知时，因果发现方法尝试从数据中学习因果图：基于约束的方法通过条件独立性检验确定边的存在与方向，基于评分的方法在图空间中搜索拟合优度与复杂度平衡的结构，基于函数因果模型的方法借助噪声的非高斯性或非线性识别方向。中医药知识图谱所编码的“症—证—治—方”关系可作为因果发现的先验约束，缩小搜索空间并提升结果的临床合理性。须注意，数据驱动的因果发现给出的是候选假设，仍须经领域知识审查与前瞻性研究检验。</w:t>
      </w:r>
    </w:p>
    <w:p w14:paraId="19F86061">
      <w:pPr>
        <w:spacing w:after="80" w:line="360" w:lineRule="auto"/>
        <w:ind w:firstLine="480" w:firstLineChars="200"/>
        <w:jc w:val="both"/>
      </w:pPr>
      <w:r>
        <w:rPr>
          <w:rFonts w:ascii="Times New Roman" w:hAnsi="Times New Roman" w:eastAsia="宋体"/>
          <w:b w:val="0"/>
          <w:sz w:val="24"/>
        </w:rPr>
        <w:t>以中医药为例，可先由专家依据“病因→体质→证候→治法→转归”的领域知识给定部分有向边作为背景约束，再令因果发现算法在剩余变量间搜索，从而既利用数据又尊重医学常识。须警惕三类陷阱：样本量不足时条件独立性检验不可靠，可能给出错误的边；存在未观测共因时，两个由共因驱动的变量会被误判为直接因果；时间信息缺失时，方向判定容易颠倒。因此，因果发现的产出应被视为有待验证的假设网络，须经前瞻性研究或干预实验逐条检验，而非直接作为定论。</w:t>
      </w:r>
    </w:p>
    <w:p w14:paraId="595B8DC8">
      <w:pPr>
        <w:pStyle w:val="6"/>
        <w:spacing w:after="120"/>
        <w:ind w:firstLine="602" w:firstLineChars="200"/>
        <w:jc w:val="left"/>
      </w:pPr>
      <w:r>
        <w:rPr>
          <w:rFonts w:ascii="Times New Roman" w:hAnsi="Times New Roman" w:eastAsia="黑体"/>
          <w:b/>
          <w:sz w:val="30"/>
        </w:rPr>
        <w:t>（五）神经符号AI与知识约束的因果解释</w:t>
      </w:r>
    </w:p>
    <w:p w14:paraId="391F7BE8">
      <w:pPr>
        <w:spacing w:after="80" w:line="360" w:lineRule="auto"/>
        <w:ind w:firstLine="480" w:firstLineChars="200"/>
        <w:jc w:val="both"/>
      </w:pPr>
      <w:r>
        <w:rPr>
          <w:rFonts w:ascii="Times New Roman" w:hAnsi="Times New Roman" w:eastAsia="宋体"/>
          <w:b w:val="0"/>
          <w:sz w:val="24"/>
        </w:rPr>
        <w:t>将中医药知识图谱作为符号化的先验知识，与神经网络的表示学习能力结合，构成神经符号人工智能系统。该类系统在经过验证的中医知识上进行推理，对模型输出施加医学理论约束，既能降低幻觉，又能提供沿知识图谱路径展开、语义可追溯的解释。例如，模型在给出“湿热证—清热利湿—某方”的推荐时，可同时输出其在知识图谱中所依据的“症状—证候—治法—方药—禁忌”路径，使解释兼具因果方向与理论依据。神经符号路径因此成为连接可解释性与因果推断的关键技术枢纽。</w:t>
      </w:r>
    </w:p>
    <w:p w14:paraId="3A778209">
      <w:pPr>
        <w:spacing w:after="80" w:line="360" w:lineRule="auto"/>
        <w:ind w:firstLine="480" w:firstLineChars="200"/>
        <w:jc w:val="both"/>
      </w:pPr>
      <w:r>
        <w:rPr>
          <w:rFonts w:ascii="Times New Roman" w:hAnsi="Times New Roman" w:eastAsia="宋体"/>
          <w:b w:val="0"/>
          <w:sz w:val="24"/>
        </w:rPr>
        <w:t>案例 10-10　知识图谱约束下的可追溯推荐。某神经符号系统接收“失眠、心烦、口舌生疮、舌尖红、脉数”，神经网络给出候选证候“心火亢盛”，符号模块在知识图谱中验证路径“心火亢盛→清心泻火→导赤散”并核查禁忌；当合并妊娠时，禁忌边触发警示并下调该方推荐等级。该案例展示了沿知识图谱路径展开、语义可追溯的推荐与安全约束。</w:t>
      </w:r>
    </w:p>
    <w:p w14:paraId="729C53DC">
      <w:pPr>
        <w:pStyle w:val="6"/>
        <w:spacing w:after="120"/>
        <w:ind w:firstLine="602" w:firstLineChars="200"/>
        <w:jc w:val="left"/>
      </w:pPr>
      <w:r>
        <w:rPr>
          <w:rFonts w:ascii="Times New Roman" w:hAnsi="Times New Roman" w:eastAsia="黑体"/>
          <w:b/>
          <w:sz w:val="30"/>
        </w:rPr>
        <w:t>（六）评价的转向：从技术指标到临床效用</w:t>
      </w:r>
    </w:p>
    <w:p w14:paraId="45128BC3">
      <w:pPr>
        <w:spacing w:after="80" w:line="360" w:lineRule="auto"/>
        <w:ind w:firstLine="480" w:firstLineChars="200"/>
        <w:jc w:val="both"/>
      </w:pPr>
      <w:r>
        <w:rPr>
          <w:rFonts w:ascii="Times New Roman" w:hAnsi="Times New Roman" w:eastAsia="宋体"/>
          <w:b w:val="0"/>
          <w:sz w:val="24"/>
        </w:rPr>
        <w:t>可解释与因果方法的价值最终须以临床效用衡量，而非仅以技术指标评判。评价应引入人在回路设计，由临床医师参与解释质量评估，并通过随机对照试验测量解释对医师认知负荷、诊断准确率与决策时间的实际影响。研究社区还应协作构建标准化的多模态基准，并为其配置金标准解释标注，以支持方法间的公平比较。脱离临床效用的解释，可能仅是迎合评审的技术展示。</w:t>
      </w:r>
    </w:p>
    <w:p w14:paraId="12E90AD4">
      <w:pPr>
        <w:spacing w:after="80" w:line="360" w:lineRule="auto"/>
        <w:ind w:firstLine="480" w:firstLineChars="200"/>
        <w:jc w:val="both"/>
      </w:pPr>
      <w:r>
        <w:rPr>
          <w:rFonts w:ascii="Times New Roman" w:hAnsi="Times New Roman" w:eastAsia="宋体"/>
          <w:b w:val="0"/>
          <w:sz w:val="24"/>
        </w:rPr>
        <w:t>须强调，可解释性与因果推断并非独立于前述可信属性的附加模块，而与不确定性量化、鲁棒性和公平性共同构成一个相互支撑的整体。不确定性量化为解释划定适用边界——在低置信区域，任何解释都应附带“此结论把握不足”的提示；鲁棒性检验解释在扰动下是否稳定——若轻微改写症状描述即导致归因结果剧变，则该解释不可信；公平性分析依赖因果方法区分“合理的临床差异”与“不应存在的群体偏倚”——只有在因果框架下，才能判断地域间的性能差异是源于真实的疾病谱差异还是数据代表性不足。因此，面向中医药的可信人工智能应将六者纳入统一的安全工程闭环，而非分别优化各自指标。</w:t>
      </w:r>
    </w:p>
    <w:p w14:paraId="31EC82BE">
      <w:pPr>
        <w:spacing w:after="80" w:line="360" w:lineRule="auto"/>
        <w:ind w:firstLine="480" w:firstLineChars="200"/>
        <w:jc w:val="both"/>
      </w:pPr>
      <w:r>
        <w:rPr>
          <w:rFonts w:ascii="Times New Roman" w:hAnsi="Times New Roman" w:eastAsia="宋体"/>
          <w:b w:val="0"/>
          <w:sz w:val="24"/>
        </w:rPr>
        <w:t>临床效用的测量可落实为若干具体指标：诊断准确率的提升幅度、医师采纳模型建议的比例、单病例决策时间的变化、医师主观信任度评分，以及借助认知负荷量表测得的脑力负担变化。理想的评价设计是将使用解释型系统的医师组与对照组随机分配，比较上述指标的组间差异，并区分“解释正确且被采纳”“解释错误却被采纳”等情形，以防止医师对模型产生过度依赖。唯有如此，才能判断一项可解释或因果方法是真正改善了临床决策，还是仅在技术指标上自我满足。</w:t>
      </w:r>
    </w:p>
    <w:p w14:paraId="6FF7D9F1">
      <w:pPr>
        <w:pStyle w:val="6"/>
        <w:spacing w:after="120"/>
        <w:ind w:firstLine="602" w:firstLineChars="200"/>
        <w:jc w:val="left"/>
      </w:pPr>
      <w:r>
        <w:rPr>
          <w:rFonts w:ascii="Times New Roman" w:hAnsi="Times New Roman" w:eastAsia="黑体"/>
          <w:b/>
          <w:sz w:val="30"/>
        </w:rPr>
        <w:t>（七）面向监管的解释验证</w:t>
      </w:r>
    </w:p>
    <w:p w14:paraId="5A58217D">
      <w:pPr>
        <w:spacing w:after="80" w:line="360" w:lineRule="auto"/>
        <w:ind w:firstLine="480" w:firstLineChars="200"/>
        <w:jc w:val="both"/>
      </w:pPr>
      <w:r>
        <w:rPr>
          <w:rFonts w:ascii="Times New Roman" w:hAnsi="Times New Roman" w:eastAsia="宋体"/>
          <w:b w:val="0"/>
          <w:sz w:val="24"/>
        </w:rPr>
        <w:t>中医药人工智能器械进入临床须建立专门的解释验证指南，明确不同风险等级下解释的形式、内容与证据基础要求：低风险的知识检索类应用可采用较轻的解释要求；涉及诊断与治疗建议的高风险应用，则须提供可追溯、可核验且经临床验证的解释。解释的目标不是以技术语言说服评审，而是使监管者、医师与患者能够理解并质询模型的判断依据。由此，中医药与可解释人工智能形成双向关系：中医药为可解释人工智能提供了兼具系统整体观与语义结构的独特试验场，可解释人工智能则成为中医药现代化的关键枢纽，使人工智能由潜在的竞争者转变为可信赖的数字协作伙伴。</w:t>
      </w:r>
    </w:p>
    <w:p w14:paraId="10401C98">
      <w:pPr>
        <w:pStyle w:val="5"/>
        <w:spacing w:after="120"/>
        <w:ind w:firstLine="562" w:firstLineChars="200"/>
        <w:jc w:val="left"/>
      </w:pPr>
      <w:r>
        <w:rPr>
          <w:rFonts w:ascii="Times New Roman" w:hAnsi="Times New Roman" w:eastAsia="宋体"/>
          <w:b/>
          <w:sz w:val="28"/>
        </w:rPr>
        <w:t>第二节小结</w:t>
      </w:r>
    </w:p>
    <w:p w14:paraId="6747E116">
      <w:pPr>
        <w:spacing w:after="80" w:line="360" w:lineRule="auto"/>
        <w:ind w:firstLine="480" w:firstLineChars="200"/>
        <w:jc w:val="both"/>
      </w:pPr>
      <w:r>
        <w:rPr>
          <w:rFonts w:ascii="Times New Roman" w:hAnsi="Times New Roman" w:eastAsia="宋体"/>
          <w:b w:val="0"/>
          <w:sz w:val="24"/>
        </w:rPr>
        <w:t>可信AI是中医药大模型进入临床、科研和教育场景的必要前提。不确定性量化使模型表达把握程度，鲁棒性评估检验模型面对扰动与分布变化时的稳定性，算法公平性防止模型对不同人群、地域和流派产生系统性不利。研究生应把可信性视为方法学核心，而不是伦理附录。只有将数据治理、知识约束、模型校准、鲁棒评测、公平性分析、人类审核和持续监测纳入同一安全工程，中医药人工智能才能在保护患者安全的前提下发挥研究与临床价值。</w:t>
      </w:r>
    </w:p>
    <w:p w14:paraId="1412DB5B">
      <w:pPr>
        <w:spacing w:after="80" w:line="360" w:lineRule="auto"/>
        <w:ind w:firstLine="480" w:firstLineChars="200"/>
        <w:jc w:val="both"/>
      </w:pPr>
      <w:r>
        <w:rPr>
          <w:rFonts w:ascii="Times New Roman" w:hAnsi="Times New Roman" w:eastAsia="宋体"/>
          <w:b w:val="0"/>
          <w:sz w:val="24"/>
        </w:rPr>
        <w:t>在不确定性、鲁棒性与公平性之外，本节进一步阐述了可解释性与因果推断两条主线。可解释性方法已从经典的LIME、SHAP扩展到积分梯度、类激活映射、概念激活向量、概念瓶颈模型、原型部件网络、反事实与锚解释、可解释提升机及影响函数，研究生应依据解释目的与受众选择方法，并以忠实度、稳定性与语义合理性检验解释质量。因果推断则要求模型由相关走向因果，沿关联、干预、反事实三个层次，借助结构因果模型、后门调整、倾向评分、双重机器学习与因果森林估计治法的个体化效应，并通过神经符号系统将知识图谱约束与可追溯解释统一起来。可解释、因果、可信三者贯通，方能使中医药人工智能成为医师可信赖的协作伙伴。</w:t>
      </w:r>
    </w:p>
    <w:p w14:paraId="7CC9AF10">
      <w:pPr>
        <w:pStyle w:val="4"/>
        <w:spacing w:after="160"/>
        <w:ind w:firstLine="562" w:firstLineChars="200"/>
        <w:jc w:val="left"/>
      </w:pPr>
      <w:r>
        <w:rPr>
          <w:rFonts w:ascii="Times New Roman" w:hAnsi="Times New Roman" w:eastAsia="宋体"/>
          <w:b/>
          <w:sz w:val="28"/>
        </w:rPr>
        <w:t>本章思考题</w:t>
      </w:r>
    </w:p>
    <w:p w14:paraId="1F9C5356">
      <w:pPr>
        <w:spacing w:after="80" w:line="360" w:lineRule="auto"/>
        <w:ind w:firstLine="480" w:firstLineChars="200"/>
        <w:jc w:val="both"/>
      </w:pPr>
      <w:r>
        <w:rPr>
          <w:rFonts w:ascii="Times New Roman" w:hAnsi="Times New Roman" w:eastAsia="宋体"/>
          <w:b w:val="0"/>
          <w:sz w:val="24"/>
        </w:rPr>
        <w:t>1. 以“失眠中医辅助诊疗大模型”为例，设计一个包含继续预训练、RAG、知识图谱约束、低置信拒答和人工复核的系统方案，并说明每一环节解决的风险。</w:t>
      </w:r>
    </w:p>
    <w:p w14:paraId="67E63453">
      <w:pPr>
        <w:spacing w:after="80" w:line="360" w:lineRule="auto"/>
        <w:ind w:firstLine="480" w:firstLineChars="200"/>
        <w:jc w:val="both"/>
      </w:pPr>
      <w:r>
        <w:rPr>
          <w:rFonts w:ascii="Times New Roman" w:hAnsi="Times New Roman" w:eastAsia="宋体"/>
          <w:b w:val="0"/>
          <w:sz w:val="24"/>
        </w:rPr>
        <w:t>2. 面向未来的四诊合参多模态大模型，分析在模态缺失、跨模态对齐与不确定性输出三个方面仍有待突破的核心难题，并就其中一项提出可能的研究路径与相应的评价设计。</w:t>
      </w:r>
    </w:p>
    <w:p w14:paraId="02B9DF8A">
      <w:pPr>
        <w:spacing w:after="80" w:line="360" w:lineRule="auto"/>
        <w:ind w:firstLine="480" w:firstLineChars="200"/>
        <w:jc w:val="both"/>
      </w:pPr>
      <w:r>
        <w:rPr>
          <w:rFonts w:ascii="Times New Roman" w:hAnsi="Times New Roman" w:eastAsia="宋体"/>
          <w:b w:val="0"/>
          <w:sz w:val="24"/>
        </w:rPr>
        <w:t>3. 若两个专家对同一病例给出不同证候判断，研究者应如何设计标注、建模和评价流程，才能避免把主观分歧简单视为“错误标签”？</w:t>
      </w:r>
    </w:p>
    <w:p w14:paraId="22B6E6FF">
      <w:pPr>
        <w:spacing w:after="80" w:line="360" w:lineRule="auto"/>
        <w:ind w:firstLine="480" w:firstLineChars="200"/>
        <w:jc w:val="both"/>
      </w:pPr>
      <w:r>
        <w:rPr>
          <w:rFonts w:ascii="Times New Roman" w:hAnsi="Times New Roman" w:eastAsia="宋体"/>
          <w:b w:val="0"/>
          <w:sz w:val="24"/>
        </w:rPr>
        <w:t>4. 结合公平性不可兼得问题，讨论中医药AI在地域公平、流派公平和总体准确率之间如何作出研究设计取舍。</w:t>
      </w:r>
    </w:p>
    <w:p w14:paraId="66AB9EC5">
      <w:pPr>
        <w:spacing w:after="80" w:line="360" w:lineRule="auto"/>
        <w:ind w:firstLine="480" w:firstLineChars="200"/>
        <w:jc w:val="both"/>
      </w:pPr>
      <w:r>
        <w:rPr>
          <w:rFonts w:ascii="Times New Roman" w:hAnsi="Times New Roman" w:eastAsia="宋体"/>
          <w:b w:val="0"/>
          <w:sz w:val="24"/>
        </w:rPr>
        <w:t>5. 开放性题目：生成式大模型在中医药研究中既能生成假说，也能生成错误依据。请提出一套防止“合成数据污染真实证据”的制度与技术方案。</w:t>
      </w:r>
    </w:p>
    <w:p w14:paraId="21B8D365">
      <w:pPr>
        <w:spacing w:after="80" w:line="360" w:lineRule="auto"/>
        <w:ind w:firstLine="480" w:firstLineChars="200"/>
        <w:jc w:val="both"/>
      </w:pPr>
      <w:r>
        <w:rPr>
          <w:rFonts w:ascii="Times New Roman" w:hAnsi="Times New Roman" w:eastAsia="宋体"/>
          <w:b w:val="0"/>
          <w:sz w:val="24"/>
        </w:rPr>
        <w:t>6. 结合因果阶梯，说明“某治法对转归是否有效”与“该治法对哪类患者最有效”分别对应哪一因果层次，并指出在缺乏随机对照试验时可采用的观测性因果估计方法及其前提假设。</w:t>
      </w:r>
    </w:p>
    <w:p w14:paraId="530C9ADA">
      <w:pPr>
        <w:spacing w:after="80" w:line="360" w:lineRule="auto"/>
        <w:ind w:firstLine="480" w:firstLineChars="200"/>
        <w:jc w:val="both"/>
      </w:pPr>
      <w:r>
        <w:rPr>
          <w:rFonts w:ascii="Times New Roman" w:hAnsi="Times New Roman" w:eastAsia="宋体"/>
          <w:b w:val="0"/>
          <w:sz w:val="24"/>
        </w:rPr>
        <w:t>7. 开放性题目：参考神经符号AI思路，设计一个以中医药知识图谱约束辨证推荐的可解释系统，说明其如何同时降低幻觉、提供可追溯解释并支持医师在概念层干预。</w:t>
      </w:r>
    </w:p>
    <w:p w14:paraId="78F1280B">
      <w:pPr>
        <w:pStyle w:val="4"/>
        <w:spacing w:after="160"/>
        <w:ind w:firstLine="562" w:firstLineChars="200"/>
        <w:jc w:val="left"/>
      </w:pPr>
      <w:r>
        <w:rPr>
          <w:rFonts w:ascii="Times New Roman" w:hAnsi="Times New Roman" w:eastAsia="黑体"/>
          <w:b/>
          <w:sz w:val="28"/>
        </w:rPr>
        <w:t>参考文献</w:t>
      </w:r>
    </w:p>
    <w:p w14:paraId="0BC66507">
      <w:pPr>
        <w:spacing w:after="40" w:line="300" w:lineRule="auto"/>
        <w:ind w:left="480" w:hanging="480"/>
        <w:jc w:val="both"/>
      </w:pPr>
      <w:r>
        <w:rPr>
          <w:rFonts w:ascii="Times New Roman" w:hAnsi="Times New Roman" w:eastAsia="宋体"/>
          <w:b w:val="0"/>
          <w:sz w:val="21"/>
        </w:rPr>
        <w:t>[1] DAI Y, SHAO X, ZHANG J, et al., 2024. TCMChat: a generative large language model for traditional Chinese medicine [J]. Pharmacological Research, 210: 107530.</w:t>
      </w:r>
    </w:p>
    <w:p w14:paraId="7803D766">
      <w:pPr>
        <w:spacing w:after="40" w:line="300" w:lineRule="auto"/>
        <w:ind w:left="480" w:hanging="480"/>
        <w:jc w:val="both"/>
      </w:pPr>
      <w:r>
        <w:rPr>
          <w:rFonts w:ascii="Times New Roman" w:hAnsi="Times New Roman" w:eastAsia="宋体"/>
          <w:b w:val="0"/>
          <w:sz w:val="21"/>
        </w:rPr>
        <w:t>[2] ZHU J, GONG Q, ZHOU C, et al., 2023. ZhongJing: a locally deployed large language model for traditional Chinese medicine [C] // International Symposium on Artificial Intelligence in Medical Sciences: 1036-1042.</w:t>
      </w:r>
    </w:p>
    <w:p w14:paraId="46FF8B13">
      <w:pPr>
        <w:spacing w:after="40" w:line="300" w:lineRule="auto"/>
        <w:ind w:left="480" w:hanging="480"/>
        <w:jc w:val="both"/>
      </w:pPr>
      <w:r>
        <w:rPr>
          <w:rFonts w:ascii="Times New Roman" w:hAnsi="Times New Roman" w:eastAsia="宋体"/>
          <w:b w:val="0"/>
          <w:sz w:val="21"/>
        </w:rPr>
        <w:t>[3] JIA Y, JI X, WANG X, et al., 2025. Qibo: a large language model for traditional Chinese medicine [J]. Expert Systems with Applications, 284: 127672.</w:t>
      </w:r>
    </w:p>
    <w:p w14:paraId="392B7E60">
      <w:pPr>
        <w:spacing w:after="40" w:line="300" w:lineRule="auto"/>
        <w:ind w:left="480" w:hanging="480"/>
        <w:jc w:val="both"/>
      </w:pPr>
      <w:r>
        <w:rPr>
          <w:rFonts w:ascii="Times New Roman" w:hAnsi="Times New Roman" w:eastAsia="宋体"/>
          <w:b w:val="0"/>
          <w:sz w:val="21"/>
        </w:rPr>
        <w:t>[4] HUA R, DONG X, WEI Y, et al., 2024. Lingdan: enhancing encoding of traditional Chinese medicine knowledge for clinical reasoning tasks with large language models [J]. Journal of the American Medical Informatics Association, 31(9): 2019-2029.</w:t>
      </w:r>
    </w:p>
    <w:p w14:paraId="10C180F0">
      <w:pPr>
        <w:spacing w:after="40" w:line="300" w:lineRule="auto"/>
        <w:ind w:left="480" w:hanging="480"/>
        <w:jc w:val="both"/>
      </w:pPr>
      <w:r>
        <w:rPr>
          <w:rFonts w:ascii="Times New Roman" w:hAnsi="Times New Roman" w:eastAsia="宋体"/>
          <w:b w:val="0"/>
          <w:sz w:val="21"/>
        </w:rPr>
        <w:t>[5] TONG X, DING X, JIA H, et al., 2025. XuanHuGPT: parameter-efficient fine-tuning of large language model in the field of traditional Chinese medicine [J]. Chinese Medicine, 20(1): 204.</w:t>
      </w:r>
    </w:p>
    <w:p w14:paraId="72E6A13D">
      <w:pPr>
        <w:spacing w:after="40" w:line="300" w:lineRule="auto"/>
        <w:ind w:left="480" w:hanging="480"/>
        <w:jc w:val="both"/>
      </w:pPr>
      <w:r>
        <w:rPr>
          <w:rFonts w:ascii="Times New Roman" w:hAnsi="Times New Roman" w:eastAsia="宋体"/>
          <w:b w:val="0"/>
          <w:sz w:val="21"/>
        </w:rPr>
        <w:t>[6] ZHOU X, LI C, DONG X, et al., 2024. TCM-FTP: fine-tuning large language models for herbal prescription prediction [C] // IEEE International Conference on Bioinformatics and Biomedicine: 4092-4097.</w:t>
      </w:r>
    </w:p>
    <w:p w14:paraId="72068B01">
      <w:pPr>
        <w:spacing w:after="40" w:line="300" w:lineRule="auto"/>
        <w:ind w:left="480" w:hanging="480"/>
        <w:jc w:val="both"/>
      </w:pPr>
      <w:r>
        <w:rPr>
          <w:rFonts w:ascii="Times New Roman" w:hAnsi="Times New Roman" w:eastAsia="宋体"/>
          <w:b w:val="0"/>
          <w:sz w:val="21"/>
        </w:rPr>
        <w:t>[7] QIN S, WANG Y, CUI T, et al., 2025. Intelligent Chinese patent medicine recommendation framework [J]. Pharmacological Research, 219: 107883.</w:t>
      </w:r>
    </w:p>
    <w:p w14:paraId="7CD30A5E">
      <w:pPr>
        <w:spacing w:after="40" w:line="300" w:lineRule="auto"/>
        <w:ind w:left="480" w:hanging="480"/>
        <w:jc w:val="both"/>
      </w:pPr>
      <w:r>
        <w:rPr>
          <w:rFonts w:ascii="Times New Roman" w:hAnsi="Times New Roman" w:eastAsia="宋体"/>
          <w:b w:val="0"/>
          <w:sz w:val="21"/>
        </w:rPr>
        <w:t>[8] YUAN S, ZHOU Z, JIN X, et al., 2025. Enhancing herbal medicine-drug interaction prediction using large language models [J]. IEEE Journal of Biomedical and Health Informatics, 29(10): 6971-6981.</w:t>
      </w:r>
    </w:p>
    <w:p w14:paraId="02D831F2">
      <w:pPr>
        <w:spacing w:after="40" w:line="300" w:lineRule="auto"/>
        <w:ind w:left="480" w:hanging="480"/>
        <w:jc w:val="both"/>
      </w:pPr>
      <w:r>
        <w:rPr>
          <w:rFonts w:ascii="Times New Roman" w:hAnsi="Times New Roman" w:eastAsia="宋体"/>
          <w:b w:val="0"/>
          <w:sz w:val="21"/>
        </w:rPr>
        <w:t>[9] DUAN Y, ZHOU Q, LI Y, et al., 2025. Research on a traditional Chinese medicine case-based question-answering system integrating large language models and knowledge graphs [J]. Frontiers in Medicine, 11: 1512329.</w:t>
      </w:r>
    </w:p>
    <w:p w14:paraId="49881E62">
      <w:pPr>
        <w:spacing w:after="40" w:line="300" w:lineRule="auto"/>
        <w:ind w:left="480" w:hanging="480"/>
        <w:jc w:val="both"/>
      </w:pPr>
      <w:r>
        <w:rPr>
          <w:rFonts w:ascii="Times New Roman" w:hAnsi="Times New Roman" w:eastAsia="宋体"/>
          <w:b w:val="0"/>
          <w:sz w:val="21"/>
        </w:rPr>
        <w:t>[10] ZHANG Y, HAO Y, 2024. Traditional Chinese medicine knowledge graph construction based on large language models [J]. Electronics, 13(7): 1395.</w:t>
      </w:r>
    </w:p>
    <w:p w14:paraId="12D3920D">
      <w:pPr>
        <w:spacing w:after="40" w:line="300" w:lineRule="auto"/>
        <w:ind w:left="480" w:hanging="480"/>
        <w:jc w:val="both"/>
      </w:pPr>
      <w:r>
        <w:rPr>
          <w:rFonts w:ascii="Times New Roman" w:hAnsi="Times New Roman" w:eastAsia="宋体"/>
          <w:b w:val="0"/>
          <w:sz w:val="21"/>
        </w:rPr>
        <w:t>[11] WANG L, TANG K, WANG Y, et al., 2025. Advancements in artificial intelligence-driven diagnostic models for traditional Chinese medicine [J]. American Journal of Chinese Medicine, 53(3): 647-673.</w:t>
      </w:r>
    </w:p>
    <w:p w14:paraId="62F16DEE">
      <w:pPr>
        <w:spacing w:after="40" w:line="300" w:lineRule="auto"/>
        <w:ind w:left="480" w:hanging="480"/>
        <w:jc w:val="both"/>
      </w:pPr>
      <w:r>
        <w:rPr>
          <w:rFonts w:ascii="Times New Roman" w:hAnsi="Times New Roman" w:eastAsia="宋体"/>
          <w:b w:val="0"/>
          <w:sz w:val="21"/>
        </w:rPr>
        <w:t>[12] ZHENG Y, YUAN J, LIU L, et al., 2025. Evaluating large language models in traditional Chinese medicine with enhanced misinformation detection [C] // UbiComp Companion: 1358-1363.</w:t>
      </w:r>
    </w:p>
    <w:p w14:paraId="063D8FA9">
      <w:pPr>
        <w:spacing w:after="40" w:line="300" w:lineRule="auto"/>
        <w:ind w:left="480" w:hanging="480"/>
        <w:jc w:val="both"/>
      </w:pPr>
      <w:r>
        <w:rPr>
          <w:rFonts w:ascii="Times New Roman" w:hAnsi="Times New Roman" w:eastAsia="宋体"/>
          <w:b w:val="0"/>
          <w:sz w:val="21"/>
        </w:rPr>
        <w:t>[13] LIN J, DAI G, PENG W, et al., 2026. ATCMD-Bench: agentic traditional Chinese medicine diagnosis benchmark for large language models via multi-agent simulation [J]. Pattern Recognition, 179: 113679.</w:t>
      </w:r>
    </w:p>
    <w:p w14:paraId="78851AFD">
      <w:pPr>
        <w:spacing w:after="40" w:line="300" w:lineRule="auto"/>
        <w:ind w:left="480" w:hanging="480"/>
        <w:jc w:val="both"/>
      </w:pPr>
      <w:r>
        <w:rPr>
          <w:rFonts w:ascii="Times New Roman" w:hAnsi="Times New Roman" w:eastAsia="宋体"/>
          <w:b w:val="0"/>
          <w:sz w:val="21"/>
        </w:rPr>
        <w:t>[14] REN Y, LUO X, WANG Y, et al., 2025. Large language models in traditional Chinese medicine: a scoping review [J]. Journal of Evidence-Based Medicine, 18(1): e12658.</w:t>
      </w:r>
    </w:p>
    <w:p w14:paraId="7CBA1B49">
      <w:pPr>
        <w:spacing w:after="40" w:line="300" w:lineRule="auto"/>
        <w:ind w:left="480" w:hanging="480"/>
        <w:jc w:val="both"/>
      </w:pPr>
      <w:r>
        <w:rPr>
          <w:rFonts w:ascii="Times New Roman" w:hAnsi="Times New Roman" w:eastAsia="宋体"/>
          <w:b w:val="0"/>
          <w:sz w:val="21"/>
        </w:rPr>
        <w:t>[15] SHATAER D, CAO S, LIU X, et al., 2025. Application of large language models in traditional Chinese medicine: a state-of-the-art review [J]. American Journal of Chinese Medicine, 53(4): 973-997.</w:t>
      </w:r>
    </w:p>
    <w:p w14:paraId="6FD16010">
      <w:pPr>
        <w:spacing w:after="40" w:line="300" w:lineRule="auto"/>
        <w:ind w:left="480" w:hanging="480"/>
        <w:jc w:val="both"/>
      </w:pPr>
      <w:r>
        <w:rPr>
          <w:rFonts w:ascii="Times New Roman" w:hAnsi="Times New Roman" w:eastAsia="宋体"/>
          <w:b w:val="0"/>
          <w:sz w:val="21"/>
        </w:rPr>
        <w:t>[16] ZHU L, MOU W, LAI Y, et al., 2024. Language and cultural bias in AI: the need for localized models [J]. Journal of Translational Medicine, 22(1): 319.</w:t>
      </w:r>
    </w:p>
    <w:p w14:paraId="7BDE2C40">
      <w:pPr>
        <w:spacing w:after="40" w:line="300" w:lineRule="auto"/>
        <w:ind w:left="480" w:hanging="480"/>
        <w:jc w:val="both"/>
      </w:pPr>
      <w:r>
        <w:rPr>
          <w:rFonts w:ascii="Times New Roman" w:hAnsi="Times New Roman" w:eastAsia="宋体"/>
          <w:b w:val="0"/>
          <w:sz w:val="21"/>
        </w:rPr>
        <w:t>[17] HIGH-LEVEL EXPERT GROUP ON AI, 2019. Ethics guidelines for trustworthy AI [R]. Brussels: European Commission.</w:t>
      </w:r>
    </w:p>
    <w:p w14:paraId="66DB63E9">
      <w:pPr>
        <w:spacing w:after="40" w:line="300" w:lineRule="auto"/>
        <w:ind w:left="480" w:hanging="480"/>
        <w:jc w:val="both"/>
      </w:pPr>
      <w:r>
        <w:rPr>
          <w:rFonts w:ascii="Times New Roman" w:hAnsi="Times New Roman" w:eastAsia="宋体"/>
          <w:b w:val="0"/>
          <w:sz w:val="21"/>
        </w:rPr>
        <w:t>[18] NATIONAL INSTITUTE OF STANDARDS AND TECHNOLOGY, 2023. Artificial intelligence risk management framework (AI RMF 1.0): NIST AI 100-1 [S]. Gaithersburg: NIST.</w:t>
      </w:r>
    </w:p>
    <w:p w14:paraId="55A90C13">
      <w:pPr>
        <w:spacing w:after="40" w:line="300" w:lineRule="auto"/>
        <w:ind w:left="480" w:hanging="480"/>
        <w:jc w:val="both"/>
      </w:pPr>
      <w:r>
        <w:rPr>
          <w:rFonts w:ascii="Times New Roman" w:hAnsi="Times New Roman" w:eastAsia="宋体"/>
          <w:b w:val="0"/>
          <w:sz w:val="21"/>
        </w:rPr>
        <w:t>[19] WORLD HEALTH ORGANIZATION, 2021. Ethics and governance of artificial intelligence for health [R]. Geneva: WHO.</w:t>
      </w:r>
    </w:p>
    <w:p w14:paraId="0D97D050">
      <w:pPr>
        <w:spacing w:after="40" w:line="300" w:lineRule="auto"/>
        <w:ind w:left="480" w:hanging="480"/>
        <w:jc w:val="both"/>
      </w:pPr>
      <w:r>
        <w:rPr>
          <w:rFonts w:ascii="Times New Roman" w:hAnsi="Times New Roman" w:eastAsia="宋体"/>
          <w:b w:val="0"/>
          <w:sz w:val="21"/>
        </w:rPr>
        <w:t>[20] HÜLLERMEIER E, WAEGEMAN W, 2021. Aleatoric and epistemic uncertainty in machine learning: an introduction to concepts and methods [J]. Machine Learning, 110(3): 457-506.</w:t>
      </w:r>
    </w:p>
    <w:p w14:paraId="1891E0B8">
      <w:pPr>
        <w:spacing w:after="40" w:line="300" w:lineRule="auto"/>
        <w:ind w:left="480" w:hanging="480"/>
        <w:jc w:val="both"/>
      </w:pPr>
      <w:r>
        <w:rPr>
          <w:rFonts w:ascii="Times New Roman" w:hAnsi="Times New Roman" w:eastAsia="宋体"/>
          <w:b w:val="0"/>
          <w:sz w:val="21"/>
        </w:rPr>
        <w:t>[21] GAL Y, GHAHRAMANI Z, 2016. Dropout as a Bayesian approximation: representing model uncertainty in deep learning [C] // International Conference on Machine Learning: 1050-1059.</w:t>
      </w:r>
    </w:p>
    <w:p w14:paraId="3016029E">
      <w:pPr>
        <w:spacing w:after="40" w:line="300" w:lineRule="auto"/>
        <w:ind w:left="480" w:hanging="480"/>
        <w:jc w:val="both"/>
      </w:pPr>
      <w:r>
        <w:rPr>
          <w:rFonts w:ascii="Times New Roman" w:hAnsi="Times New Roman" w:eastAsia="宋体"/>
          <w:b w:val="0"/>
          <w:sz w:val="21"/>
        </w:rPr>
        <w:t>[22] GUO C, PLEISS G, SUN Y, et al., 2017. On calibration of modern neural networks [C] // International Conference on Machine Learning: 1321-1330.</w:t>
      </w:r>
    </w:p>
    <w:p w14:paraId="3FFC85B0">
      <w:pPr>
        <w:spacing w:after="40" w:line="300" w:lineRule="auto"/>
        <w:ind w:left="480" w:hanging="480"/>
        <w:jc w:val="both"/>
      </w:pPr>
      <w:r>
        <w:rPr>
          <w:rFonts w:ascii="Times New Roman" w:hAnsi="Times New Roman" w:eastAsia="宋体"/>
          <w:b w:val="0"/>
          <w:sz w:val="21"/>
        </w:rPr>
        <w:t>[23] ANGELOPOULOS A N, BATES S, 2021. A gentle introduction to conformal prediction and distribution-free uncertainty quantification [EB/OL]. arXiv: 2107.07511.</w:t>
      </w:r>
    </w:p>
    <w:p w14:paraId="4186B462">
      <w:pPr>
        <w:spacing w:after="40" w:line="300" w:lineRule="auto"/>
        <w:ind w:left="480" w:hanging="480"/>
        <w:jc w:val="both"/>
      </w:pPr>
      <w:r>
        <w:rPr>
          <w:rFonts w:ascii="Times New Roman" w:hAnsi="Times New Roman" w:eastAsia="宋体"/>
          <w:b w:val="0"/>
          <w:sz w:val="21"/>
        </w:rPr>
        <w:t>[24] HARDT M, PRICE E, SREBRO N, 2016. Equality of opportunity in supervised learning [C] // Advances in Neural Information Processing Systems: 3315-3323.</w:t>
      </w:r>
    </w:p>
    <w:p w14:paraId="756005DD">
      <w:pPr>
        <w:spacing w:after="40" w:line="300" w:lineRule="auto"/>
        <w:ind w:left="480" w:hanging="480"/>
        <w:jc w:val="both"/>
      </w:pPr>
      <w:r>
        <w:rPr>
          <w:rFonts w:ascii="Times New Roman" w:hAnsi="Times New Roman" w:eastAsia="宋体"/>
          <w:b w:val="0"/>
          <w:sz w:val="21"/>
        </w:rPr>
        <w:t>[25] OBERMEYER Z, POWERS B, VOGELI C, et al., 2019. Dissecting racial bias in an algorithm used to manage the health of populations [J]. Science, 366(6464): 447-453.</w:t>
      </w:r>
    </w:p>
    <w:p w14:paraId="6D66ECAE">
      <w:pPr>
        <w:spacing w:after="40" w:line="300" w:lineRule="auto"/>
        <w:ind w:left="480" w:hanging="480"/>
        <w:jc w:val="both"/>
      </w:pPr>
      <w:r>
        <w:rPr>
          <w:rFonts w:ascii="Times New Roman" w:hAnsi="Times New Roman" w:eastAsia="宋体"/>
          <w:b w:val="0"/>
          <w:sz w:val="21"/>
        </w:rPr>
        <w:t>[26] RIBEIRO M T, SINGH S, GUESTRIN C, 2016. Why should I trust you? Explaining the predictions of any classifier [C] // ACM SIGKDD International Conference on Knowledge Discovery and Data Mining: 1135-1144.</w:t>
      </w:r>
    </w:p>
    <w:p w14:paraId="400A1B2D">
      <w:pPr>
        <w:spacing w:after="40" w:line="300" w:lineRule="auto"/>
        <w:ind w:left="480" w:hanging="480"/>
        <w:jc w:val="both"/>
      </w:pPr>
      <w:r>
        <w:rPr>
          <w:rFonts w:ascii="Times New Roman" w:hAnsi="Times New Roman" w:eastAsia="宋体"/>
          <w:b w:val="0"/>
          <w:sz w:val="21"/>
        </w:rPr>
        <w:t>[27] LUNDBERG S M, LEE S I, 2017. A unified approach to interpreting model predictions [C] // Advances in Neural Information Processing Systems: 4765-4774.</w:t>
      </w:r>
    </w:p>
    <w:p w14:paraId="696CB804">
      <w:pPr>
        <w:spacing w:after="40" w:line="300" w:lineRule="auto"/>
        <w:ind w:left="480" w:hanging="480"/>
        <w:jc w:val="both"/>
      </w:pPr>
      <w:r>
        <w:rPr>
          <w:rFonts w:ascii="Times New Roman" w:hAnsi="Times New Roman" w:eastAsia="宋体"/>
          <w:b w:val="0"/>
          <w:sz w:val="21"/>
        </w:rPr>
        <w:t>[28] SUNDARARAJAN M, TALY A, YAN Q, 2017. Axiomatic attribution for deep networks [C] // International Conference on Machine Learning: 3319-3328.</w:t>
      </w:r>
    </w:p>
    <w:p w14:paraId="642B9372">
      <w:pPr>
        <w:spacing w:after="40" w:line="300" w:lineRule="auto"/>
        <w:ind w:left="480" w:hanging="480"/>
        <w:jc w:val="both"/>
      </w:pPr>
      <w:r>
        <w:rPr>
          <w:rFonts w:ascii="Times New Roman" w:hAnsi="Times New Roman" w:eastAsia="宋体"/>
          <w:b w:val="0"/>
          <w:sz w:val="21"/>
        </w:rPr>
        <w:t>[29] SELVARAJU R R, COGSWELL M, DAS A, et al., 2017. Grad-CAM: visual explanations from deep networks via gradient-based localization [C] // IEEE International Conference on Computer Vision: 618-626.</w:t>
      </w:r>
    </w:p>
    <w:p w14:paraId="63D435F0">
      <w:pPr>
        <w:spacing w:after="40" w:line="300" w:lineRule="auto"/>
        <w:ind w:left="480" w:hanging="480"/>
        <w:jc w:val="both"/>
      </w:pPr>
      <w:r>
        <w:rPr>
          <w:rFonts w:ascii="Times New Roman" w:hAnsi="Times New Roman" w:eastAsia="宋体"/>
          <w:b w:val="0"/>
          <w:sz w:val="21"/>
        </w:rPr>
        <w:t>[30] KIM B, WATTENBERG M, GILMER J, et al., 2018. Interpretability beyond feature attribution: quantitative testing with concept activation vectors (TCAV) [C] // International Conference on Machine Learning: 2668-2677.</w:t>
      </w:r>
    </w:p>
    <w:p w14:paraId="3A345CAB">
      <w:pPr>
        <w:spacing w:after="40" w:line="300" w:lineRule="auto"/>
        <w:ind w:left="480" w:hanging="480"/>
        <w:jc w:val="both"/>
      </w:pPr>
      <w:r>
        <w:rPr>
          <w:rFonts w:ascii="Times New Roman" w:hAnsi="Times New Roman" w:eastAsia="宋体"/>
          <w:b w:val="0"/>
          <w:sz w:val="21"/>
        </w:rPr>
        <w:t>[31] KOH P W, NGUYEN T, TANG Y S, et al., 2020. Concept bottleneck models [C] // International Conference on Machine Learning: 5338-5348.</w:t>
      </w:r>
    </w:p>
    <w:p w14:paraId="4D39FF88">
      <w:pPr>
        <w:spacing w:after="40" w:line="300" w:lineRule="auto"/>
        <w:ind w:left="480" w:hanging="480"/>
        <w:jc w:val="both"/>
      </w:pPr>
      <w:r>
        <w:rPr>
          <w:rFonts w:ascii="Times New Roman" w:hAnsi="Times New Roman" w:eastAsia="宋体"/>
          <w:b w:val="0"/>
          <w:sz w:val="21"/>
        </w:rPr>
        <w:t>[32] CHEN C, LI O, TAO D, et al., 2019. This looks like that: deep learning for interpretable image recognition [C] // Advances in Neural Information Processing Systems: 8928-8939.</w:t>
      </w:r>
    </w:p>
    <w:p w14:paraId="3237A4C2">
      <w:pPr>
        <w:spacing w:after="40" w:line="300" w:lineRule="auto"/>
        <w:ind w:left="480" w:hanging="480"/>
        <w:jc w:val="both"/>
      </w:pPr>
      <w:r>
        <w:rPr>
          <w:rFonts w:ascii="Times New Roman" w:hAnsi="Times New Roman" w:eastAsia="宋体"/>
          <w:b w:val="0"/>
          <w:sz w:val="21"/>
        </w:rPr>
        <w:t>[33] WACHTER S, MITTELSTADT B, RUSSELL C, 2017. Counterfactual explanations without opening the black box: automated decisions and the GDPR [J]. Harvard Journal of Law &amp; Technology, 31(2): 841-887.</w:t>
      </w:r>
    </w:p>
    <w:p w14:paraId="4495B38D">
      <w:pPr>
        <w:spacing w:after="40" w:line="300" w:lineRule="auto"/>
        <w:ind w:left="480" w:hanging="480"/>
        <w:jc w:val="both"/>
      </w:pPr>
      <w:r>
        <w:rPr>
          <w:rFonts w:ascii="Times New Roman" w:hAnsi="Times New Roman" w:eastAsia="宋体"/>
          <w:b w:val="0"/>
          <w:sz w:val="21"/>
        </w:rPr>
        <w:t>[34] MOTHILAL R K, SHARMA A, TAN C, 2020. Explaining machine learning classifiers through diverse counterfactual explanations [C] // Conference on Fairness, Accountability, and Transparency: 607-617.</w:t>
      </w:r>
    </w:p>
    <w:p w14:paraId="03EFC0A1">
      <w:pPr>
        <w:spacing w:after="40" w:line="300" w:lineRule="auto"/>
        <w:ind w:left="480" w:hanging="480"/>
        <w:jc w:val="both"/>
      </w:pPr>
      <w:r>
        <w:rPr>
          <w:rFonts w:ascii="Times New Roman" w:hAnsi="Times New Roman" w:eastAsia="宋体"/>
          <w:b w:val="0"/>
          <w:sz w:val="21"/>
        </w:rPr>
        <w:t>[35] RIBEIRO M T, SINGH S, GUESTRIN C, 2018. Anchors: high-precision model-agnostic explanations [C] // AAAI Conference on Artificial Intelligence: 1527-1535.</w:t>
      </w:r>
    </w:p>
    <w:p w14:paraId="25172A79">
      <w:pPr>
        <w:spacing w:after="40" w:line="300" w:lineRule="auto"/>
        <w:ind w:left="480" w:hanging="480"/>
        <w:jc w:val="both"/>
      </w:pPr>
      <w:r>
        <w:rPr>
          <w:rFonts w:ascii="Times New Roman" w:hAnsi="Times New Roman" w:eastAsia="宋体"/>
          <w:b w:val="0"/>
          <w:sz w:val="21"/>
        </w:rPr>
        <w:t>[36] KOH P W, LIANG P, 2017. Understanding black-box predictions via influence functions [C] // International Conference on Machine Learning: 1885-1894.</w:t>
      </w:r>
    </w:p>
    <w:p w14:paraId="16996B93">
      <w:pPr>
        <w:spacing w:after="40" w:line="300" w:lineRule="auto"/>
        <w:ind w:left="480" w:hanging="480"/>
        <w:jc w:val="both"/>
      </w:pPr>
      <w:r>
        <w:rPr>
          <w:rFonts w:ascii="Times New Roman" w:hAnsi="Times New Roman" w:eastAsia="宋体"/>
          <w:b w:val="0"/>
          <w:sz w:val="21"/>
        </w:rPr>
        <w:t>[37] PEARL J, 2009. Causality: models, reasoning, and inference [M]. 2nd ed. Cambridge: Cambridge University Press.</w:t>
      </w:r>
    </w:p>
    <w:p w14:paraId="0CFA599D">
      <w:pPr>
        <w:spacing w:after="40" w:line="300" w:lineRule="auto"/>
        <w:ind w:left="480" w:hanging="480"/>
        <w:jc w:val="both"/>
      </w:pPr>
      <w:r>
        <w:rPr>
          <w:rFonts w:ascii="Times New Roman" w:hAnsi="Times New Roman" w:eastAsia="宋体"/>
          <w:b w:val="0"/>
          <w:sz w:val="21"/>
        </w:rPr>
        <w:t>[38] RUBIN D B, 1974. Estimating causal effects of treatments in randomized and nonrandomized studies [J]. Journal of Educational Psychology, 66(5): 688-701.</w:t>
      </w:r>
    </w:p>
    <w:p w14:paraId="4B98A06E">
      <w:pPr>
        <w:spacing w:after="40" w:line="300" w:lineRule="auto"/>
        <w:ind w:left="480" w:hanging="480"/>
        <w:jc w:val="both"/>
      </w:pPr>
      <w:r>
        <w:rPr>
          <w:rFonts w:ascii="Times New Roman" w:hAnsi="Times New Roman" w:eastAsia="宋体"/>
          <w:b w:val="0"/>
          <w:sz w:val="21"/>
        </w:rPr>
        <w:t>[39] CHERNOZHUKOV V, CHETVERIKOV D, DEMIRER M, et al., 2018. Double/debiased machine learning for treatment and structural parameters [J]. The Econometrics Journal, 21(1): C1-C68.</w:t>
      </w:r>
    </w:p>
    <w:p w14:paraId="71D31E63">
      <w:pPr>
        <w:spacing w:after="40" w:line="300" w:lineRule="auto"/>
        <w:ind w:left="480" w:hanging="480"/>
        <w:jc w:val="both"/>
      </w:pPr>
      <w:r>
        <w:rPr>
          <w:rFonts w:ascii="Times New Roman" w:hAnsi="Times New Roman" w:eastAsia="宋体"/>
          <w:b w:val="0"/>
          <w:sz w:val="21"/>
        </w:rPr>
        <w:t>[40] WAGER S, ATHEY S, 2018. Estimation and inference of heterogeneous treatment effects using random forests [J]. Journal of the American Statistical Association, 113(523): 1228-1242.</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FDBC16A-0003-42BE-8DA3-DE1F1E98043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embedRegular r:id="rId2" w:fontKey="{5CCC7BCA-54E0-4607-9596-50911442E9B2}"/>
  </w:font>
  <w:font w:name="KaTeX_Math">
    <w:altName w:val="Segoe Print"/>
    <w:panose1 w:val="00000000000000000000"/>
    <w:charset w:val="00"/>
    <w:family w:val="auto"/>
    <w:pitch w:val="default"/>
    <w:sig w:usb0="00000000" w:usb1="00000000" w:usb2="00000000" w:usb3="00000000" w:csb0="00000000" w:csb1="00000000"/>
    <w:embedRegular r:id="rId3" w:fontKey="{37FA2D8E-24F1-4FC6-9617-6FB6542551A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1D5D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Ascii" w:hAnsiTheme="majorAscii" w:eastAsiaTheme="majorEastAsia" w:cstheme="majorBidi"/>
      <w:color w:val="000000" w:themeColor="text1"/>
      <w:szCs w:val="24"/>
      <w14:textFill>
        <w14:solidFill>
          <w14:schemeClr w14:val="tx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r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Ascii" w:hAnsiTheme="majorAscii" w:eastAsiaTheme="majorEastAsia" w:cstheme="majorBidi"/>
      <w:color w:val="000000" w:themeColor="text1"/>
      <w:szCs w:val="24"/>
      <w14:textFill>
        <w14:solidFill>
          <w14:schemeClr w14:val="tx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11087</Words>
  <Characters>11629</Characters>
  <Lines>0</Lines>
  <Paragraphs>0</Paragraphs>
  <TotalTime>235</TotalTime>
  <ScaleCrop>false</ScaleCrop>
  <LinksUpToDate>false</LinksUpToDate>
  <CharactersWithSpaces>11694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zhuzhu</cp:lastModifiedBy>
  <dcterms:modified xsi:type="dcterms:W3CDTF">2026-06-23T08:17:04Z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eyJoZGlkIjoiZThiMjczMWFlOTBlMmU1M2QxMjJjNTA2OGU1MDMyZDEiLCJ1c2VySWQiOiIzMDA4NTg3MjIifQ==</vt:lpwstr>
  </property>
  <property fmtid="{D5CDD505-2E9C-101B-9397-08002B2CF9AE}" pid="3" name="KSOProductBuildVer">
    <vt:lpwstr>2052-12.1.0.26895</vt:lpwstr>
  </property>
  <property fmtid="{D5CDD505-2E9C-101B-9397-08002B2CF9AE}" pid="4" name="ICV">
    <vt:lpwstr>B1F26C0F52054D39A75E4A44983B3D21_12</vt:lpwstr>
  </property>
</Properties>
</file>