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0324F">
      <w:pPr>
        <w:pStyle w:val="2"/>
        <w:widowControl/>
        <w:spacing w:beforeAutospacing="0" w:afterAutospacing="0" w:line="360" w:lineRule="auto"/>
        <w:jc w:val="center"/>
        <w:rPr>
          <w:rFonts w:ascii="宋体-简" w:hAnsi="宋体-简" w:eastAsia="宋体-简" w:cs="黑体"/>
          <w:b w:val="0"/>
          <w:bCs w:val="0"/>
          <w:sz w:val="44"/>
          <w:szCs w:val="44"/>
        </w:rPr>
      </w:pPr>
      <w:r>
        <w:rPr>
          <w:rFonts w:ascii="宋体-简" w:hAnsi="宋体-简" w:eastAsia="宋体-简" w:cs="黑体"/>
          <w:b w:val="0"/>
          <w:bCs w:val="0"/>
          <w:sz w:val="44"/>
          <w:szCs w:val="44"/>
        </w:rPr>
        <w:t>中医药期刊特色栏目</w:t>
      </w:r>
      <w:r>
        <w:rPr>
          <w:rFonts w:ascii="宋体-简" w:hAnsi="宋体-简" w:eastAsia="宋体-简" w:cs="黑体"/>
          <w:b w:val="0"/>
          <w:bCs w:val="0"/>
          <w:color w:val="0000FF"/>
          <w:sz w:val="44"/>
          <w:szCs w:val="44"/>
          <w:highlight w:val="none"/>
        </w:rPr>
        <w:t>评价</w:t>
      </w:r>
      <w:r>
        <w:rPr>
          <w:rFonts w:ascii="宋体-简" w:hAnsi="宋体-简" w:eastAsia="宋体-简" w:cs="黑体"/>
          <w:b w:val="0"/>
          <w:bCs w:val="0"/>
          <w:sz w:val="44"/>
          <w:szCs w:val="44"/>
        </w:rPr>
        <w:t>工作方案</w:t>
      </w:r>
    </w:p>
    <w:p w14:paraId="1131D631">
      <w:pPr>
        <w:rPr>
          <w:rFonts w:hint="default"/>
        </w:rPr>
      </w:pPr>
    </w:p>
    <w:p w14:paraId="2C36E973">
      <w:pPr>
        <w:spacing w:line="360" w:lineRule="auto"/>
        <w:rPr>
          <w:rFonts w:hint="eastAsia" w:ascii="仿宋" w:hAnsi="仿宋" w:eastAsia="仿宋"/>
          <w:color w:val="0000FF"/>
          <w:lang w:val="en-US" w:eastAsia="zh-CN"/>
        </w:rPr>
      </w:pPr>
      <w:r>
        <w:rPr>
          <w:rFonts w:hint="eastAsia" w:ascii="仿宋" w:hAnsi="仿宋" w:eastAsia="仿宋"/>
          <w:color w:val="0000FF"/>
          <w:lang w:val="en-US" w:eastAsia="zh-CN"/>
        </w:rPr>
        <w:t>待确认问题：</w:t>
      </w:r>
    </w:p>
    <w:p w14:paraId="590A151B">
      <w:pPr>
        <w:numPr>
          <w:ilvl w:val="0"/>
          <w:numId w:val="1"/>
        </w:numPr>
        <w:spacing w:line="360" w:lineRule="auto"/>
        <w:rPr>
          <w:rFonts w:hint="eastAsia" w:ascii="仿宋" w:hAnsi="仿宋" w:eastAsia="仿宋"/>
          <w:color w:val="0000FF"/>
          <w:lang w:val="en-US" w:eastAsia="zh-CN"/>
        </w:rPr>
      </w:pPr>
      <w:r>
        <w:rPr>
          <w:rFonts w:hint="eastAsia" w:ascii="仿宋" w:hAnsi="仿宋" w:eastAsia="仿宋"/>
          <w:color w:val="0000FF"/>
          <w:lang w:val="en-US" w:eastAsia="zh-CN"/>
        </w:rPr>
        <w:t>项目名称</w:t>
      </w:r>
    </w:p>
    <w:p w14:paraId="782CD4F4">
      <w:pPr>
        <w:numPr>
          <w:ilvl w:val="0"/>
          <w:numId w:val="1"/>
        </w:numPr>
        <w:spacing w:line="360" w:lineRule="auto"/>
        <w:rPr>
          <w:rFonts w:hint="default" w:ascii="仿宋" w:hAnsi="仿宋" w:eastAsia="仿宋"/>
          <w:color w:val="0000FF"/>
          <w:lang w:val="en-US" w:eastAsia="zh-CN"/>
        </w:rPr>
      </w:pPr>
      <w:r>
        <w:rPr>
          <w:rFonts w:hint="eastAsia" w:ascii="仿宋" w:hAnsi="仿宋" w:eastAsia="仿宋"/>
          <w:color w:val="0000FF"/>
          <w:lang w:val="en-US" w:eastAsia="zh-CN"/>
        </w:rPr>
        <w:t>评价范围</w:t>
      </w:r>
    </w:p>
    <w:p w14:paraId="2CE3E48E">
      <w:pPr>
        <w:numPr>
          <w:ilvl w:val="0"/>
          <w:numId w:val="1"/>
        </w:numPr>
        <w:spacing w:line="360" w:lineRule="auto"/>
        <w:rPr>
          <w:rFonts w:hint="default" w:ascii="仿宋" w:hAnsi="仿宋" w:eastAsia="仿宋"/>
          <w:color w:val="0000FF"/>
          <w:lang w:val="en-US" w:eastAsia="zh-CN"/>
        </w:rPr>
      </w:pPr>
      <w:r>
        <w:rPr>
          <w:rFonts w:hint="eastAsia" w:ascii="仿宋" w:hAnsi="仿宋" w:eastAsia="仿宋"/>
          <w:color w:val="0000FF"/>
          <w:lang w:val="en-US" w:eastAsia="zh-CN"/>
        </w:rPr>
        <w:t>评选总量</w:t>
      </w:r>
    </w:p>
    <w:p w14:paraId="390B7404">
      <w:pPr>
        <w:numPr>
          <w:ilvl w:val="0"/>
          <w:numId w:val="1"/>
        </w:numPr>
        <w:spacing w:line="360" w:lineRule="auto"/>
        <w:rPr>
          <w:rFonts w:hint="default" w:ascii="仿宋" w:hAnsi="仿宋" w:eastAsia="仿宋"/>
          <w:color w:val="0000FF"/>
          <w:lang w:val="en-US" w:eastAsia="zh-CN"/>
        </w:rPr>
      </w:pPr>
      <w:r>
        <w:rPr>
          <w:rFonts w:hint="eastAsia" w:ascii="仿宋" w:hAnsi="仿宋" w:eastAsia="仿宋"/>
          <w:color w:val="0000FF"/>
          <w:lang w:val="en-US" w:eastAsia="zh-CN"/>
        </w:rPr>
        <w:t>定性评价各维度权重</w:t>
      </w:r>
    </w:p>
    <w:p w14:paraId="63BAFA48">
      <w:pPr>
        <w:numPr>
          <w:ilvl w:val="0"/>
          <w:numId w:val="1"/>
        </w:numPr>
        <w:spacing w:line="360" w:lineRule="auto"/>
        <w:rPr>
          <w:rFonts w:hint="default" w:ascii="仿宋" w:hAnsi="仿宋" w:eastAsia="仿宋"/>
          <w:color w:val="0000FF"/>
          <w:lang w:val="en-US" w:eastAsia="zh-CN"/>
        </w:rPr>
      </w:pPr>
      <w:r>
        <w:rPr>
          <w:rFonts w:hint="default" w:ascii="仿宋" w:hAnsi="仿宋" w:eastAsia="仿宋"/>
          <w:color w:val="0000FF"/>
          <w:lang w:val="en-US" w:eastAsia="zh-CN"/>
        </w:rPr>
        <w:t>高被引</w:t>
      </w:r>
      <w:r>
        <w:rPr>
          <w:rFonts w:hint="eastAsia" w:ascii="仿宋" w:hAnsi="仿宋" w:eastAsia="仿宋"/>
          <w:color w:val="0000FF"/>
          <w:lang w:val="en-US" w:eastAsia="zh-CN"/>
        </w:rPr>
        <w:t>界定标准</w:t>
      </w:r>
    </w:p>
    <w:p w14:paraId="76F796AF">
      <w:pPr>
        <w:numPr>
          <w:ilvl w:val="0"/>
          <w:numId w:val="1"/>
        </w:numPr>
        <w:spacing w:line="360" w:lineRule="auto"/>
        <w:rPr>
          <w:rFonts w:hint="default" w:ascii="仿宋" w:hAnsi="仿宋" w:eastAsia="仿宋"/>
          <w:color w:val="0000FF"/>
          <w:lang w:val="en-US" w:eastAsia="zh-CN"/>
        </w:rPr>
      </w:pPr>
      <w:r>
        <w:rPr>
          <w:rFonts w:hint="default" w:ascii="仿宋" w:hAnsi="仿宋" w:eastAsia="仿宋"/>
          <w:color w:val="0000FF"/>
          <w:lang w:val="en-US" w:eastAsia="zh-CN"/>
        </w:rPr>
        <w:t>当期栏目发文量</w:t>
      </w:r>
      <w:r>
        <w:rPr>
          <w:rFonts w:hint="eastAsia" w:ascii="仿宋" w:hAnsi="仿宋" w:eastAsia="仿宋"/>
          <w:color w:val="0000FF"/>
          <w:lang w:val="en-US" w:eastAsia="zh-CN"/>
        </w:rPr>
        <w:t>标准</w:t>
      </w:r>
    </w:p>
    <w:p w14:paraId="46546FE7">
      <w:pPr>
        <w:spacing w:line="360" w:lineRule="auto"/>
        <w:rPr>
          <w:rFonts w:ascii="仿宋" w:hAnsi="仿宋" w:eastAsia="仿宋"/>
        </w:rPr>
      </w:pPr>
    </w:p>
    <w:p w14:paraId="51A6B811">
      <w:pPr>
        <w:pStyle w:val="3"/>
        <w:widowControl/>
        <w:spacing w:beforeAutospacing="0" w:afterAutospacing="0" w:line="360" w:lineRule="auto"/>
        <w:ind w:firstLine="560" w:firstLineChars="200"/>
        <w:rPr>
          <w:rFonts w:hint="default" w:ascii="黑体" w:hAnsi="黑体" w:eastAsia="黑体" w:cs="宋体"/>
          <w:b w:val="0"/>
          <w:bCs w:val="0"/>
          <w:sz w:val="28"/>
          <w:szCs w:val="28"/>
        </w:rPr>
      </w:pPr>
      <w:r>
        <w:rPr>
          <w:rFonts w:ascii="黑体" w:hAnsi="黑体" w:eastAsia="黑体" w:cs="宋体"/>
          <w:b w:val="0"/>
          <w:bCs w:val="0"/>
          <w:sz w:val="28"/>
          <w:szCs w:val="28"/>
        </w:rPr>
        <w:t>一、总体设想</w:t>
      </w:r>
    </w:p>
    <w:p w14:paraId="03F05579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（一）评价目标</w:t>
      </w:r>
    </w:p>
    <w:p w14:paraId="49FF9666">
      <w:pPr>
        <w:pStyle w:val="4"/>
        <w:widowControl/>
        <w:spacing w:beforeAutospacing="0" w:afterAutospacing="0" w:line="360" w:lineRule="auto"/>
        <w:ind w:firstLine="560" w:firstLineChars="200"/>
        <w:rPr>
          <w:rFonts w:hint="eastAsia" w:ascii="仿宋" w:hAnsi="仿宋" w:eastAsia="仿宋" w:cs="宋体"/>
          <w:b w:val="0"/>
          <w:bCs w:val="0"/>
          <w:sz w:val="28"/>
          <w:szCs w:val="28"/>
        </w:rPr>
      </w:pPr>
      <w:r>
        <w:rPr>
          <w:rFonts w:hint="eastAsia" w:ascii="仿宋" w:hAnsi="仿宋" w:eastAsia="仿宋" w:cs="宋体"/>
          <w:b w:val="0"/>
          <w:bCs w:val="0"/>
          <w:sz w:val="28"/>
          <w:szCs w:val="28"/>
        </w:rPr>
        <w:t>通过推介具有深厚中医药特色、较高学术与实践价值且拥有稳定读者群的优质栏目，充分发挥评价体系的学术导向作用，引领中医药学科优势发展。旨在</w:t>
      </w:r>
      <w:r>
        <w:rPr>
          <w:rFonts w:ascii="仿宋" w:hAnsi="仿宋" w:eastAsia="仿宋"/>
          <w:b w:val="0"/>
          <w:bCs w:val="0"/>
          <w:sz w:val="28"/>
          <w:szCs w:val="28"/>
        </w:rPr>
        <w:t>为不同类型、不同定位的期刊栏目树立发展典范，提供可借鉴的模式</w:t>
      </w:r>
      <w:r>
        <w:rPr>
          <w:rFonts w:hint="eastAsia" w:ascii="仿宋" w:hAnsi="仿宋" w:eastAsia="仿宋"/>
          <w:b w:val="0"/>
          <w:bCs w:val="0"/>
          <w:sz w:val="28"/>
          <w:szCs w:val="28"/>
        </w:rPr>
        <w:t>；</w:t>
      </w:r>
      <w:r>
        <w:rPr>
          <w:rFonts w:hint="eastAsia" w:ascii="仿宋" w:hAnsi="仿宋" w:eastAsia="仿宋" w:cs="宋体"/>
          <w:b w:val="0"/>
          <w:bCs w:val="0"/>
          <w:sz w:val="28"/>
          <w:szCs w:val="28"/>
        </w:rPr>
        <w:t>激励期刊坚守、深化或开创具有中医药学科特色与自身优势的专栏，避免同质化发展。</w:t>
      </w:r>
    </w:p>
    <w:p w14:paraId="6FEBA124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（二）评价范围</w:t>
      </w:r>
    </w:p>
    <w:p w14:paraId="3D5BBA43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color w:val="0000FF"/>
          <w:sz w:val="28"/>
          <w:szCs w:val="28"/>
        </w:rPr>
        <w:t>国内正式出版的中医药学术期刊栏目</w:t>
      </w:r>
      <w:r>
        <w:rPr>
          <w:rFonts w:hint="eastAsia" w:ascii="仿宋" w:hAnsi="仿宋" w:eastAsia="仿宋" w:cs="宋体"/>
          <w:sz w:val="28"/>
          <w:szCs w:val="28"/>
        </w:rPr>
        <w:t>。</w:t>
      </w:r>
    </w:p>
    <w:p w14:paraId="517B9A6E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（三）评价特点</w:t>
      </w:r>
    </w:p>
    <w:p w14:paraId="583AF742">
      <w:pPr>
        <w:pStyle w:val="4"/>
        <w:widowControl/>
        <w:spacing w:beforeAutospacing="0" w:afterAutospacing="0" w:line="360" w:lineRule="auto"/>
        <w:ind w:firstLine="560" w:firstLineChars="200"/>
        <w:rPr>
          <w:rFonts w:hint="eastAsia" w:ascii="仿宋" w:hAnsi="仿宋" w:eastAsia="仿宋" w:cs="宋体"/>
          <w:b w:val="0"/>
          <w:bCs w:val="0"/>
          <w:sz w:val="28"/>
          <w:szCs w:val="28"/>
        </w:rPr>
      </w:pPr>
      <w:r>
        <w:rPr>
          <w:rFonts w:hint="eastAsia" w:ascii="仿宋" w:hAnsi="仿宋" w:eastAsia="仿宋" w:cs="宋体"/>
          <w:b w:val="0"/>
          <w:bCs w:val="0"/>
          <w:sz w:val="28"/>
          <w:szCs w:val="28"/>
        </w:rPr>
        <w:t>不以期刊自身分级或收录情况作为门槛或直接评判依据，重点关注常规文献计量指标难以充分衡量的特色栏目。</w:t>
      </w:r>
    </w:p>
    <w:p w14:paraId="2012FC5F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（四）实施路径</w:t>
      </w:r>
    </w:p>
    <w:p w14:paraId="5A4AAA3C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为确保工作稳妥、有序，分两个阶段实施。</w:t>
      </w:r>
    </w:p>
    <w:p w14:paraId="2D85A6C3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 xml:space="preserve">1. </w:t>
      </w:r>
      <w:r>
        <w:rPr>
          <w:rFonts w:hint="eastAsia" w:ascii="仿宋" w:hAnsi="仿宋" w:eastAsia="仿宋" w:cs="宋体"/>
          <w:sz w:val="28"/>
          <w:szCs w:val="28"/>
        </w:rPr>
        <w:t>第一阶段：特色栏目</w:t>
      </w:r>
      <w:r>
        <w:rPr>
          <w:rFonts w:ascii="仿宋" w:hAnsi="仿宋" w:eastAsia="仿宋" w:cs="宋体"/>
          <w:sz w:val="28"/>
          <w:szCs w:val="28"/>
        </w:rPr>
        <w:t>遴选与培育</w:t>
      </w:r>
    </w:p>
    <w:p w14:paraId="7B5B433B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以导向性、发展性为原则。形成“中医药期刊特色栏目”名录，不进行等级区分。旨在建立评价机制，发现潜在的特色栏目，形成一定影响力，储备、培育优质特色栏目。</w:t>
      </w:r>
    </w:p>
    <w:p w14:paraId="64AD5C89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 xml:space="preserve">. </w:t>
      </w:r>
      <w:r>
        <w:rPr>
          <w:rFonts w:hint="eastAsia" w:ascii="仿宋" w:hAnsi="仿宋" w:eastAsia="仿宋" w:cs="宋体"/>
          <w:sz w:val="28"/>
          <w:szCs w:val="28"/>
        </w:rPr>
        <w:t>第二阶段：特色栏目评价与定级</w:t>
      </w:r>
    </w:p>
    <w:p w14:paraId="17F2E880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通过对</w:t>
      </w:r>
      <w:r>
        <w:rPr>
          <w:rFonts w:hint="eastAsia" w:ascii="仿宋" w:hAnsi="仿宋" w:eastAsia="仿宋" w:cs="宋体"/>
          <w:sz w:val="28"/>
          <w:szCs w:val="28"/>
        </w:rPr>
        <w:t>“中医药期刊特色栏目”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的培育</w:t>
      </w:r>
      <w:r>
        <w:rPr>
          <w:rFonts w:hint="eastAsia" w:ascii="仿宋" w:hAnsi="仿宋" w:eastAsia="仿宋" w:cs="宋体"/>
          <w:sz w:val="28"/>
          <w:szCs w:val="28"/>
        </w:rPr>
        <w:t>，建立更精细化、更完善的定量+定性评价体系。形成“中医药期刊特色栏目”分类、分级评价结果，并与“中医药科技期刊分级目录”关联，推荐至相关数据库、索引机构，作为特色化检索入口，纳入更综合的评价体系。</w:t>
      </w:r>
    </w:p>
    <w:p w14:paraId="6FC5041B">
      <w:pPr>
        <w:pStyle w:val="3"/>
        <w:widowControl/>
        <w:spacing w:beforeAutospacing="0" w:afterAutospacing="0" w:line="360" w:lineRule="auto"/>
        <w:ind w:firstLine="560" w:firstLineChars="200"/>
        <w:rPr>
          <w:rFonts w:hint="default" w:ascii="黑体" w:hAnsi="黑体" w:eastAsia="黑体" w:cs="宋体"/>
          <w:b w:val="0"/>
          <w:bCs w:val="0"/>
          <w:sz w:val="28"/>
          <w:szCs w:val="28"/>
        </w:rPr>
      </w:pPr>
      <w:r>
        <w:rPr>
          <w:rFonts w:ascii="黑体" w:hAnsi="黑体" w:eastAsia="黑体" w:cs="宋体"/>
          <w:b w:val="0"/>
          <w:bCs w:val="0"/>
          <w:sz w:val="28"/>
          <w:szCs w:val="28"/>
        </w:rPr>
        <w:t>二、第一阶段（特色栏目遴选与培育）工作安排</w:t>
      </w:r>
    </w:p>
    <w:p w14:paraId="743B712C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本阶段核心：流程规范、标准明确、易于参与、重在推广。于2</w:t>
      </w:r>
      <w:r>
        <w:rPr>
          <w:rFonts w:ascii="仿宋" w:hAnsi="仿宋" w:eastAsia="仿宋" w:cs="宋体"/>
          <w:sz w:val="28"/>
          <w:szCs w:val="28"/>
        </w:rPr>
        <w:t>026</w:t>
      </w:r>
      <w:r>
        <w:rPr>
          <w:rFonts w:hint="eastAsia" w:ascii="仿宋" w:hAnsi="仿宋" w:eastAsia="仿宋" w:cs="宋体"/>
          <w:sz w:val="28"/>
          <w:szCs w:val="28"/>
        </w:rPr>
        <w:t>年底前系统完成特色栏目遴选与推广，推介具有示范意义的特色栏目。</w:t>
      </w:r>
    </w:p>
    <w:p w14:paraId="53F4F810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（一）筹备与启动</w:t>
      </w:r>
    </w:p>
    <w:p w14:paraId="1C9330FE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1</w:t>
      </w: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组建工作组与专家组。专家组涵盖中医、中药、中西医结合、针灸、医史文献、管理及期刊出版等领域的资深学者与编辑专家，负责建立评价体系与特色栏目评审工作。</w:t>
      </w:r>
    </w:p>
    <w:p w14:paraId="33C22A80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2.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制定并发布《中医药期刊特色栏目</w:t>
      </w:r>
      <w:r>
        <w:rPr>
          <w:rFonts w:ascii="仿宋" w:hAnsi="仿宋" w:eastAsia="仿宋" w:cs="宋体"/>
          <w:b w:val="0"/>
          <w:bCs w:val="0"/>
          <w:color w:val="0000FF"/>
          <w:sz w:val="28"/>
          <w:szCs w:val="28"/>
          <w:highlight w:val="none"/>
        </w:rPr>
        <w:t>评价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方案（试行）》（附件1），设计“《中医药期刊特色栏目评价申报表》（”（附件2）及《中医药期刊特色栏目评价专家评审表》（待评选方案确定后制定）。</w:t>
      </w:r>
    </w:p>
    <w:p w14:paraId="4EE00BB4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3</w:t>
      </w: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正式发文启动工作，明确宗旨意义、申报条件、工作流程，鼓励各中医药期刊积极开展栏目申报。</w:t>
      </w:r>
    </w:p>
    <w:p w14:paraId="2C6EC99A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（二）期刊申报与数据采集</w:t>
      </w:r>
    </w:p>
    <w:p w14:paraId="045B314D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1.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期刊提交《中医药期刊特色栏目评价申报表》。</w:t>
      </w:r>
    </w:p>
    <w:p w14:paraId="21422ADE">
      <w:pPr>
        <w:pStyle w:val="4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b w:val="0"/>
          <w:bCs w:val="0"/>
          <w:sz w:val="28"/>
          <w:szCs w:val="28"/>
        </w:rPr>
      </w:pP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2.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对申报信息进行形式审查，并补充采集公共数据库中的相关数据。</w:t>
      </w:r>
    </w:p>
    <w:p w14:paraId="57E740AD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</w:t>
      </w: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>1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）栏目运行数据（发文量、持续年限等）；</w:t>
      </w:r>
    </w:p>
    <w:p w14:paraId="0116CC99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</w:t>
      </w: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>2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）栏目所收录文献计量数据（总被引频次、篇均被引频次、</w:t>
      </w:r>
      <w:r>
        <w:rPr>
          <w:rFonts w:ascii="仿宋" w:hAnsi="仿宋" w:eastAsia="仿宋" w:cs="宋体"/>
          <w:b w:val="0"/>
          <w:bCs w:val="0"/>
          <w:sz w:val="28"/>
          <w:szCs w:val="28"/>
          <w:highlight w:val="none"/>
        </w:rPr>
        <w:t>高被引论文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数量或占比、总下载量、篇均下载量、代表性论文被引频次）；</w:t>
      </w:r>
    </w:p>
    <w:p w14:paraId="7BDD5825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（3）学术规范数据（基金论文占比、合作机构情况等）。</w:t>
      </w:r>
    </w:p>
    <w:p w14:paraId="60912072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（三）定量分析与定性评价</w:t>
      </w:r>
    </w:p>
    <w:p w14:paraId="450643AA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1.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根据评选方案进行初筛。</w:t>
      </w:r>
    </w:p>
    <w:p w14:paraId="6576357F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2.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根据评选方案进行定量数据辅助分析。</w:t>
      </w:r>
    </w:p>
    <w:p w14:paraId="36697ED3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3</w:t>
      </w: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将通过</w:t>
      </w:r>
      <w:r>
        <w:rPr>
          <w:rFonts w:ascii="仿宋" w:hAnsi="仿宋" w:eastAsia="仿宋" w:cs="宋体"/>
          <w:b w:val="0"/>
          <w:bCs w:val="0"/>
          <w:sz w:val="28"/>
          <w:szCs w:val="28"/>
          <w:highlight w:val="none"/>
        </w:rPr>
        <w:t>初筛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的栏目材料（附定量数据分析结果）按领域分送3～5位专家进行评价，专家依据《中医药期刊特色栏目评价专家评审表》打分并提供具体建议。</w:t>
      </w:r>
      <w:bookmarkStart w:id="0" w:name="_GoBack"/>
      <w:bookmarkEnd w:id="0"/>
    </w:p>
    <w:p w14:paraId="2EDFED27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（四）会审与名单推介</w:t>
      </w:r>
    </w:p>
    <w:p w14:paraId="6A3E6117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1.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召开专家组会议，结合定量分析与定性评价结果，对栏目进行综合评议和投票。</w:t>
      </w:r>
    </w:p>
    <w:p w14:paraId="7A4379E8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hint="default" w:ascii="仿宋" w:hAnsi="仿宋" w:eastAsia="仿宋" w:cs="宋体"/>
          <w:b w:val="0"/>
          <w:bCs w:val="0"/>
          <w:sz w:val="28"/>
          <w:szCs w:val="28"/>
        </w:rPr>
        <w:t xml:space="preserve">2. 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形成“中医药期刊特色栏目”推介名单（名单数量根据实际申报情况制定：投票超过2/3，原则上不超过申报总数</w:t>
      </w:r>
      <w:r>
        <w:rPr>
          <w:rFonts w:hint="default" w:ascii="仿宋" w:hAnsi="仿宋" w:eastAsia="仿宋" w:cs="宋体"/>
          <w:b w:val="0"/>
          <w:bCs w:val="0"/>
          <w:color w:val="0000FF"/>
          <w:sz w:val="28"/>
          <w:szCs w:val="28"/>
          <w:highlight w:val="none"/>
        </w:rPr>
        <w:t>XX%</w:t>
      </w:r>
      <w:r>
        <w:rPr>
          <w:rFonts w:ascii="仿宋" w:hAnsi="仿宋" w:eastAsia="仿宋" w:cs="宋体"/>
          <w:b w:val="0"/>
          <w:bCs w:val="0"/>
          <w:sz w:val="28"/>
          <w:szCs w:val="28"/>
        </w:rPr>
        <w:t>”，确保质量导向）。</w:t>
      </w:r>
    </w:p>
    <w:p w14:paraId="5D846958">
      <w:pPr>
        <w:pStyle w:val="4"/>
        <w:widowControl/>
        <w:spacing w:beforeAutospacing="0" w:afterAutospacing="0" w:line="360" w:lineRule="auto"/>
        <w:ind w:firstLine="560" w:firstLineChars="200"/>
        <w:rPr>
          <w:rFonts w:hint="default" w:ascii="仿宋" w:hAnsi="仿宋" w:eastAsia="仿宋" w:cs="宋体"/>
          <w:b w:val="0"/>
          <w:bCs w:val="0"/>
          <w:sz w:val="28"/>
          <w:szCs w:val="28"/>
        </w:rPr>
      </w:pPr>
      <w:r>
        <w:rPr>
          <w:rFonts w:ascii="仿宋" w:hAnsi="仿宋" w:eastAsia="仿宋" w:cs="宋体"/>
          <w:b w:val="0"/>
          <w:bCs w:val="0"/>
          <w:sz w:val="28"/>
          <w:szCs w:val="28"/>
        </w:rPr>
        <w:t>（五）结果发布与推广</w:t>
      </w:r>
    </w:p>
    <w:p w14:paraId="01F1BE3C">
      <w:pPr>
        <w:widowControl/>
        <w:numPr>
          <w:ilvl w:val="0"/>
          <w:numId w:val="2"/>
        </w:numPr>
        <w:spacing w:line="360" w:lineRule="auto"/>
        <w:ind w:hanging="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推介栏目设定有效期（与T1、T2同步），实行复评与退出机制。</w:t>
      </w:r>
    </w:p>
    <w:p w14:paraId="3BCA43B7">
      <w:pPr>
        <w:widowControl/>
        <w:numPr>
          <w:ilvl w:val="0"/>
          <w:numId w:val="2"/>
        </w:numPr>
        <w:spacing w:line="360" w:lineRule="auto"/>
        <w:ind w:hanging="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通过行业会议、权威平台公布评价结果。</w:t>
      </w:r>
    </w:p>
    <w:p w14:paraId="599488CA">
      <w:pPr>
        <w:widowControl/>
        <w:numPr>
          <w:ilvl w:val="0"/>
          <w:numId w:val="2"/>
        </w:numPr>
        <w:spacing w:line="360" w:lineRule="auto"/>
        <w:ind w:left="-15" w:firstLine="43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通过公众号等新媒体平台对入选栏目的特色与价值进行推介</w:t>
      </w:r>
      <w:r>
        <w:rPr>
          <w:rFonts w:ascii="仿宋" w:hAnsi="仿宋" w:eastAsia="仿宋" w:cs="宋体"/>
          <w:sz w:val="28"/>
          <w:szCs w:val="28"/>
        </w:rPr>
        <w:t>，提升入选栏目的行业影响力与传播度</w:t>
      </w:r>
      <w:r>
        <w:rPr>
          <w:rFonts w:hint="eastAsia" w:ascii="仿宋" w:hAnsi="仿宋" w:eastAsia="仿宋" w:cs="宋体"/>
          <w:sz w:val="28"/>
          <w:szCs w:val="28"/>
        </w:rPr>
        <w:t>。</w:t>
      </w:r>
    </w:p>
    <w:p w14:paraId="325087E6">
      <w:pPr>
        <w:widowControl/>
        <w:numPr>
          <w:ilvl w:val="0"/>
          <w:numId w:val="2"/>
        </w:numPr>
        <w:spacing w:line="360" w:lineRule="auto"/>
        <w:ind w:hanging="5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开展专题宣传，发挥示范引领作用</w:t>
      </w:r>
      <w:r>
        <w:rPr>
          <w:rFonts w:hint="eastAsia" w:ascii="仿宋" w:hAnsi="仿宋" w:eastAsia="仿宋" w:cs="宋体"/>
          <w:sz w:val="28"/>
          <w:szCs w:val="28"/>
        </w:rPr>
        <w:t>，提升工作覆盖面</w:t>
      </w:r>
      <w:r>
        <w:rPr>
          <w:rFonts w:ascii="仿宋" w:hAnsi="仿宋" w:eastAsia="仿宋" w:cs="宋体"/>
          <w:sz w:val="28"/>
          <w:szCs w:val="28"/>
        </w:rPr>
        <w:t>。</w:t>
      </w:r>
    </w:p>
    <w:p w14:paraId="790E3989">
      <w:pPr>
        <w:widowControl/>
        <w:spacing w:line="360" w:lineRule="auto"/>
        <w:ind w:left="42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（六）后续工作衔接</w:t>
      </w:r>
    </w:p>
    <w:p w14:paraId="31C2358E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第一阶段工作结束后，收集反馈意见，工作组进行总结，形成《中医药期刊特色栏目发展报告》，分析现状、问题与趋势，为第二阶段构建更精细化的“中医药期刊特色栏目评价定级”体系奠定坚实基础。</w:t>
      </w:r>
    </w:p>
    <w:p w14:paraId="583ACBF9">
      <w:pPr>
        <w:widowControl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br w:type="page"/>
      </w:r>
    </w:p>
    <w:p w14:paraId="03E64E35">
      <w:pPr>
        <w:pStyle w:val="4"/>
        <w:widowControl/>
        <w:spacing w:beforeAutospacing="0" w:afterAutospacing="0" w:line="360" w:lineRule="auto"/>
        <w:rPr>
          <w:rFonts w:hint="default" w:ascii="黑体" w:hAnsi="黑体" w:eastAsia="黑体" w:cs="宋体"/>
          <w:b w:val="0"/>
          <w:bCs w:val="0"/>
          <w:sz w:val="28"/>
          <w:szCs w:val="28"/>
        </w:rPr>
      </w:pPr>
      <w:r>
        <w:rPr>
          <w:rFonts w:ascii="黑体" w:hAnsi="黑体" w:eastAsia="黑体" w:cs="宋体"/>
          <w:b w:val="0"/>
          <w:bCs w:val="0"/>
          <w:sz w:val="28"/>
          <w:szCs w:val="28"/>
        </w:rPr>
        <w:t>附件1 中医药期刊特色栏目</w:t>
      </w:r>
      <w:r>
        <w:rPr>
          <w:rFonts w:ascii="黑体" w:hAnsi="黑体" w:eastAsia="黑体" w:cs="宋体"/>
          <w:b w:val="0"/>
          <w:bCs w:val="0"/>
          <w:color w:val="0000FF"/>
          <w:sz w:val="28"/>
          <w:szCs w:val="28"/>
          <w:highlight w:val="none"/>
        </w:rPr>
        <w:t>评价</w:t>
      </w:r>
      <w:r>
        <w:rPr>
          <w:rFonts w:ascii="黑体" w:hAnsi="黑体" w:eastAsia="黑体" w:cs="宋体"/>
          <w:b w:val="0"/>
          <w:bCs w:val="0"/>
          <w:sz w:val="28"/>
          <w:szCs w:val="28"/>
        </w:rPr>
        <w:t>方案（试行）</w:t>
      </w:r>
    </w:p>
    <w:p w14:paraId="41E36801">
      <w:pPr>
        <w:widowControl/>
        <w:numPr>
          <w:ilvl w:val="255"/>
          <w:numId w:val="0"/>
        </w:numPr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（一）参评对象</w:t>
      </w:r>
    </w:p>
    <w:p w14:paraId="3552F065">
      <w:pPr>
        <w:widowControl/>
        <w:numPr>
          <w:ilvl w:val="255"/>
          <w:numId w:val="0"/>
        </w:numPr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国内正式出版的中医药学术期刊栏目，语种不限。</w:t>
      </w:r>
    </w:p>
    <w:p w14:paraId="36100878">
      <w:pPr>
        <w:widowControl/>
        <w:numPr>
          <w:ilvl w:val="255"/>
          <w:numId w:val="0"/>
        </w:numPr>
        <w:tabs>
          <w:tab w:val="left" w:pos="6118"/>
        </w:tabs>
        <w:spacing w:line="360" w:lineRule="auto"/>
        <w:ind w:firstLine="420" w:firstLineChars="15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（二）遴选流程</w:t>
      </w:r>
    </w:p>
    <w:p w14:paraId="4119801C">
      <w:pPr>
        <w:widowControl/>
        <w:numPr>
          <w:ilvl w:val="255"/>
          <w:numId w:val="0"/>
        </w:numPr>
        <w:tabs>
          <w:tab w:val="left" w:pos="6118"/>
        </w:tabs>
        <w:spacing w:line="360" w:lineRule="auto"/>
        <w:ind w:firstLine="420" w:firstLineChars="150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1.</w:t>
      </w:r>
      <w:r>
        <w:rPr>
          <w:rFonts w:hint="eastAsia" w:ascii="仿宋" w:hAnsi="仿宋" w:eastAsia="仿宋" w:cs="宋体"/>
          <w:sz w:val="28"/>
          <w:szCs w:val="28"/>
        </w:rPr>
        <w:t xml:space="preserve"> 初筛（形式审查）</w:t>
      </w:r>
    </w:p>
    <w:p w14:paraId="0A54887E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参评</w:t>
      </w:r>
      <w:r>
        <w:rPr>
          <w:rFonts w:hint="eastAsia" w:ascii="仿宋" w:hAnsi="仿宋" w:eastAsia="仿宋" w:cs="宋体"/>
          <w:sz w:val="28"/>
          <w:szCs w:val="28"/>
          <w:highlight w:val="none"/>
        </w:rPr>
        <w:t>栏目</w:t>
      </w:r>
      <w:r>
        <w:rPr>
          <w:rFonts w:hint="eastAsia" w:ascii="仿宋" w:hAnsi="仿宋" w:eastAsia="仿宋" w:cs="宋体"/>
          <w:sz w:val="28"/>
          <w:szCs w:val="28"/>
        </w:rPr>
        <w:t>需满足以下条件：</w:t>
      </w:r>
    </w:p>
    <w:p w14:paraId="680506D6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（1）期刊出版导向正确，</w:t>
      </w:r>
      <w:r>
        <w:rPr>
          <w:rFonts w:ascii="仿宋" w:hAnsi="仿宋" w:eastAsia="仿宋" w:cs="宋体"/>
          <w:sz w:val="28"/>
          <w:szCs w:val="28"/>
        </w:rPr>
        <w:t>符合国家</w:t>
      </w:r>
      <w:r>
        <w:rPr>
          <w:rFonts w:hint="eastAsia" w:ascii="仿宋" w:hAnsi="仿宋" w:eastAsia="仿宋" w:cs="宋体"/>
          <w:sz w:val="28"/>
          <w:szCs w:val="28"/>
        </w:rPr>
        <w:t>《出版管理条例》及相关法律法规要求</w:t>
      </w:r>
      <w:r>
        <w:rPr>
          <w:rFonts w:ascii="仿宋" w:hAnsi="仿宋" w:eastAsia="仿宋" w:cs="宋体"/>
          <w:sz w:val="28"/>
          <w:szCs w:val="28"/>
        </w:rPr>
        <w:t>。</w:t>
      </w:r>
    </w:p>
    <w:p w14:paraId="53E90553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ascii="仿宋" w:hAnsi="仿宋" w:eastAsia="仿宋" w:cs="宋体"/>
          <w:sz w:val="28"/>
          <w:szCs w:val="28"/>
        </w:rPr>
        <w:t>2）</w:t>
      </w:r>
      <w:r>
        <w:rPr>
          <w:rFonts w:hint="eastAsia" w:ascii="仿宋" w:hAnsi="仿宋" w:eastAsia="仿宋" w:cs="宋体"/>
          <w:sz w:val="28"/>
          <w:szCs w:val="28"/>
        </w:rPr>
        <w:t>稿件符合科研诚信规则与出版伦理规范，无</w:t>
      </w:r>
      <w:r>
        <w:rPr>
          <w:rFonts w:hint="eastAsia" w:ascii="仿宋" w:hAnsi="仿宋" w:eastAsia="仿宋" w:cs="宋体"/>
          <w:kern w:val="2"/>
          <w:sz w:val="28"/>
          <w:szCs w:val="28"/>
          <w:lang w:bidi="ar"/>
        </w:rPr>
        <w:t>学术不端等违规问题。</w:t>
      </w:r>
    </w:p>
    <w:p w14:paraId="23E4415F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ascii="仿宋" w:hAnsi="仿宋" w:eastAsia="仿宋" w:cs="宋体"/>
          <w:sz w:val="28"/>
          <w:szCs w:val="28"/>
        </w:rPr>
        <w:t>3</w:t>
      </w:r>
      <w:r>
        <w:rPr>
          <w:rFonts w:hint="eastAsia" w:ascii="仿宋" w:hAnsi="仿宋" w:eastAsia="仿宋" w:cs="宋体"/>
          <w:sz w:val="28"/>
          <w:szCs w:val="28"/>
        </w:rPr>
        <w:t>）栏目</w:t>
      </w:r>
      <w:r>
        <w:rPr>
          <w:rFonts w:ascii="仿宋" w:hAnsi="仿宋" w:eastAsia="仿宋"/>
          <w:sz w:val="28"/>
          <w:szCs w:val="28"/>
        </w:rPr>
        <w:t>具有明确学术研究属性</w:t>
      </w:r>
      <w:r>
        <w:rPr>
          <w:rFonts w:hint="eastAsia" w:ascii="仿宋" w:hAnsi="仿宋" w:eastAsia="仿宋" w:cs="宋体"/>
          <w:sz w:val="28"/>
          <w:szCs w:val="28"/>
        </w:rPr>
        <w:t>及</w:t>
      </w:r>
      <w:r>
        <w:rPr>
          <w:rFonts w:ascii="仿宋" w:hAnsi="仿宋" w:eastAsia="仿宋" w:cs="宋体"/>
          <w:sz w:val="28"/>
          <w:szCs w:val="28"/>
        </w:rPr>
        <w:t>中医药特色内容定位。</w:t>
      </w:r>
    </w:p>
    <w:p w14:paraId="260847CE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宋体"/>
          <w:sz w:val="28"/>
          <w:szCs w:val="28"/>
        </w:rPr>
        <w:t>）栏目名称固定，且</w:t>
      </w:r>
      <w:r>
        <w:rPr>
          <w:rFonts w:ascii="仿宋" w:hAnsi="仿宋" w:eastAsia="仿宋" w:cs="宋体"/>
          <w:sz w:val="28"/>
          <w:szCs w:val="28"/>
        </w:rPr>
        <w:t>在期刊目录中规范呈现</w:t>
      </w:r>
      <w:r>
        <w:rPr>
          <w:rFonts w:hint="eastAsia" w:ascii="仿宋" w:hAnsi="仿宋" w:eastAsia="仿宋" w:cs="宋体"/>
          <w:sz w:val="28"/>
          <w:szCs w:val="28"/>
        </w:rPr>
        <w:t>；若确有名称调整，需保证名称相近，且栏目核心研究方向始终稳定，无根本性偏移。</w:t>
      </w:r>
    </w:p>
    <w:p w14:paraId="26B77F2E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（5）近3年（2</w:t>
      </w:r>
      <w:r>
        <w:rPr>
          <w:rFonts w:ascii="仿宋" w:hAnsi="仿宋" w:eastAsia="仿宋" w:cs="宋体"/>
          <w:sz w:val="28"/>
          <w:szCs w:val="28"/>
        </w:rPr>
        <w:t>022—2024</w:t>
      </w:r>
      <w:r>
        <w:rPr>
          <w:rFonts w:hint="eastAsia" w:ascii="仿宋" w:hAnsi="仿宋" w:eastAsia="仿宋" w:cs="宋体"/>
          <w:sz w:val="28"/>
          <w:szCs w:val="28"/>
        </w:rPr>
        <w:t>年）内</w:t>
      </w:r>
      <w:r>
        <w:rPr>
          <w:rFonts w:ascii="仿宋" w:hAnsi="仿宋" w:eastAsia="仿宋" w:cs="宋体"/>
          <w:sz w:val="28"/>
          <w:szCs w:val="28"/>
        </w:rPr>
        <w:t>栏目发文量相对稳定</w:t>
      </w:r>
      <w:r>
        <w:rPr>
          <w:rFonts w:hint="eastAsia" w:ascii="仿宋" w:hAnsi="仿宋" w:eastAsia="仿宋" w:cs="宋体"/>
          <w:sz w:val="28"/>
          <w:szCs w:val="28"/>
        </w:rPr>
        <w:t>，</w:t>
      </w:r>
      <w:r>
        <w:rPr>
          <w:rFonts w:ascii="仿宋" w:hAnsi="仿宋" w:eastAsia="仿宋" w:cs="宋体"/>
          <w:sz w:val="28"/>
          <w:szCs w:val="28"/>
        </w:rPr>
        <w:t>原则上</w:t>
      </w:r>
      <w:r>
        <w:rPr>
          <w:rFonts w:hint="eastAsia" w:ascii="仿宋" w:hAnsi="仿宋" w:eastAsia="仿宋" w:cs="宋体"/>
          <w:sz w:val="28"/>
          <w:szCs w:val="28"/>
        </w:rPr>
        <w:t>需满足以下任一标准：当期栏目发文量占总发文量的比例≥3%，或平均每年发文量≥10篇。</w:t>
      </w:r>
    </w:p>
    <w:p w14:paraId="6896DD47">
      <w:pPr>
        <w:pStyle w:val="8"/>
        <w:widowControl/>
        <w:spacing w:beforeAutospacing="0" w:afterAutospacing="0"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（6）提供材料完整、真实</w:t>
      </w:r>
      <w:r>
        <w:rPr>
          <w:rFonts w:ascii="仿宋" w:hAnsi="仿宋" w:eastAsia="仿宋" w:cs="宋体"/>
          <w:sz w:val="28"/>
          <w:szCs w:val="28"/>
        </w:rPr>
        <w:t>，可支撑相关评价指标计算</w:t>
      </w:r>
      <w:r>
        <w:rPr>
          <w:rFonts w:hint="eastAsia" w:ascii="仿宋" w:hAnsi="仿宋" w:eastAsia="仿宋" w:cs="宋体"/>
          <w:sz w:val="28"/>
          <w:szCs w:val="28"/>
        </w:rPr>
        <w:t>，无虚假、缺失信息。</w:t>
      </w:r>
    </w:p>
    <w:p w14:paraId="24034DDB">
      <w:pPr>
        <w:widowControl/>
        <w:spacing w:line="360" w:lineRule="auto"/>
        <w:ind w:firstLine="560" w:firstLineChars="200"/>
        <w:jc w:val="left"/>
        <w:rPr>
          <w:rFonts w:ascii="仿宋" w:hAnsi="仿宋" w:eastAsia="仿宋" w:cs="宋体"/>
          <w:sz w:val="28"/>
          <w:szCs w:val="28"/>
          <w:lang w:bidi="ar"/>
        </w:rPr>
      </w:pPr>
    </w:p>
    <w:p w14:paraId="088EEFCD">
      <w:pPr>
        <w:widowControl/>
        <w:spacing w:line="360" w:lineRule="auto"/>
        <w:ind w:firstLine="560" w:firstLineChars="200"/>
        <w:jc w:val="left"/>
        <w:rPr>
          <w:rFonts w:ascii="仿宋" w:hAnsi="仿宋" w:eastAsia="仿宋" w:cs="宋体"/>
          <w:sz w:val="28"/>
          <w:szCs w:val="28"/>
          <w:lang w:bidi="ar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 xml:space="preserve">. </w:t>
      </w:r>
      <w:r>
        <w:rPr>
          <w:rFonts w:hint="eastAsia" w:ascii="仿宋" w:hAnsi="仿宋" w:eastAsia="仿宋" w:cs="宋体"/>
          <w:sz w:val="28"/>
          <w:szCs w:val="28"/>
        </w:rPr>
        <w:t>定量数据辅助分析</w:t>
      </w:r>
    </w:p>
    <w:p w14:paraId="6E9239C7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定量评价以</w:t>
      </w:r>
      <w:r>
        <w:rPr>
          <w:rFonts w:hint="eastAsia" w:ascii="仿宋" w:hAnsi="仿宋" w:eastAsia="仿宋" w:cs="宋体"/>
          <w:sz w:val="28"/>
          <w:szCs w:val="28"/>
        </w:rPr>
        <w:t>2023—2025统计年</w:t>
      </w:r>
      <w:r>
        <w:rPr>
          <w:rStyle w:val="13"/>
          <w:rFonts w:ascii="仿宋" w:hAnsi="仿宋" w:eastAsia="仿宋" w:cs="宋体"/>
          <w:b w:val="0"/>
          <w:bCs/>
          <w:sz w:val="28"/>
          <w:szCs w:val="28"/>
        </w:rPr>
        <w:t>数据</w:t>
      </w:r>
      <w:r>
        <w:rPr>
          <w:rFonts w:ascii="仿宋" w:hAnsi="仿宋" w:eastAsia="仿宋" w:cs="宋体"/>
          <w:sz w:val="28"/>
          <w:szCs w:val="28"/>
        </w:rPr>
        <w:t>为基础，不作为</w:t>
      </w:r>
      <w:r>
        <w:rPr>
          <w:rFonts w:hint="eastAsia" w:ascii="仿宋" w:hAnsi="仿宋" w:eastAsia="仿宋" w:cs="宋体"/>
          <w:sz w:val="28"/>
          <w:szCs w:val="28"/>
          <w:highlight w:val="none"/>
        </w:rPr>
        <w:t>直接评价依</w:t>
      </w:r>
      <w:r>
        <w:rPr>
          <w:rFonts w:ascii="仿宋" w:hAnsi="仿宋" w:eastAsia="仿宋" w:cs="宋体"/>
          <w:sz w:val="28"/>
          <w:szCs w:val="28"/>
        </w:rPr>
        <w:t>据。</w:t>
      </w:r>
    </w:p>
    <w:p w14:paraId="7ABF6ADF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（1）学术影响力指标：栏目论文平均被引频次、</w:t>
      </w:r>
      <w:r>
        <w:rPr>
          <w:rFonts w:hint="eastAsia" w:ascii="仿宋" w:hAnsi="仿宋" w:eastAsia="仿宋" w:cs="宋体"/>
          <w:sz w:val="28"/>
          <w:szCs w:val="28"/>
          <w:highlight w:val="none"/>
        </w:rPr>
        <w:t>高被引论文</w:t>
      </w:r>
      <w:r>
        <w:rPr>
          <w:rFonts w:hint="eastAsia" w:ascii="仿宋" w:hAnsi="仿宋" w:eastAsia="仿宋" w:cs="宋体"/>
          <w:sz w:val="28"/>
          <w:szCs w:val="28"/>
        </w:rPr>
        <w:t>占比、篇均下载量。</w:t>
      </w:r>
    </w:p>
    <w:p w14:paraId="1C73D64A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（2）稳定性指标：栏目设立年限、年均发文量及波动系数。</w:t>
      </w:r>
    </w:p>
    <w:p w14:paraId="22F0904E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</w:t>
      </w:r>
      <w:r>
        <w:rPr>
          <w:rFonts w:ascii="仿宋" w:hAnsi="仿宋" w:eastAsia="仿宋" w:cs="宋体"/>
          <w:sz w:val="28"/>
          <w:szCs w:val="28"/>
        </w:rPr>
        <w:t>3</w:t>
      </w:r>
      <w:r>
        <w:rPr>
          <w:rFonts w:hint="eastAsia" w:ascii="仿宋" w:hAnsi="仿宋" w:eastAsia="仿宋" w:cs="宋体"/>
          <w:sz w:val="28"/>
          <w:szCs w:val="28"/>
        </w:rPr>
        <w:t>）学术生态指标：机构集中度（通过作者机构数量反映）、新作者占比（首次在该栏目发文的作者占比）。</w:t>
      </w:r>
    </w:p>
    <w:p w14:paraId="01DCB564">
      <w:pPr>
        <w:widowControl/>
        <w:spacing w:line="360" w:lineRule="auto"/>
        <w:ind w:firstLine="560" w:firstLineChars="200"/>
        <w:rPr>
          <w:rFonts w:ascii="仿宋" w:hAnsi="仿宋" w:eastAsia="仿宋" w:cs="宋体"/>
          <w:i/>
          <w:iCs/>
          <w:sz w:val="28"/>
          <w:szCs w:val="28"/>
        </w:rPr>
      </w:pPr>
      <w:r>
        <w:rPr>
          <w:rFonts w:hint="eastAsia" w:ascii="仿宋" w:hAnsi="仿宋" w:eastAsia="仿宋" w:cs="宋体"/>
          <w:i/>
          <w:iCs/>
          <w:sz w:val="28"/>
          <w:szCs w:val="28"/>
        </w:rPr>
        <w:t>新增指标解释：</w:t>
      </w:r>
    </w:p>
    <w:p w14:paraId="0B276186">
      <w:pPr>
        <w:widowControl/>
        <w:numPr>
          <w:ilvl w:val="0"/>
          <w:numId w:val="3"/>
        </w:numPr>
        <w:spacing w:line="360" w:lineRule="auto"/>
        <w:rPr>
          <w:rFonts w:ascii="仿宋" w:hAnsi="仿宋" w:eastAsia="仿宋" w:cs="宋体"/>
          <w:i/>
          <w:iCs/>
          <w:sz w:val="28"/>
          <w:szCs w:val="28"/>
        </w:rPr>
      </w:pPr>
      <w:r>
        <w:rPr>
          <w:rFonts w:ascii="仿宋" w:hAnsi="仿宋" w:eastAsia="仿宋" w:cs="宋体"/>
          <w:i/>
          <w:iCs/>
          <w:sz w:val="28"/>
          <w:szCs w:val="28"/>
        </w:rPr>
        <w:t>机构集中度</w:t>
      </w:r>
      <w:r>
        <w:rPr>
          <w:rFonts w:hint="eastAsia" w:ascii="仿宋" w:hAnsi="仿宋" w:eastAsia="仿宋" w:cs="宋体"/>
          <w:i/>
          <w:iCs/>
          <w:sz w:val="28"/>
          <w:szCs w:val="28"/>
        </w:rPr>
        <w:t>：</w:t>
      </w:r>
    </w:p>
    <w:p w14:paraId="00D4FAE6">
      <w:pPr>
        <w:widowControl/>
        <w:spacing w:line="360" w:lineRule="auto"/>
        <w:ind w:left="420" w:leftChars="200" w:firstLine="560" w:firstLineChars="200"/>
        <w:rPr>
          <w:rFonts w:ascii="仿宋" w:hAnsi="仿宋" w:eastAsia="仿宋" w:cs="宋体"/>
          <w:i/>
          <w:iCs/>
          <w:sz w:val="28"/>
          <w:szCs w:val="28"/>
        </w:rPr>
      </w:pPr>
      <w:r>
        <w:rPr>
          <w:rFonts w:hint="eastAsia" w:ascii="仿宋" w:hAnsi="仿宋" w:eastAsia="仿宋" w:cs="宋体"/>
          <w:i/>
          <w:iCs/>
          <w:sz w:val="28"/>
          <w:szCs w:val="28"/>
        </w:rPr>
        <w:t>高→可能“内部栏目”</w:t>
      </w:r>
    </w:p>
    <w:p w14:paraId="05A9E9EB">
      <w:pPr>
        <w:widowControl/>
        <w:spacing w:line="360" w:lineRule="auto"/>
        <w:ind w:left="420" w:leftChars="200" w:firstLine="560" w:firstLineChars="200"/>
        <w:rPr>
          <w:rFonts w:ascii="仿宋" w:hAnsi="仿宋" w:eastAsia="仿宋" w:cs="宋体"/>
          <w:i/>
          <w:iCs/>
          <w:sz w:val="28"/>
          <w:szCs w:val="28"/>
        </w:rPr>
      </w:pPr>
      <w:r>
        <w:rPr>
          <w:rFonts w:hint="eastAsia" w:ascii="仿宋" w:hAnsi="仿宋" w:eastAsia="仿宋" w:cs="宋体"/>
          <w:i/>
          <w:iCs/>
          <w:sz w:val="28"/>
          <w:szCs w:val="28"/>
        </w:rPr>
        <w:t>低→学术影响力更真实</w:t>
      </w:r>
    </w:p>
    <w:p w14:paraId="627F9292">
      <w:pPr>
        <w:widowControl/>
        <w:numPr>
          <w:ilvl w:val="0"/>
          <w:numId w:val="3"/>
        </w:numPr>
        <w:spacing w:line="360" w:lineRule="auto"/>
        <w:rPr>
          <w:rFonts w:ascii="仿宋" w:hAnsi="仿宋" w:eastAsia="仿宋" w:cs="宋体"/>
          <w:i/>
          <w:iCs/>
          <w:sz w:val="28"/>
          <w:szCs w:val="28"/>
        </w:rPr>
      </w:pPr>
      <w:r>
        <w:rPr>
          <w:rFonts w:hint="eastAsia" w:ascii="仿宋" w:hAnsi="仿宋" w:eastAsia="仿宋" w:cs="宋体"/>
          <w:i/>
          <w:iCs/>
          <w:sz w:val="28"/>
          <w:szCs w:val="28"/>
        </w:rPr>
        <w:t>新作者占比</w:t>
      </w:r>
    </w:p>
    <w:p w14:paraId="5326E44C">
      <w:pPr>
        <w:widowControl/>
        <w:spacing w:line="360" w:lineRule="auto"/>
        <w:ind w:left="420" w:leftChars="200" w:firstLine="560" w:firstLineChars="200"/>
        <w:rPr>
          <w:rFonts w:ascii="仿宋" w:hAnsi="仿宋" w:eastAsia="仿宋" w:cs="宋体"/>
          <w:i/>
          <w:iCs/>
          <w:sz w:val="28"/>
          <w:szCs w:val="28"/>
        </w:rPr>
      </w:pPr>
      <w:r>
        <w:rPr>
          <w:rFonts w:hint="eastAsia" w:ascii="仿宋" w:hAnsi="仿宋" w:eastAsia="仿宋" w:cs="宋体"/>
          <w:i/>
          <w:iCs/>
          <w:sz w:val="28"/>
          <w:szCs w:val="28"/>
        </w:rPr>
        <w:t>高→开放性强</w:t>
      </w:r>
    </w:p>
    <w:p w14:paraId="16110D2E">
      <w:pPr>
        <w:widowControl/>
        <w:spacing w:line="360" w:lineRule="auto"/>
        <w:ind w:left="420" w:leftChars="200" w:firstLine="560" w:firstLineChars="200"/>
        <w:rPr>
          <w:rFonts w:ascii="仿宋" w:hAnsi="仿宋" w:eastAsia="仿宋" w:cs="宋体"/>
          <w:i/>
          <w:iCs/>
          <w:sz w:val="28"/>
          <w:szCs w:val="28"/>
        </w:rPr>
      </w:pPr>
      <w:r>
        <w:rPr>
          <w:rFonts w:hint="eastAsia" w:ascii="仿宋" w:hAnsi="仿宋" w:eastAsia="仿宋" w:cs="宋体"/>
          <w:i/>
          <w:iCs/>
          <w:sz w:val="28"/>
          <w:szCs w:val="28"/>
        </w:rPr>
        <w:t>低→可能“圈子化”</w:t>
      </w:r>
    </w:p>
    <w:p w14:paraId="273361D3">
      <w:pPr>
        <w:widowControl/>
        <w:numPr>
          <w:ilvl w:val="0"/>
          <w:numId w:val="0"/>
        </w:numPr>
        <w:tabs>
          <w:tab w:val="left" w:pos="720"/>
        </w:tabs>
        <w:spacing w:line="360" w:lineRule="auto"/>
        <w:ind w:left="0" w:firstLine="0"/>
        <w:rPr>
          <w:rFonts w:ascii="仿宋" w:hAnsi="仿宋" w:eastAsia="仿宋" w:cs="宋体"/>
          <w:color w:val="0000FF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3</w:t>
      </w:r>
      <w:r>
        <w:rPr>
          <w:rFonts w:ascii="仿宋" w:hAnsi="仿宋" w:eastAsia="仿宋" w:cs="宋体"/>
          <w:sz w:val="28"/>
          <w:szCs w:val="28"/>
        </w:rPr>
        <w:t xml:space="preserve">. </w:t>
      </w:r>
      <w:r>
        <w:rPr>
          <w:rFonts w:hint="eastAsia" w:ascii="仿宋" w:hAnsi="仿宋" w:eastAsia="仿宋" w:cs="宋体"/>
          <w:color w:val="0000FF"/>
          <w:sz w:val="28"/>
          <w:szCs w:val="28"/>
        </w:rPr>
        <w:t>定性评价</w:t>
      </w:r>
    </w:p>
    <w:p w14:paraId="793C9365">
      <w:pPr>
        <w:widowControl/>
        <w:spacing w:line="360" w:lineRule="auto"/>
        <w:ind w:firstLine="560" w:firstLineChars="200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（1）</w:t>
      </w:r>
      <w:r>
        <w:rPr>
          <w:rFonts w:hint="eastAsia" w:ascii="仿宋" w:hAnsi="仿宋" w:eastAsia="仿宋" w:cs="宋体"/>
          <w:color w:val="auto"/>
          <w:sz w:val="28"/>
          <w:szCs w:val="28"/>
          <w:lang w:val="en-US" w:eastAsia="zh-CN"/>
        </w:rPr>
        <w:t>中医药特色</w:t>
      </w:r>
      <w:r>
        <w:rPr>
          <w:rFonts w:ascii="仿宋" w:hAnsi="仿宋" w:eastAsia="仿宋" w:cs="宋体"/>
          <w:color w:val="auto"/>
          <w:sz w:val="28"/>
          <w:szCs w:val="28"/>
        </w:rPr>
        <w:t>与栏目定位</w:t>
      </w:r>
      <w:r>
        <w:rPr>
          <w:rFonts w:hint="eastAsia" w:ascii="仿宋" w:hAnsi="仿宋" w:eastAsia="仿宋" w:cs="宋体"/>
          <w:color w:val="auto"/>
          <w:sz w:val="28"/>
          <w:szCs w:val="28"/>
        </w:rPr>
        <w:t>（25%）</w:t>
      </w:r>
    </w:p>
    <w:p w14:paraId="58290AC7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栏目主题是否体现中医药特色</w:t>
      </w:r>
    </w:p>
    <w:p w14:paraId="23EF8F4A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栏目设置是否符合期刊办刊宗旨与发展目标</w:t>
      </w:r>
    </w:p>
    <w:p w14:paraId="3858DEA1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栏目定位是否明确、稳定</w:t>
      </w:r>
    </w:p>
    <w:p w14:paraId="44618AAC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栏目内容是否与栏目定位相协调</w:t>
      </w:r>
    </w:p>
    <w:p w14:paraId="6D11CD8F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是否形成相对稳定的栏目特色</w:t>
      </w:r>
    </w:p>
    <w:p w14:paraId="5F07E86C">
      <w:pPr>
        <w:widowControl/>
        <w:spacing w:line="360" w:lineRule="auto"/>
        <w:ind w:firstLine="560" w:firstLineChars="200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（2）</w:t>
      </w:r>
      <w:r>
        <w:rPr>
          <w:rFonts w:hint="eastAsia" w:ascii="仿宋" w:hAnsi="仿宋" w:eastAsia="仿宋" w:cs="宋体"/>
          <w:color w:val="auto"/>
          <w:sz w:val="28"/>
          <w:szCs w:val="28"/>
          <w:lang w:val="en-US" w:eastAsia="zh-CN"/>
        </w:rPr>
        <w:t>内容</w:t>
      </w:r>
      <w:r>
        <w:rPr>
          <w:rFonts w:ascii="仿宋" w:hAnsi="仿宋" w:eastAsia="仿宋" w:cs="宋体"/>
          <w:color w:val="auto"/>
          <w:sz w:val="28"/>
          <w:szCs w:val="28"/>
        </w:rPr>
        <w:t>质量与学术</w:t>
      </w:r>
      <w:r>
        <w:rPr>
          <w:rFonts w:hint="eastAsia" w:ascii="仿宋" w:hAnsi="仿宋" w:eastAsia="仿宋" w:cs="宋体"/>
          <w:color w:val="auto"/>
          <w:sz w:val="28"/>
          <w:szCs w:val="28"/>
          <w:lang w:val="en-US" w:eastAsia="zh-CN"/>
        </w:rPr>
        <w:t>价值</w:t>
      </w:r>
      <w:r>
        <w:rPr>
          <w:rFonts w:hint="eastAsia" w:ascii="仿宋" w:hAnsi="仿宋" w:eastAsia="仿宋" w:cs="宋体"/>
          <w:color w:val="auto"/>
          <w:sz w:val="28"/>
          <w:szCs w:val="28"/>
        </w:rPr>
        <w:t>（35%）</w:t>
      </w:r>
    </w:p>
    <w:p w14:paraId="52A11294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  <w:lang w:val="en-US" w:eastAsia="zh-CN"/>
        </w:rPr>
        <w:t>栏目内容</w:t>
      </w:r>
      <w:r>
        <w:rPr>
          <w:rFonts w:hint="eastAsia" w:ascii="仿宋" w:hAnsi="仿宋" w:eastAsia="仿宋" w:cs="宋体"/>
          <w:color w:val="auto"/>
          <w:sz w:val="28"/>
          <w:szCs w:val="28"/>
        </w:rPr>
        <w:t>是否具有较高的学术价值、实践价值或创新性</w:t>
      </w:r>
    </w:p>
    <w:p w14:paraId="7536669C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  <w:lang w:val="en-US" w:eastAsia="zh-CN"/>
        </w:rPr>
        <w:t>代表性论文是否能够体现栏目质量和特色</w:t>
      </w:r>
    </w:p>
    <w:p w14:paraId="2923F253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栏目内容是否具有较好的</w:t>
      </w:r>
      <w:r>
        <w:rPr>
          <w:rFonts w:ascii="仿宋" w:hAnsi="仿宋" w:eastAsia="仿宋" w:cs="宋体"/>
          <w:color w:val="auto"/>
          <w:sz w:val="28"/>
          <w:szCs w:val="28"/>
        </w:rPr>
        <w:t>专业性、规范性与可读性</w:t>
      </w:r>
    </w:p>
    <w:p w14:paraId="4D6C72A4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栏目论文整体质量是否稳定</w:t>
      </w:r>
      <w:r>
        <w:rPr>
          <w:rFonts w:hint="eastAsia" w:ascii="仿宋" w:hAnsi="仿宋" w:eastAsia="仿宋" w:cs="宋体"/>
          <w:color w:val="auto"/>
          <w:sz w:val="28"/>
          <w:szCs w:val="28"/>
          <w:lang w:eastAsia="zh-CN"/>
        </w:rPr>
        <w:t>，是否避免低水平重复或一般性组稿</w:t>
      </w:r>
    </w:p>
    <w:p w14:paraId="77BA0984">
      <w:pPr>
        <w:widowControl/>
        <w:spacing w:line="360" w:lineRule="auto"/>
        <w:ind w:firstLine="560" w:firstLineChars="200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（3）</w:t>
      </w:r>
      <w:r>
        <w:rPr>
          <w:rFonts w:ascii="仿宋" w:hAnsi="仿宋" w:eastAsia="仿宋" w:cs="宋体"/>
          <w:color w:val="auto"/>
          <w:sz w:val="28"/>
          <w:szCs w:val="28"/>
        </w:rPr>
        <w:t>栏目组织与运行情况</w:t>
      </w:r>
      <w:r>
        <w:rPr>
          <w:rFonts w:hint="eastAsia" w:ascii="仿宋" w:hAnsi="仿宋" w:eastAsia="仿宋" w:cs="宋体"/>
          <w:color w:val="auto"/>
          <w:sz w:val="28"/>
          <w:szCs w:val="28"/>
        </w:rPr>
        <w:t>（20%）</w:t>
      </w:r>
    </w:p>
    <w:p w14:paraId="3CAB9A47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栏目是否有相对明确的建设思路、选题方向</w:t>
      </w:r>
    </w:p>
    <w:p w14:paraId="67F8CE5E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栏目策划与选题组织是否规范、有序</w:t>
      </w:r>
    </w:p>
    <w:p w14:paraId="0892F299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是否具备较稳定的作者来源与稿源组织能力</w:t>
      </w:r>
    </w:p>
    <w:p w14:paraId="6478883E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审稿</w:t>
      </w:r>
      <w:r>
        <w:rPr>
          <w:rFonts w:hint="eastAsia" w:ascii="仿宋" w:hAnsi="仿宋" w:eastAsia="仿宋" w:cs="宋体"/>
          <w:color w:val="auto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宋体"/>
          <w:color w:val="auto"/>
          <w:sz w:val="28"/>
          <w:szCs w:val="28"/>
        </w:rPr>
        <w:t>编辑</w:t>
      </w:r>
      <w:r>
        <w:rPr>
          <w:rFonts w:hint="eastAsia" w:ascii="仿宋" w:hAnsi="仿宋" w:eastAsia="仿宋" w:cs="宋体"/>
          <w:color w:val="auto"/>
          <w:sz w:val="28"/>
          <w:szCs w:val="28"/>
          <w:lang w:val="en-US" w:eastAsia="zh-CN"/>
        </w:rPr>
        <w:t>与出版</w:t>
      </w:r>
      <w:r>
        <w:rPr>
          <w:rFonts w:hint="eastAsia" w:ascii="仿宋" w:hAnsi="仿宋" w:eastAsia="仿宋" w:cs="宋体"/>
          <w:color w:val="auto"/>
          <w:sz w:val="28"/>
          <w:szCs w:val="28"/>
        </w:rPr>
        <w:t>流程是否规范</w:t>
      </w:r>
    </w:p>
    <w:p w14:paraId="1451A8E6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是否形成较完善的栏目运行与质量控制机制</w:t>
      </w:r>
    </w:p>
    <w:p w14:paraId="1BC92F96">
      <w:pPr>
        <w:widowControl/>
        <w:spacing w:line="360" w:lineRule="auto"/>
        <w:ind w:firstLine="560" w:firstLineChars="200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（4）传播与应用效果（20%）</w:t>
      </w:r>
    </w:p>
    <w:p w14:paraId="10335188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栏目内容是否具有较稳定的读者关注</w:t>
      </w:r>
      <w:r>
        <w:rPr>
          <w:rFonts w:hint="eastAsia" w:ascii="仿宋" w:hAnsi="仿宋" w:eastAsia="仿宋" w:cs="宋体"/>
          <w:color w:val="auto"/>
          <w:sz w:val="28"/>
          <w:szCs w:val="28"/>
          <w:lang w:val="en-US" w:eastAsia="zh-CN"/>
        </w:rPr>
        <w:t>和</w:t>
      </w:r>
      <w:r>
        <w:rPr>
          <w:rFonts w:ascii="仿宋" w:hAnsi="仿宋" w:eastAsia="仿宋" w:cs="宋体"/>
          <w:color w:val="auto"/>
          <w:sz w:val="28"/>
          <w:szCs w:val="28"/>
        </w:rPr>
        <w:t>一定传播效果</w:t>
      </w:r>
    </w:p>
    <w:p w14:paraId="1BCB7F30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是否在业内形成一定认可度</w:t>
      </w:r>
    </w:p>
    <w:p w14:paraId="580644B9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hint="eastAsia" w:ascii="仿宋" w:hAnsi="仿宋" w:eastAsia="仿宋" w:cs="宋体"/>
          <w:color w:val="auto"/>
          <w:sz w:val="28"/>
          <w:szCs w:val="28"/>
        </w:rPr>
        <w:t>栏目建设经验是否具有推广价值，可为同类期刊栏目提供借鉴</w:t>
      </w:r>
    </w:p>
    <w:p w14:paraId="37387D42">
      <w:pPr>
        <w:widowControl/>
        <w:numPr>
          <w:ilvl w:val="0"/>
          <w:numId w:val="4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</w:rPr>
      </w:pPr>
      <w:r>
        <w:rPr>
          <w:rFonts w:ascii="仿宋" w:hAnsi="仿宋" w:eastAsia="仿宋" w:cs="宋体"/>
          <w:color w:val="auto"/>
          <w:sz w:val="28"/>
          <w:szCs w:val="28"/>
        </w:rPr>
        <w:t>是否形成一定栏目影响力与品牌效应</w:t>
      </w:r>
    </w:p>
    <w:p w14:paraId="0D2A0DB8">
      <w:pPr>
        <w:widowControl/>
        <w:jc w:val="lef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br w:type="page"/>
      </w:r>
    </w:p>
    <w:p w14:paraId="215CFCED">
      <w:pPr>
        <w:pStyle w:val="4"/>
        <w:widowControl/>
        <w:spacing w:beforeAutospacing="0" w:afterAutospacing="0" w:line="360" w:lineRule="auto"/>
        <w:rPr>
          <w:rFonts w:hint="default" w:ascii="黑体" w:hAnsi="黑体" w:eastAsia="黑体" w:cs="宋体"/>
          <w:b w:val="0"/>
          <w:bCs w:val="0"/>
          <w:sz w:val="28"/>
          <w:szCs w:val="28"/>
          <w:highlight w:val="yellow"/>
        </w:rPr>
      </w:pPr>
      <w:r>
        <w:rPr>
          <w:rFonts w:ascii="黑体" w:hAnsi="黑体" w:eastAsia="黑体" w:cs="宋体"/>
          <w:b w:val="0"/>
          <w:bCs w:val="0"/>
          <w:sz w:val="28"/>
          <w:szCs w:val="28"/>
          <w:highlight w:val="yellow"/>
        </w:rPr>
        <w:t>附件2 中医药期刊特色栏目申报表核心内容</w:t>
      </w:r>
    </w:p>
    <w:p w14:paraId="075FC29A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（一）栏目基本信息</w:t>
      </w:r>
    </w:p>
    <w:p w14:paraId="3E408341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来源期刊名称</w:t>
      </w:r>
    </w:p>
    <w:p w14:paraId="64381A24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主管单位、主办单位</w:t>
      </w:r>
    </w:p>
    <w:p w14:paraId="12629BA2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期刊出版周期</w:t>
      </w:r>
    </w:p>
    <w:p w14:paraId="7152A082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期刊主要学科方向或办刊定位</w:t>
      </w:r>
    </w:p>
    <w:p w14:paraId="038241B8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期刊数据库收录情况</w:t>
      </w:r>
    </w:p>
    <w:p w14:paraId="371FD2D6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申报</w:t>
      </w:r>
      <w:r>
        <w:rPr>
          <w:rFonts w:hint="eastAsia" w:ascii="仿宋" w:hAnsi="仿宋" w:eastAsia="仿宋" w:cs="宋体"/>
          <w:sz w:val="28"/>
          <w:szCs w:val="28"/>
        </w:rPr>
        <w:t>栏目名称</w:t>
      </w:r>
    </w:p>
    <w:p w14:paraId="5AE82EE9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栏目设立时间（年）</w:t>
      </w:r>
    </w:p>
    <w:p w14:paraId="185C9250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栏目设置频率（</w:t>
      </w:r>
      <w:r>
        <w:rPr>
          <w:rFonts w:hint="eastAsia" w:ascii="仿宋" w:hAnsi="仿宋" w:eastAsia="仿宋" w:cs="宋体"/>
          <w:sz w:val="28"/>
          <w:szCs w:val="28"/>
        </w:rPr>
        <w:t>栏目是否固定设置：每期固定、定期设置、不定期设置</w:t>
      </w:r>
      <w:r>
        <w:rPr>
          <w:rFonts w:ascii="仿宋" w:hAnsi="仿宋" w:eastAsia="仿宋" w:cs="宋体"/>
          <w:sz w:val="28"/>
          <w:szCs w:val="28"/>
        </w:rPr>
        <w:t>）</w:t>
      </w:r>
    </w:p>
    <w:p w14:paraId="744F0E5F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栏目近3年刊发期次</w:t>
      </w:r>
    </w:p>
    <w:p w14:paraId="46F5826B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栏目负责人或联系人及联系方式</w:t>
      </w:r>
    </w:p>
    <w:p w14:paraId="06D9CD78">
      <w:pPr>
        <w:widowControl/>
        <w:numPr>
          <w:ilvl w:val="0"/>
          <w:numId w:val="5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栏目简介（200</w:t>
      </w:r>
      <w:r>
        <w:rPr>
          <w:rFonts w:ascii="仿宋" w:hAnsi="仿宋" w:eastAsia="仿宋" w:cs="宋体"/>
          <w:sz w:val="28"/>
          <w:szCs w:val="28"/>
        </w:rPr>
        <w:t>—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300</w:t>
      </w:r>
      <w:r>
        <w:rPr>
          <w:rFonts w:hint="eastAsia" w:ascii="仿宋" w:hAnsi="仿宋" w:eastAsia="仿宋" w:cs="宋体"/>
          <w:sz w:val="28"/>
          <w:szCs w:val="28"/>
        </w:rPr>
        <w:t>字）</w:t>
      </w:r>
    </w:p>
    <w:p w14:paraId="6CAC2080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（二）</w:t>
      </w:r>
      <w:r>
        <w:rPr>
          <w:rFonts w:ascii="仿宋" w:hAnsi="仿宋" w:eastAsia="仿宋" w:cs="宋体"/>
          <w:sz w:val="28"/>
          <w:szCs w:val="28"/>
        </w:rPr>
        <w:t>栏目定位与建设目标</w:t>
      </w:r>
    </w:p>
    <w:p w14:paraId="2267B946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请围绕以下内容进行简要说明（建议1000字以内）</w:t>
      </w:r>
    </w:p>
    <w:p w14:paraId="003B8621">
      <w:pPr>
        <w:widowControl/>
        <w:numPr>
          <w:ilvl w:val="0"/>
          <w:numId w:val="6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栏目设立背景、宗旨与发展历程</w:t>
      </w:r>
    </w:p>
    <w:p w14:paraId="06954F59">
      <w:pPr>
        <w:widowControl/>
        <w:numPr>
          <w:ilvl w:val="0"/>
          <w:numId w:val="6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栏目定位、内容范围和服务对象</w:t>
      </w:r>
    </w:p>
    <w:p w14:paraId="2911B505">
      <w:pPr>
        <w:widowControl/>
        <w:numPr>
          <w:ilvl w:val="0"/>
          <w:numId w:val="6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栏目与期刊整体办刊宗旨及定位的关系</w:t>
      </w:r>
    </w:p>
    <w:p w14:paraId="275A3EB2">
      <w:pPr>
        <w:widowControl/>
        <w:numPr>
          <w:ilvl w:val="0"/>
          <w:numId w:val="6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栏目主要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中医药</w:t>
      </w:r>
      <w:r>
        <w:rPr>
          <w:rFonts w:hint="eastAsia" w:ascii="仿宋" w:hAnsi="仿宋" w:eastAsia="仿宋" w:cs="宋体"/>
          <w:sz w:val="28"/>
          <w:szCs w:val="28"/>
        </w:rPr>
        <w:t>特色及优势</w:t>
      </w:r>
    </w:p>
    <w:p w14:paraId="679AADA1">
      <w:pPr>
        <w:widowControl/>
        <w:numPr>
          <w:ilvl w:val="0"/>
          <w:numId w:val="6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栏目与本刊其他栏目或同类期刊栏目的区别</w:t>
      </w:r>
    </w:p>
    <w:p w14:paraId="4C23F6F6">
      <w:pPr>
        <w:widowControl/>
        <w:numPr>
          <w:ilvl w:val="0"/>
          <w:numId w:val="6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栏目建设与运行情况简介</w:t>
      </w:r>
    </w:p>
    <w:p w14:paraId="3C88AFA2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（三）相关量化数据</w:t>
      </w:r>
      <w:r>
        <w:rPr>
          <w:rFonts w:ascii="仿宋" w:hAnsi="仿宋" w:eastAsia="仿宋" w:cs="宋体"/>
          <w:sz w:val="28"/>
          <w:szCs w:val="28"/>
        </w:rPr>
        <w:t>（本部分为定量评价核心数据，建议提供完整、可核查数据）</w:t>
      </w:r>
    </w:p>
    <w:p w14:paraId="62C69FC2">
      <w:pPr>
        <w:widowControl/>
        <w:numPr>
          <w:ilvl w:val="0"/>
          <w:numId w:val="7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发文与基本情况</w:t>
      </w:r>
      <w:r>
        <w:rPr>
          <w:rFonts w:hint="eastAsia" w:ascii="仿宋" w:hAnsi="仿宋" w:eastAsia="仿宋" w:cs="宋体"/>
          <w:sz w:val="28"/>
          <w:szCs w:val="28"/>
        </w:rPr>
        <w:t>（2022—2024年数据）</w:t>
      </w:r>
    </w:p>
    <w:p w14:paraId="78EBC15F">
      <w:pPr>
        <w:widowControl/>
        <w:numPr>
          <w:ilvl w:val="0"/>
          <w:numId w:val="8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栏目发文总量</w:t>
      </w:r>
    </w:p>
    <w:p w14:paraId="076648EF">
      <w:pPr>
        <w:widowControl/>
        <w:numPr>
          <w:ilvl w:val="0"/>
          <w:numId w:val="8"/>
        </w:numPr>
        <w:spacing w:line="360" w:lineRule="auto"/>
        <w:rPr>
          <w:rFonts w:ascii="仿宋" w:hAnsi="仿宋" w:eastAsia="仿宋" w:cs="宋体"/>
          <w:color w:val="auto"/>
          <w:sz w:val="28"/>
          <w:szCs w:val="28"/>
          <w:highlight w:val="none"/>
        </w:rPr>
      </w:pPr>
      <w:r>
        <w:rPr>
          <w:rFonts w:ascii="仿宋" w:hAnsi="仿宋" w:eastAsia="仿宋" w:cs="宋体"/>
          <w:color w:val="auto"/>
          <w:sz w:val="28"/>
          <w:szCs w:val="28"/>
          <w:highlight w:val="none"/>
        </w:rPr>
        <w:t>各年度发文量</w:t>
      </w:r>
    </w:p>
    <w:p w14:paraId="7A08B031">
      <w:pPr>
        <w:widowControl/>
        <w:numPr>
          <w:ilvl w:val="0"/>
          <w:numId w:val="8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每期栏目发文数（平均值）</w:t>
      </w:r>
    </w:p>
    <w:p w14:paraId="3A5C50EC">
      <w:pPr>
        <w:widowControl/>
        <w:numPr>
          <w:ilvl w:val="0"/>
          <w:numId w:val="8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栏目论文清单（附</w:t>
      </w:r>
      <w:r>
        <w:rPr>
          <w:rFonts w:hint="eastAsia" w:ascii="仿宋" w:hAnsi="仿宋" w:eastAsia="仿宋" w:cs="宋体"/>
          <w:sz w:val="28"/>
          <w:szCs w:val="28"/>
          <w:lang w:val="en-US" w:eastAsia="zh-CN"/>
        </w:rPr>
        <w:t>模板</w:t>
      </w:r>
      <w:r>
        <w:rPr>
          <w:rFonts w:ascii="仿宋" w:hAnsi="仿宋" w:eastAsia="仿宋" w:cs="宋体"/>
          <w:sz w:val="28"/>
          <w:szCs w:val="28"/>
        </w:rPr>
        <w:t>）</w:t>
      </w:r>
    </w:p>
    <w:p w14:paraId="029930CD">
      <w:pPr>
        <w:widowControl/>
        <w:numPr>
          <w:ilvl w:val="0"/>
          <w:numId w:val="8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编辑部可提供的其他数据（通过咨询编辑部确定）</w:t>
      </w:r>
    </w:p>
    <w:p w14:paraId="163174E6">
      <w:pPr>
        <w:widowControl/>
        <w:numPr>
          <w:ilvl w:val="0"/>
          <w:numId w:val="7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栏目运行与编辑质量情况</w:t>
      </w:r>
    </w:p>
    <w:p w14:paraId="025E5720">
      <w:pPr>
        <w:widowControl/>
        <w:numPr>
          <w:ilvl w:val="0"/>
          <w:numId w:val="9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基金论文占比</w:t>
      </w:r>
    </w:p>
    <w:p w14:paraId="76E62E59">
      <w:pPr>
        <w:widowControl/>
        <w:numPr>
          <w:ilvl w:val="0"/>
          <w:numId w:val="9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外审情况与形式（是否外审、是否盲审）</w:t>
      </w:r>
    </w:p>
    <w:p w14:paraId="778CF3A8">
      <w:pPr>
        <w:widowControl/>
        <w:numPr>
          <w:ilvl w:val="0"/>
          <w:numId w:val="9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栏目组织形式（如专题策划、约稿、征稿等）</w:t>
      </w:r>
    </w:p>
    <w:p w14:paraId="756C6073">
      <w:pPr>
        <w:widowControl/>
        <w:numPr>
          <w:ilvl w:val="0"/>
          <w:numId w:val="9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highlight w:val="yellow"/>
        </w:rPr>
        <w:t>稿源组织情况（如稳定作者来源、重点合作机构等）</w:t>
      </w:r>
    </w:p>
    <w:p w14:paraId="59BD15AF">
      <w:pPr>
        <w:widowControl/>
        <w:numPr>
          <w:ilvl w:val="0"/>
          <w:numId w:val="7"/>
        </w:numPr>
        <w:spacing w:line="360" w:lineRule="auto"/>
        <w:ind w:left="1265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传播与使用情况</w:t>
      </w:r>
    </w:p>
    <w:p w14:paraId="45F5C8CB">
      <w:pPr>
        <w:widowControl/>
        <w:numPr>
          <w:ilvl w:val="0"/>
          <w:numId w:val="10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栏目论文下载量或浏览量</w:t>
      </w:r>
    </w:p>
    <w:p w14:paraId="0124F502">
      <w:pPr>
        <w:widowControl/>
        <w:numPr>
          <w:ilvl w:val="0"/>
          <w:numId w:val="10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栏目内容转载或二次传播情况</w:t>
      </w:r>
    </w:p>
    <w:p w14:paraId="01D7F85D">
      <w:pPr>
        <w:widowControl/>
        <w:numPr>
          <w:ilvl w:val="0"/>
          <w:numId w:val="10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栏目内容被行业平台、培训材料或相关资料引用情况</w:t>
      </w:r>
    </w:p>
    <w:p w14:paraId="555FC8D3">
      <w:pPr>
        <w:widowControl/>
        <w:numPr>
          <w:ilvl w:val="0"/>
          <w:numId w:val="10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其他能够反映栏目传播与使用效果的材料</w:t>
      </w:r>
    </w:p>
    <w:p w14:paraId="778CE149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（四）代表性成果</w:t>
      </w:r>
    </w:p>
    <w:p w14:paraId="72AB96F1">
      <w:pPr>
        <w:widowControl/>
        <w:numPr>
          <w:ilvl w:val="0"/>
          <w:numId w:val="11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近3年代表性文章3</w:t>
      </w:r>
      <w:r>
        <w:rPr>
          <w:rFonts w:hint="eastAsia" w:ascii="仿宋" w:hAnsi="仿宋" w:eastAsia="仿宋" w:cs="宋体"/>
          <w:sz w:val="28"/>
          <w:szCs w:val="28"/>
        </w:rPr>
        <w:t>～</w:t>
      </w:r>
      <w:r>
        <w:rPr>
          <w:rFonts w:ascii="仿宋" w:hAnsi="仿宋" w:eastAsia="仿宋" w:cs="宋体"/>
          <w:sz w:val="28"/>
          <w:szCs w:val="28"/>
        </w:rPr>
        <w:t>5篇（</w:t>
      </w:r>
      <w:r>
        <w:rPr>
          <w:rFonts w:hint="eastAsia" w:ascii="仿宋" w:hAnsi="仿宋" w:eastAsia="仿宋" w:cs="宋体"/>
          <w:sz w:val="28"/>
          <w:szCs w:val="28"/>
        </w:rPr>
        <w:t>附</w:t>
      </w:r>
      <w:r>
        <w:rPr>
          <w:rFonts w:hint="eastAsia" w:ascii="仿宋" w:hAnsi="仿宋" w:eastAsia="仿宋" w:cs="宋体"/>
          <w:sz w:val="28"/>
          <w:szCs w:val="28"/>
          <w:highlight w:val="yellow"/>
        </w:rPr>
        <w:t>列表</w:t>
      </w:r>
      <w:r>
        <w:rPr>
          <w:rFonts w:hint="eastAsia" w:ascii="仿宋" w:hAnsi="仿宋" w:eastAsia="仿宋" w:cs="宋体"/>
          <w:sz w:val="28"/>
          <w:szCs w:val="28"/>
        </w:rPr>
        <w:t>、全文</w:t>
      </w:r>
      <w:r>
        <w:rPr>
          <w:rFonts w:ascii="仿宋" w:hAnsi="仿宋" w:eastAsia="仿宋" w:cs="宋体"/>
          <w:sz w:val="28"/>
          <w:szCs w:val="28"/>
        </w:rPr>
        <w:t>）</w:t>
      </w:r>
    </w:p>
    <w:p w14:paraId="3BCA8B45">
      <w:pPr>
        <w:widowControl/>
        <w:numPr>
          <w:ilvl w:val="0"/>
          <w:numId w:val="11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每篇文章简要说明其学术价值或应用价值（</w:t>
      </w: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00字以内）</w:t>
      </w:r>
    </w:p>
    <w:p w14:paraId="644DA94F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（五）</w:t>
      </w:r>
      <w:r>
        <w:rPr>
          <w:rFonts w:ascii="仿宋" w:hAnsi="仿宋" w:eastAsia="仿宋" w:cs="宋体"/>
          <w:sz w:val="28"/>
          <w:szCs w:val="28"/>
        </w:rPr>
        <w:t>社会影响与应用情况</w:t>
      </w:r>
    </w:p>
    <w:p w14:paraId="12653456">
      <w:pPr>
        <w:widowControl/>
        <w:numPr>
          <w:ilvl w:val="0"/>
          <w:numId w:val="12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行业内相关评价或推荐情况</w:t>
      </w:r>
      <w:r>
        <w:rPr>
          <w:rFonts w:hint="eastAsia" w:ascii="仿宋" w:hAnsi="仿宋" w:eastAsia="仿宋" w:cs="宋体"/>
          <w:sz w:val="28"/>
          <w:szCs w:val="28"/>
        </w:rPr>
        <w:t>（例如</w:t>
      </w:r>
      <w:r>
        <w:rPr>
          <w:rFonts w:ascii="仿宋" w:hAnsi="仿宋" w:eastAsia="仿宋" w:cs="宋体"/>
          <w:sz w:val="28"/>
          <w:szCs w:val="28"/>
        </w:rPr>
        <w:t>栏目内容被媒体、平台转载或报道</w:t>
      </w:r>
      <w:r>
        <w:rPr>
          <w:rFonts w:hint="eastAsia" w:ascii="仿宋" w:hAnsi="仿宋" w:eastAsia="仿宋" w:cs="宋体"/>
          <w:sz w:val="28"/>
          <w:szCs w:val="28"/>
        </w:rPr>
        <w:t>，</w:t>
      </w:r>
      <w:r>
        <w:rPr>
          <w:rFonts w:ascii="仿宋" w:hAnsi="仿宋" w:eastAsia="仿宋" w:cs="宋体"/>
          <w:sz w:val="28"/>
          <w:szCs w:val="28"/>
        </w:rPr>
        <w:t>被行业指南、共识、教材引用</w:t>
      </w:r>
      <w:r>
        <w:rPr>
          <w:rFonts w:hint="eastAsia" w:ascii="仿宋" w:hAnsi="仿宋" w:eastAsia="仿宋" w:cs="宋体"/>
          <w:sz w:val="28"/>
          <w:szCs w:val="28"/>
        </w:rPr>
        <w:t>）</w:t>
      </w:r>
    </w:p>
    <w:p w14:paraId="371B594A">
      <w:pPr>
        <w:widowControl/>
        <w:numPr>
          <w:ilvl w:val="0"/>
          <w:numId w:val="12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栏目传播或应用典型案例</w:t>
      </w:r>
    </w:p>
    <w:p w14:paraId="2F3D3AA2">
      <w:pPr>
        <w:widowControl/>
        <w:numPr>
          <w:ilvl w:val="0"/>
          <w:numId w:val="12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其他能够反映栏目影响力的佐证材料</w:t>
      </w:r>
    </w:p>
    <w:p w14:paraId="5AFF2F05">
      <w:pPr>
        <w:widowControl/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（六）未来发展规划</w:t>
      </w:r>
    </w:p>
    <w:p w14:paraId="0ABBA850">
      <w:pPr>
        <w:widowControl/>
        <w:numPr>
          <w:ilvl w:val="0"/>
          <w:numId w:val="13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栏目未来发展方向与重点选题</w:t>
      </w:r>
    </w:p>
    <w:p w14:paraId="5C34C234">
      <w:pPr>
        <w:widowControl/>
        <w:numPr>
          <w:ilvl w:val="0"/>
          <w:numId w:val="13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提升学术质量与特色的具体措施</w:t>
      </w:r>
    </w:p>
    <w:p w14:paraId="6F0B271E">
      <w:pPr>
        <w:widowControl/>
        <w:numPr>
          <w:ilvl w:val="0"/>
          <w:numId w:val="13"/>
        </w:numPr>
        <w:spacing w:line="360" w:lineRule="auto"/>
        <w:rPr>
          <w:rFonts w:ascii="仿宋" w:hAnsi="仿宋" w:eastAsia="仿宋" w:cs="宋体"/>
          <w:sz w:val="28"/>
          <w:szCs w:val="28"/>
        </w:rPr>
      </w:pPr>
      <w:r>
        <w:rPr>
          <w:rFonts w:ascii="仿宋" w:hAnsi="仿宋" w:eastAsia="仿宋" w:cs="宋体"/>
          <w:sz w:val="28"/>
          <w:szCs w:val="28"/>
        </w:rPr>
        <w:t>栏目建设目标（3—5年）</w:t>
      </w:r>
    </w:p>
    <w:p w14:paraId="19E8AF20">
      <w:pPr>
        <w:widowControl/>
        <w:numPr>
          <w:ilvl w:val="0"/>
          <w:numId w:val="14"/>
        </w:numPr>
        <w:spacing w:line="360" w:lineRule="auto"/>
        <w:ind w:firstLine="560" w:firstLineChars="200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申报材料真实性承诺书</w:t>
      </w:r>
    </w:p>
    <w:p w14:paraId="0E93109B">
      <w:pPr>
        <w:widowControl/>
        <w:spacing w:line="360" w:lineRule="auto"/>
        <w:rPr>
          <w:rFonts w:ascii="仿宋" w:hAnsi="仿宋" w:eastAsia="仿宋" w:cs="宋体"/>
          <w:sz w:val="24"/>
        </w:rPr>
      </w:pPr>
    </w:p>
    <w:p w14:paraId="4190AF7A">
      <w:pPr>
        <w:spacing w:line="360" w:lineRule="auto"/>
        <w:jc w:val="center"/>
        <w:rPr>
          <w:rFonts w:ascii="仿宋" w:hAnsi="仿宋" w:eastAsia="仿宋"/>
          <w:sz w:val="20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宋体-简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7606D"/>
    <w:multiLevelType w:val="singleLevel"/>
    <w:tmpl w:val="A28760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3B84BE"/>
    <w:multiLevelType w:val="singleLevel"/>
    <w:tmpl w:val="AE3B84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24AC209"/>
    <w:multiLevelType w:val="singleLevel"/>
    <w:tmpl w:val="B24AC20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B8EB05C2"/>
    <w:multiLevelType w:val="singleLevel"/>
    <w:tmpl w:val="B8EB05C2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">
    <w:nsid w:val="CC849F09"/>
    <w:multiLevelType w:val="singleLevel"/>
    <w:tmpl w:val="CC849F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59CEB7"/>
    <w:multiLevelType w:val="singleLevel"/>
    <w:tmpl w:val="CE59CE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4F6A24E"/>
    <w:multiLevelType w:val="singleLevel"/>
    <w:tmpl w:val="D4F6A24E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7">
    <w:nsid w:val="D5DC89B2"/>
    <w:multiLevelType w:val="singleLevel"/>
    <w:tmpl w:val="D5DC89B2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8">
    <w:nsid w:val="0EC0DE15"/>
    <w:multiLevelType w:val="singleLevel"/>
    <w:tmpl w:val="0EC0DE15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">
    <w:nsid w:val="1208A714"/>
    <w:multiLevelType w:val="singleLevel"/>
    <w:tmpl w:val="1208A714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0">
    <w:nsid w:val="655FB27B"/>
    <w:multiLevelType w:val="singleLevel"/>
    <w:tmpl w:val="655FB27B"/>
    <w:lvl w:ilvl="0" w:tentative="0">
      <w:start w:val="7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669449B5"/>
    <w:multiLevelType w:val="singleLevel"/>
    <w:tmpl w:val="669449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95AE475"/>
    <w:multiLevelType w:val="singleLevel"/>
    <w:tmpl w:val="695AE4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73F00A24"/>
    <w:multiLevelType w:val="singleLevel"/>
    <w:tmpl w:val="73F00A24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4"/>
  </w:num>
  <w:num w:numId="8">
    <w:abstractNumId w:val="7"/>
  </w:num>
  <w:num w:numId="9">
    <w:abstractNumId w:val="8"/>
  </w:num>
  <w:num w:numId="10">
    <w:abstractNumId w:val="13"/>
  </w:num>
  <w:num w:numId="11">
    <w:abstractNumId w:val="6"/>
  </w:num>
  <w:num w:numId="12">
    <w:abstractNumId w:val="9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07A98"/>
    <w:rsid w:val="00023614"/>
    <w:rsid w:val="000375FD"/>
    <w:rsid w:val="00045E6B"/>
    <w:rsid w:val="00060D65"/>
    <w:rsid w:val="00087D4F"/>
    <w:rsid w:val="000E1ADB"/>
    <w:rsid w:val="00111CD0"/>
    <w:rsid w:val="00182004"/>
    <w:rsid w:val="001C4316"/>
    <w:rsid w:val="001F0550"/>
    <w:rsid w:val="001F05D0"/>
    <w:rsid w:val="002146B6"/>
    <w:rsid w:val="00221A0E"/>
    <w:rsid w:val="00234374"/>
    <w:rsid w:val="00260CC1"/>
    <w:rsid w:val="002D479D"/>
    <w:rsid w:val="002F1799"/>
    <w:rsid w:val="00343E6B"/>
    <w:rsid w:val="003B2384"/>
    <w:rsid w:val="003E47B8"/>
    <w:rsid w:val="00407BC7"/>
    <w:rsid w:val="004453E1"/>
    <w:rsid w:val="00454A47"/>
    <w:rsid w:val="00483A68"/>
    <w:rsid w:val="004B380C"/>
    <w:rsid w:val="004C35C5"/>
    <w:rsid w:val="004E5BF1"/>
    <w:rsid w:val="0050628E"/>
    <w:rsid w:val="00522020"/>
    <w:rsid w:val="005B5104"/>
    <w:rsid w:val="005D557D"/>
    <w:rsid w:val="00683972"/>
    <w:rsid w:val="006E5150"/>
    <w:rsid w:val="00724A67"/>
    <w:rsid w:val="00746359"/>
    <w:rsid w:val="00791DF9"/>
    <w:rsid w:val="0080441E"/>
    <w:rsid w:val="00806B83"/>
    <w:rsid w:val="008941B9"/>
    <w:rsid w:val="00894F7D"/>
    <w:rsid w:val="008A4113"/>
    <w:rsid w:val="008A6413"/>
    <w:rsid w:val="008E5C09"/>
    <w:rsid w:val="009D25CC"/>
    <w:rsid w:val="00A05698"/>
    <w:rsid w:val="00A13254"/>
    <w:rsid w:val="00A57290"/>
    <w:rsid w:val="00A910DA"/>
    <w:rsid w:val="00B2342A"/>
    <w:rsid w:val="00B46575"/>
    <w:rsid w:val="00B6683F"/>
    <w:rsid w:val="00B70C86"/>
    <w:rsid w:val="00BA120D"/>
    <w:rsid w:val="00BA302D"/>
    <w:rsid w:val="00C43B82"/>
    <w:rsid w:val="00CC6E3C"/>
    <w:rsid w:val="00CE71C6"/>
    <w:rsid w:val="00D277B6"/>
    <w:rsid w:val="00D4569C"/>
    <w:rsid w:val="00D609FF"/>
    <w:rsid w:val="00DD1B90"/>
    <w:rsid w:val="00E15D5E"/>
    <w:rsid w:val="00E56387"/>
    <w:rsid w:val="00E57C0A"/>
    <w:rsid w:val="00E836A8"/>
    <w:rsid w:val="00E904E8"/>
    <w:rsid w:val="00E97C15"/>
    <w:rsid w:val="00EA03C4"/>
    <w:rsid w:val="00EA3113"/>
    <w:rsid w:val="00ED4350"/>
    <w:rsid w:val="00EF6A7A"/>
    <w:rsid w:val="00F84EA8"/>
    <w:rsid w:val="00FD7B6C"/>
    <w:rsid w:val="053F4988"/>
    <w:rsid w:val="06207A98"/>
    <w:rsid w:val="0C312D53"/>
    <w:rsid w:val="0D347533"/>
    <w:rsid w:val="0DE14AC5"/>
    <w:rsid w:val="115A14DB"/>
    <w:rsid w:val="17351CB8"/>
    <w:rsid w:val="1B1F496C"/>
    <w:rsid w:val="1EDB10BC"/>
    <w:rsid w:val="1FC61D6D"/>
    <w:rsid w:val="22DB168B"/>
    <w:rsid w:val="26EA6341"/>
    <w:rsid w:val="27EB6A32"/>
    <w:rsid w:val="2A12109B"/>
    <w:rsid w:val="2B592249"/>
    <w:rsid w:val="2C960849"/>
    <w:rsid w:val="2D197176"/>
    <w:rsid w:val="30542A7D"/>
    <w:rsid w:val="31671138"/>
    <w:rsid w:val="325A6689"/>
    <w:rsid w:val="32D15DDE"/>
    <w:rsid w:val="3AFE2E55"/>
    <w:rsid w:val="40374A9F"/>
    <w:rsid w:val="414865FC"/>
    <w:rsid w:val="43B3474E"/>
    <w:rsid w:val="457D0862"/>
    <w:rsid w:val="465B6AFA"/>
    <w:rsid w:val="4C232B5D"/>
    <w:rsid w:val="4D423F31"/>
    <w:rsid w:val="517A7D9D"/>
    <w:rsid w:val="51FB522B"/>
    <w:rsid w:val="56DB1954"/>
    <w:rsid w:val="5A8557D0"/>
    <w:rsid w:val="615D2878"/>
    <w:rsid w:val="61642ED6"/>
    <w:rsid w:val="63331E79"/>
    <w:rsid w:val="6714413F"/>
    <w:rsid w:val="68537DF3"/>
    <w:rsid w:val="69771617"/>
    <w:rsid w:val="6A3E4591"/>
    <w:rsid w:val="6A40127F"/>
    <w:rsid w:val="6BDB3000"/>
    <w:rsid w:val="744334FE"/>
    <w:rsid w:val="76EB8BE0"/>
    <w:rsid w:val="794467F7"/>
    <w:rsid w:val="7DE36B27"/>
    <w:rsid w:val="7F833DB1"/>
    <w:rsid w:val="EBEF78C1"/>
    <w:rsid w:val="FFBF15ED"/>
    <w:rsid w:val="FFF7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paragraph" w:styleId="6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16"/>
    <w:qFormat/>
    <w:uiPriority w:val="0"/>
    <w:pPr>
      <w:jc w:val="left"/>
    </w:p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9">
    <w:name w:val="annotation subject"/>
    <w:basedOn w:val="7"/>
    <w:next w:val="7"/>
    <w:link w:val="17"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annotation reference"/>
    <w:basedOn w:val="12"/>
    <w:qFormat/>
    <w:uiPriority w:val="0"/>
    <w:rPr>
      <w:sz w:val="21"/>
      <w:szCs w:val="21"/>
    </w:rPr>
  </w:style>
  <w:style w:type="paragraph" w:customStyle="1" w:styleId="15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6">
    <w:name w:val="批注文字 字符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7">
    <w:name w:val="批注主题 字符"/>
    <w:basedOn w:val="16"/>
    <w:link w:val="9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paragraph" w:customStyle="1" w:styleId="1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3086</Words>
  <Characters>3147</Characters>
  <Lines>28</Lines>
  <Paragraphs>8</Paragraphs>
  <TotalTime>23</TotalTime>
  <ScaleCrop>false</ScaleCrop>
  <LinksUpToDate>false</LinksUpToDate>
  <CharactersWithSpaces>3164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2025-12-19T16:25:00Z</dcterms:created>
  <dc:creator>刘扬</dc:creator>
  <cp:lastModifiedBy>zhuzhu</cp:lastModifiedBy>
  <dcterms:modified xsi:type="dcterms:W3CDTF">2026-06-16T06:18:54Z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76CC5072332B4246B77E23E9462A9FCB_13</vt:lpwstr>
  </property>
  <property fmtid="{D5CDD505-2E9C-101B-9397-08002B2CF9AE}" pid="4" name="KSOTemplateDocerSaveRecord">
    <vt:lpwstr>eyJoZGlkIjoiZThiMjczMWFlOTBlMmU1M2QxMjJjNTA2OGU1MDMyZDEiLCJ1c2VySWQiOiIzMDA4NTg3MjIifQ==</vt:lpwstr>
  </property>
</Properties>
</file>