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A36E4">
      <w:pPr>
        <w:keepNext w:val="0"/>
        <w:keepLines w:val="0"/>
        <w:pageBreakBefore w:val="0"/>
        <w:kinsoku/>
        <w:wordWrap/>
        <w:overflowPunct/>
        <w:topLinePunct w:val="0"/>
        <w:autoSpaceDE/>
        <w:autoSpaceDN/>
        <w:bidi w:val="0"/>
        <w:adjustRightInd/>
        <w:snapToGrid/>
        <w:spacing w:line="300" w:lineRule="atLeast"/>
        <w:jc w:val="center"/>
        <w:textAlignment w:val="auto"/>
        <w:rPr>
          <w:rFonts w:hint="eastAsia" w:ascii="宋体" w:hAnsi="宋体" w:eastAsia="宋体" w:cs="宋体"/>
          <w:b/>
          <w:bCs/>
          <w:sz w:val="28"/>
          <w:szCs w:val="28"/>
        </w:rPr>
      </w:pPr>
      <w:r>
        <w:rPr>
          <w:rFonts w:hint="eastAsia" w:ascii="宋体" w:hAnsi="宋体" w:eastAsia="宋体" w:cs="宋体"/>
          <w:b/>
          <w:bCs/>
          <w:sz w:val="28"/>
          <w:szCs w:val="28"/>
        </w:rPr>
        <w:t>基于事理图谱的中医药网络舆情演化特征与治理策略研究</w:t>
      </w:r>
    </w:p>
    <w:p w14:paraId="78DD0DC5">
      <w:pPr>
        <w:bidi w:val="0"/>
        <w:ind w:left="0" w:leftChars="0" w:firstLine="0" w:firstLineChars="0"/>
        <w:rPr>
          <w:rFonts w:hint="eastAsia" w:ascii="宋体" w:hAnsi="宋体" w:eastAsia="宋体" w:cs="宋体"/>
          <w:sz w:val="21"/>
          <w:szCs w:val="20"/>
        </w:rPr>
      </w:pPr>
      <w:r>
        <w:rPr>
          <w:rFonts w:hint="eastAsia" w:ascii="宋体" w:hAnsi="宋体" w:cs="宋体"/>
          <w:b/>
          <w:bCs/>
          <w:sz w:val="21"/>
          <w:szCs w:val="20"/>
          <w:lang w:val="en-US" w:eastAsia="zh-CN"/>
        </w:rPr>
        <w:t>【</w:t>
      </w:r>
      <w:r>
        <w:rPr>
          <w:rFonts w:hint="eastAsia" w:ascii="宋体" w:hAnsi="宋体" w:eastAsia="宋体" w:cs="宋体"/>
          <w:b/>
          <w:bCs/>
          <w:sz w:val="21"/>
          <w:szCs w:val="20"/>
          <w:lang w:val="en-US" w:eastAsia="zh-CN"/>
        </w:rPr>
        <w:t>摘要</w:t>
      </w:r>
      <w:r>
        <w:rPr>
          <w:rFonts w:hint="eastAsia" w:ascii="宋体" w:hAnsi="宋体" w:cs="宋体"/>
          <w:b/>
          <w:bCs/>
          <w:sz w:val="21"/>
          <w:szCs w:val="20"/>
          <w:lang w:val="en-US" w:eastAsia="zh-CN"/>
        </w:rPr>
        <w:t>】</w:t>
      </w:r>
      <w:r>
        <w:rPr>
          <w:rFonts w:hint="eastAsia" w:ascii="宋体" w:hAnsi="宋体" w:eastAsia="宋体" w:cs="宋体"/>
          <w:b/>
          <w:bCs/>
          <w:sz w:val="21"/>
          <w:szCs w:val="20"/>
          <w:lang w:val="en-US" w:eastAsia="zh-CN"/>
        </w:rPr>
        <w:t xml:space="preserve"> </w:t>
      </w:r>
      <w:r>
        <w:rPr>
          <w:rFonts w:hint="eastAsia" w:ascii="宋体" w:hAnsi="宋体" w:eastAsia="宋体" w:cs="宋体"/>
          <w:b/>
          <w:bCs/>
          <w:sz w:val="21"/>
          <w:szCs w:val="20"/>
        </w:rPr>
        <w:t>背景</w:t>
      </w:r>
      <w:r>
        <w:rPr>
          <w:rFonts w:hint="eastAsia" w:ascii="宋体" w:hAnsi="宋体" w:cs="宋体"/>
          <w:b/>
          <w:bCs/>
          <w:sz w:val="21"/>
          <w:szCs w:val="20"/>
          <w:lang w:val="en-US" w:eastAsia="zh-CN"/>
        </w:rPr>
        <w:t xml:space="preserve"> </w:t>
      </w:r>
      <w:r>
        <w:rPr>
          <w:rFonts w:hint="default" w:ascii="宋体" w:hAnsi="宋体" w:eastAsia="宋体" w:cs="宋体"/>
          <w:sz w:val="21"/>
          <w:szCs w:val="20"/>
        </w:rPr>
        <w:t>全媒体时代，中医药网络舆情频发，公众在文化认同与医疗实效之间的认知张力日益凸显，传统分析方法难以捕捉舆情背后复杂的事件逻辑与情感演化路径。</w:t>
      </w:r>
      <w:r>
        <w:rPr>
          <w:rFonts w:hint="eastAsia" w:ascii="宋体" w:hAnsi="宋体" w:eastAsia="宋体" w:cs="宋体"/>
          <w:b/>
          <w:bCs/>
          <w:sz w:val="21"/>
          <w:szCs w:val="20"/>
        </w:rPr>
        <w:t>目的</w:t>
      </w:r>
      <w:r>
        <w:rPr>
          <w:rFonts w:hint="eastAsia" w:ascii="宋体" w:hAnsi="宋体" w:cs="宋体"/>
          <w:b/>
          <w:bCs/>
          <w:sz w:val="21"/>
          <w:szCs w:val="20"/>
          <w:lang w:val="en-US" w:eastAsia="zh-CN"/>
        </w:rPr>
        <w:t xml:space="preserve"> </w:t>
      </w:r>
      <w:r>
        <w:rPr>
          <w:rFonts w:hint="eastAsia" w:ascii="宋体" w:hAnsi="宋体" w:eastAsia="宋体" w:cs="宋体"/>
          <w:sz w:val="21"/>
          <w:szCs w:val="20"/>
        </w:rPr>
        <w:t>揭示全媒体时代中医药网络舆情的演化逻辑与风险特征，分析公众认知转型期的信任机制与供需矛盾，为卫生管理部门优化舆情治理提供决策参考。</w:t>
      </w:r>
      <w:r>
        <w:rPr>
          <w:rFonts w:hint="eastAsia" w:ascii="宋体" w:hAnsi="宋体" w:eastAsia="宋体" w:cs="宋体"/>
          <w:b/>
          <w:bCs/>
          <w:sz w:val="21"/>
          <w:szCs w:val="20"/>
        </w:rPr>
        <w:t>方法</w:t>
      </w:r>
      <w:r>
        <w:rPr>
          <w:rFonts w:hint="eastAsia" w:ascii="宋体" w:hAnsi="宋体" w:cs="宋体"/>
          <w:b/>
          <w:bCs/>
          <w:sz w:val="21"/>
          <w:szCs w:val="20"/>
          <w:lang w:val="en-US" w:eastAsia="zh-CN"/>
        </w:rPr>
        <w:t xml:space="preserve"> </w:t>
      </w:r>
      <w:r>
        <w:rPr>
          <w:rFonts w:hint="eastAsia" w:ascii="宋体" w:hAnsi="宋体" w:eastAsia="宋体" w:cs="宋体"/>
          <w:sz w:val="21"/>
          <w:szCs w:val="20"/>
        </w:rPr>
        <w:t>采集2013—2025年微博、抖音、知乎等平台的多源异构数据，构建融合大语言模型（DeepSeek）与事理图谱（Neo4j）的分析框架，对清洗后的16,554条样本进行事理结构识别、情感演化分析与空间异质性测度。</w:t>
      </w:r>
      <w:r>
        <w:rPr>
          <w:rFonts w:hint="eastAsia" w:ascii="宋体" w:hAnsi="宋体" w:eastAsia="宋体" w:cs="宋体"/>
          <w:b/>
          <w:bCs/>
          <w:sz w:val="21"/>
          <w:szCs w:val="20"/>
        </w:rPr>
        <w:t>结果</w:t>
      </w:r>
      <w:r>
        <w:rPr>
          <w:rFonts w:hint="eastAsia" w:ascii="宋体" w:hAnsi="宋体" w:cs="宋体"/>
          <w:b/>
          <w:bCs/>
          <w:sz w:val="21"/>
          <w:szCs w:val="20"/>
          <w:lang w:val="en-US" w:eastAsia="zh-CN"/>
        </w:rPr>
        <w:t xml:space="preserve"> </w:t>
      </w:r>
      <w:r>
        <w:rPr>
          <w:rFonts w:hint="eastAsia" w:ascii="宋体" w:hAnsi="宋体" w:eastAsia="宋体" w:cs="宋体"/>
          <w:sz w:val="21"/>
          <w:szCs w:val="20"/>
        </w:rPr>
        <w:t>中医药舆情呈现“爆发式增长”与“圈层化割裂”并存特征，知乎承载了近60%的深度理性讨论；事理图谱显示公众认知存在“宏观文化认同”与“微观医疗焦虑”的结构性张力，其中“药物安全”议题情感得分最低（−0.439），是信任风险的主要诱因；区域层面呈现“经济—情感”倒挂现象，广东、北京等医疗资源集聚地区出现“高关注—低认同”的评价困境。</w:t>
      </w:r>
      <w:r>
        <w:rPr>
          <w:rFonts w:hint="eastAsia" w:ascii="宋体" w:hAnsi="宋体" w:eastAsia="宋体" w:cs="宋体"/>
          <w:b/>
          <w:bCs/>
          <w:sz w:val="21"/>
          <w:szCs w:val="20"/>
        </w:rPr>
        <w:t>结论</w:t>
      </w:r>
      <w:r>
        <w:rPr>
          <w:rFonts w:hint="eastAsia" w:ascii="宋体" w:hAnsi="宋体" w:cs="宋体"/>
          <w:b/>
          <w:bCs/>
          <w:sz w:val="21"/>
          <w:szCs w:val="20"/>
          <w:lang w:val="en-US" w:eastAsia="zh-CN"/>
        </w:rPr>
        <w:t xml:space="preserve"> </w:t>
      </w:r>
      <w:r>
        <w:rPr>
          <w:rFonts w:hint="eastAsia" w:ascii="宋体" w:hAnsi="宋体" w:eastAsia="宋体" w:cs="宋体"/>
          <w:sz w:val="21"/>
          <w:szCs w:val="20"/>
        </w:rPr>
        <w:t>中医药舆情治理面临认知范式转型与服务供给错位的双重挑战，应推进安全性评价标准化与透明化，实施分区域差异化服务提升策略，并构建跨平台分级分众引导机制，以提升行业公信力。</w:t>
      </w:r>
    </w:p>
    <w:p w14:paraId="1EF3ACA1">
      <w:pPr>
        <w:bidi w:val="0"/>
        <w:ind w:left="0" w:leftChars="0" w:firstLine="0" w:firstLineChars="0"/>
        <w:rPr>
          <w:rFonts w:hint="eastAsia" w:ascii="宋体" w:hAnsi="宋体" w:eastAsia="宋体" w:cs="宋体"/>
          <w:sz w:val="21"/>
          <w:szCs w:val="20"/>
        </w:rPr>
      </w:pPr>
      <w:r>
        <w:rPr>
          <w:rFonts w:hint="eastAsia" w:ascii="宋体" w:hAnsi="宋体" w:cs="宋体"/>
          <w:sz w:val="21"/>
          <w:szCs w:val="20"/>
          <w:lang w:eastAsia="zh-CN"/>
        </w:rPr>
        <w:t>【</w:t>
      </w:r>
      <w:r>
        <w:rPr>
          <w:rFonts w:hint="eastAsia" w:ascii="宋体" w:hAnsi="宋体" w:eastAsia="宋体" w:cs="宋体"/>
          <w:sz w:val="21"/>
          <w:szCs w:val="20"/>
        </w:rPr>
        <w:t>关键词</w:t>
      </w:r>
      <w:r>
        <w:rPr>
          <w:rFonts w:hint="eastAsia" w:ascii="宋体" w:hAnsi="宋体" w:cs="宋体"/>
          <w:sz w:val="21"/>
          <w:szCs w:val="20"/>
          <w:lang w:eastAsia="zh-CN"/>
        </w:rPr>
        <w:t>】</w:t>
      </w:r>
      <w:r>
        <w:rPr>
          <w:rFonts w:hint="eastAsia" w:ascii="宋体" w:hAnsi="宋体" w:eastAsia="宋体" w:cs="宋体"/>
          <w:sz w:val="21"/>
          <w:szCs w:val="20"/>
        </w:rPr>
        <w:t>中医药；网络舆情；事理图谱；大语言模型</w:t>
      </w:r>
    </w:p>
    <w:p w14:paraId="2D8E7796">
      <w:pPr>
        <w:bidi w:val="0"/>
        <w:rPr>
          <w:rFonts w:hint="eastAsia" w:ascii="宋体" w:hAnsi="宋体" w:eastAsia="宋体" w:cs="宋体"/>
          <w:sz w:val="21"/>
          <w:szCs w:val="20"/>
        </w:rPr>
      </w:pPr>
      <w:r>
        <w:rPr>
          <w:rFonts w:hint="eastAsia" w:ascii="宋体" w:hAnsi="宋体" w:eastAsia="宋体" w:cs="宋体"/>
          <w:sz w:val="21"/>
          <w:szCs w:val="20"/>
        </w:rPr>
        <w:t>近年来，中医与相关议题频繁出</w:t>
      </w:r>
      <w:bookmarkStart w:id="0" w:name="_GoBack"/>
      <w:bookmarkEnd w:id="0"/>
      <w:r>
        <w:rPr>
          <w:rFonts w:hint="eastAsia" w:ascii="宋体" w:hAnsi="宋体" w:eastAsia="宋体" w:cs="宋体"/>
          <w:sz w:val="21"/>
          <w:szCs w:val="20"/>
        </w:rPr>
        <w:t>现在网络空间。无论是防疫用药、养生理念，还是疗效争议，都容易引发广泛讨论与情感分化。一方面，中医药作为中华传统医学的重要组成部分，在社会认同层面具有独特的文化影响力；另一方面，伴随公众科学意识增强和媒介舆论放大效应，推动舆论快速引发与扩散</w:t>
      </w:r>
      <w:r>
        <w:rPr>
          <w:rFonts w:hint="eastAsia" w:ascii="宋体" w:hAnsi="宋体" w:eastAsia="宋体" w:cs="宋体"/>
          <w:sz w:val="21"/>
          <w:szCs w:val="20"/>
          <w:vertAlign w:val="superscript"/>
          <w:lang w:val="en-US" w:eastAsia="zh-CN"/>
        </w:rPr>
        <w:t>[1]</w:t>
      </w:r>
      <w:r>
        <w:rPr>
          <w:rFonts w:hint="eastAsia" w:ascii="宋体" w:hAnsi="宋体" w:eastAsia="宋体" w:cs="宋体"/>
          <w:sz w:val="21"/>
          <w:szCs w:val="20"/>
          <w:lang w:eastAsia="zh-CN"/>
        </w:rPr>
        <w:t>。</w:t>
      </w:r>
      <w:r>
        <w:rPr>
          <w:rFonts w:hint="eastAsia" w:ascii="宋体" w:hAnsi="宋体" w:eastAsia="宋体" w:cs="宋体"/>
          <w:sz w:val="21"/>
          <w:szCs w:val="20"/>
        </w:rPr>
        <w:t>关于中医疗效与现代医学标准的讨论不断升温，网络舆情的发展趋势呈现出多元化、智能化和理性化的特点</w:t>
      </w:r>
      <w:r>
        <w:rPr>
          <w:rFonts w:hint="eastAsia" w:ascii="宋体" w:hAnsi="宋体" w:eastAsia="宋体" w:cs="宋体"/>
          <w:sz w:val="21"/>
          <w:szCs w:val="20"/>
          <w:vertAlign w:val="superscript"/>
          <w:lang w:val="en-US" w:eastAsia="zh-CN"/>
        </w:rPr>
        <w:t>[2]</w:t>
      </w:r>
      <w:r>
        <w:rPr>
          <w:rFonts w:hint="eastAsia" w:ascii="宋体" w:hAnsi="宋体" w:eastAsia="宋体" w:cs="宋体"/>
          <w:sz w:val="21"/>
          <w:szCs w:val="20"/>
          <w:lang w:eastAsia="zh-CN"/>
        </w:rPr>
        <w:t>。</w:t>
      </w:r>
      <w:r>
        <w:rPr>
          <w:rFonts w:hint="eastAsia" w:ascii="宋体" w:hAnsi="宋体" w:eastAsia="宋体" w:cs="宋体"/>
          <w:sz w:val="21"/>
          <w:szCs w:val="20"/>
        </w:rPr>
        <w:t>如何系统识别这些舆情中的事件逻辑与演化规律，已成为中医药传播研究和社会治理中的新挑战。</w:t>
      </w:r>
    </w:p>
    <w:p w14:paraId="0EB1255D">
      <w:pPr>
        <w:bidi w:val="0"/>
        <w:rPr>
          <w:rFonts w:hint="eastAsia" w:ascii="宋体" w:hAnsi="宋体" w:eastAsia="宋体" w:cs="宋体"/>
          <w:sz w:val="21"/>
          <w:szCs w:val="20"/>
        </w:rPr>
      </w:pPr>
      <w:r>
        <w:rPr>
          <w:rFonts w:hint="eastAsia" w:ascii="宋体" w:hAnsi="宋体" w:eastAsia="宋体" w:cs="宋体"/>
          <w:sz w:val="21"/>
          <w:szCs w:val="20"/>
        </w:rPr>
        <w:t>传统舆情分析多依赖情感分类和主题聚类，难以揭示事件之间的因果、顺承与反馈关系</w:t>
      </w:r>
      <w:r>
        <w:rPr>
          <w:rFonts w:hint="eastAsia" w:ascii="宋体" w:hAnsi="宋体" w:eastAsia="宋体" w:cs="宋体"/>
          <w:sz w:val="21"/>
          <w:szCs w:val="20"/>
          <w:vertAlign w:val="superscript"/>
          <w:lang w:val="en-US" w:eastAsia="zh-CN"/>
        </w:rPr>
        <w:t>[3]</w:t>
      </w:r>
      <w:r>
        <w:rPr>
          <w:rFonts w:hint="eastAsia" w:ascii="宋体" w:hAnsi="宋体" w:eastAsia="宋体" w:cs="宋体"/>
          <w:sz w:val="21"/>
          <w:szCs w:val="20"/>
        </w:rPr>
        <w:t>。事理图谱作为一种以事件为核心、以逻辑关系为主线的知识表示方式，能够有效展现复杂舆情的内在结构</w:t>
      </w:r>
      <w:r>
        <w:rPr>
          <w:rFonts w:hint="eastAsia" w:ascii="宋体" w:hAnsi="宋体" w:eastAsia="宋体" w:cs="宋体"/>
          <w:sz w:val="21"/>
          <w:szCs w:val="20"/>
          <w:vertAlign w:val="superscript"/>
          <w:lang w:val="en-US" w:eastAsia="zh-CN"/>
        </w:rPr>
        <w:t>[4]</w:t>
      </w:r>
      <w:r>
        <w:rPr>
          <w:rFonts w:hint="eastAsia" w:ascii="宋体" w:hAnsi="宋体" w:eastAsia="宋体" w:cs="宋体"/>
          <w:sz w:val="21"/>
          <w:szCs w:val="20"/>
        </w:rPr>
        <w:t>。与此同时，大语言模型（LLM）的语义理解与关系抽取能力为事理图谱的自动化构建提供了新路径</w:t>
      </w:r>
      <w:r>
        <w:rPr>
          <w:rFonts w:hint="eastAsia" w:ascii="宋体" w:hAnsi="宋体" w:eastAsia="宋体" w:cs="宋体"/>
          <w:sz w:val="21"/>
          <w:szCs w:val="20"/>
          <w:vertAlign w:val="superscript"/>
          <w:lang w:val="en-US" w:eastAsia="zh-CN"/>
        </w:rPr>
        <w:t>[5]</w:t>
      </w:r>
      <w:r>
        <w:rPr>
          <w:rFonts w:hint="eastAsia" w:ascii="宋体" w:hAnsi="宋体" w:eastAsia="宋体" w:cs="宋体"/>
          <w:sz w:val="21"/>
          <w:szCs w:val="20"/>
        </w:rPr>
        <w:t>。基于此，本文以</w:t>
      </w:r>
      <w:r>
        <w:rPr>
          <w:rFonts w:hint="eastAsia" w:ascii="宋体" w:hAnsi="宋体" w:eastAsia="宋体" w:cs="宋体"/>
          <w:sz w:val="21"/>
          <w:szCs w:val="20"/>
          <w:lang w:val="en-US" w:eastAsia="zh-CN"/>
        </w:rPr>
        <w:t>中医药</w:t>
      </w:r>
      <w:r>
        <w:rPr>
          <w:rFonts w:hint="eastAsia" w:ascii="宋体" w:hAnsi="宋体" w:eastAsia="宋体" w:cs="宋体"/>
          <w:sz w:val="21"/>
          <w:szCs w:val="20"/>
        </w:rPr>
        <w:t>相关话题为研究对象，构建基于大语言模型的网络舆情事理图谱，并从事件类型、传播逻辑与情感演化三维度展开分析，旨在揭示公众认知结构与舆情演化机制，为中医药科学传播与网络舆情治理提供可解释的技术支持与决策参考。</w:t>
      </w:r>
    </w:p>
    <w:p w14:paraId="369B048E">
      <w:pPr>
        <w:pStyle w:val="2"/>
        <w:bidi w:val="0"/>
        <w:spacing w:line="300" w:lineRule="exact"/>
        <w:ind w:firstLine="0" w:firstLineChars="0"/>
        <w:rPr>
          <w:rFonts w:hint="eastAsia"/>
          <w:sz w:val="28"/>
          <w:lang w:val="en-US" w:eastAsia="zh-CN"/>
        </w:rPr>
      </w:pPr>
      <w:r>
        <w:rPr>
          <w:rFonts w:hint="eastAsia"/>
          <w:sz w:val="28"/>
          <w:lang w:val="en-US" w:eastAsia="zh-CN"/>
        </w:rPr>
        <w:t>1 资料与方法</w:t>
      </w:r>
    </w:p>
    <w:p w14:paraId="738D3B63">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default" w:cs="宋体"/>
          <w:b w:val="0"/>
          <w:lang w:val="en-US" w:eastAsia="zh-CN" w:bidi="ar"/>
        </w:rPr>
      </w:pPr>
      <w:r>
        <w:rPr>
          <w:rFonts w:hint="default" w:cs="宋体"/>
          <w:b w:val="0"/>
          <w:lang w:val="en-US" w:eastAsia="zh-CN" w:bidi="ar"/>
        </w:rPr>
        <w:t>1.1　研究框架与技术路线</w:t>
      </w:r>
    </w:p>
    <w:p w14:paraId="3BB90A8B">
      <w:pPr>
        <w:bidi w:val="0"/>
        <w:rPr>
          <w:rFonts w:hint="eastAsia" w:ascii="宋体" w:hAnsi="宋体" w:eastAsia="宋体" w:cs="宋体"/>
          <w:sz w:val="21"/>
          <w:szCs w:val="20"/>
          <w:lang w:eastAsia="zh-CN"/>
        </w:rPr>
      </w:pPr>
      <w:r>
        <w:rPr>
          <w:rFonts w:hint="eastAsia" w:ascii="宋体" w:hAnsi="宋体" w:eastAsia="宋体" w:cs="宋体"/>
          <w:sz w:val="21"/>
          <w:szCs w:val="20"/>
        </w:rPr>
        <w:t>为系统刻画中医药网络舆情中事件演化的结构特征与内在逻辑，本文构建了一个融合大语言模型语义分析与图数据库结构表达的综合研究框架（如图1所示）。该框架遵循“数据获取—知识抽取—图谱构建—实证应用”的逻辑闭环</w:t>
      </w:r>
      <w:r>
        <w:rPr>
          <w:rFonts w:hint="eastAsia" w:ascii="宋体" w:hAnsi="宋体" w:eastAsia="宋体" w:cs="宋体"/>
          <w:sz w:val="21"/>
          <w:szCs w:val="20"/>
          <w:vertAlign w:val="superscript"/>
        </w:rPr>
        <w:t>[</w:t>
      </w:r>
      <w:r>
        <w:rPr>
          <w:rFonts w:hint="eastAsia" w:ascii="宋体" w:hAnsi="宋体" w:eastAsia="宋体" w:cs="宋体"/>
          <w:sz w:val="21"/>
          <w:szCs w:val="20"/>
          <w:vertAlign w:val="superscript"/>
          <w:lang w:val="en-US" w:eastAsia="zh-CN"/>
        </w:rPr>
        <w:t>6</w:t>
      </w:r>
      <w:r>
        <w:rPr>
          <w:rFonts w:hint="eastAsia" w:ascii="宋体" w:hAnsi="宋体" w:eastAsia="宋体" w:cs="宋体"/>
          <w:sz w:val="21"/>
          <w:szCs w:val="20"/>
          <w:vertAlign w:val="superscript"/>
        </w:rPr>
        <w:t>]</w:t>
      </w:r>
      <w:r>
        <w:rPr>
          <w:rFonts w:hint="eastAsia" w:ascii="宋体" w:hAnsi="宋体" w:eastAsia="宋体" w:cs="宋体"/>
          <w:sz w:val="21"/>
          <w:szCs w:val="20"/>
          <w:lang w:eastAsia="zh-CN"/>
        </w:rPr>
        <w:t>。</w:t>
      </w:r>
    </w:p>
    <w:p w14:paraId="702FB10E">
      <w:pPr>
        <w:bidi w:val="0"/>
        <w:rPr>
          <w:rFonts w:hint="eastAsia" w:ascii="宋体" w:hAnsi="宋体" w:eastAsia="宋体" w:cs="宋体"/>
          <w:sz w:val="21"/>
          <w:szCs w:val="20"/>
          <w:lang w:eastAsia="zh-CN"/>
        </w:rPr>
      </w:pPr>
      <w:r>
        <w:rPr>
          <w:rFonts w:hint="eastAsia" w:ascii="宋体" w:hAnsi="宋体" w:eastAsia="宋体" w:cs="宋体"/>
          <w:sz w:val="21"/>
          <w:szCs w:val="20"/>
        </w:rPr>
        <w:t>首先，通过多源异构数据采集构建基础语料库；其次，通过API接口调用 DeepSeek提供的大语言模型服务（DeepSeek-LLM通用模型，API稳定版本），在未进行领域微调的前提下，采用零样本与少样本提示相结合的方式，对非结构化文本中的事理三元组与情感属性进行联合抽取；在模型应用过程中，围绕事理要素边界识别与关系类型判定，对提示语进行多轮迭代优化，以提升输出结果在结构与语义上的一致性，并通过多次调用结果一致性原则对潜在幻觉输出进行约束；再次，依托Neo4j图数据库实现舆情要素的实体对齐与网络化存储；最后，从时空演化、拓扑结构及情感归因三个维度展开实证分析，并通过人工校正与稳健性检验对分析结果的可靠性加以验证</w:t>
      </w:r>
      <w:r>
        <w:rPr>
          <w:rFonts w:hint="eastAsia" w:ascii="宋体" w:hAnsi="宋体" w:eastAsia="宋体" w:cs="宋体"/>
          <w:sz w:val="21"/>
          <w:szCs w:val="20"/>
          <w:lang w:eastAsia="zh-CN"/>
        </w:rPr>
        <w:t>。</w:t>
      </w:r>
    </w:p>
    <w:p w14:paraId="6C6BADE8">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4"/>
          <w:szCs w:val="24"/>
          <w:shd w:val="clear" w:fill="FFFFFF"/>
        </w:rPr>
      </w:pPr>
      <w:r>
        <w:rPr>
          <w:sz w:val="24"/>
          <w:szCs w:val="24"/>
        </w:rPr>
        <w:drawing>
          <wp:inline distT="0" distB="0" distL="114300" distR="114300">
            <wp:extent cx="3895090" cy="2541270"/>
            <wp:effectExtent l="0" t="0" r="6350" b="381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6"/>
                    <a:stretch>
                      <a:fillRect/>
                    </a:stretch>
                  </pic:blipFill>
                  <pic:spPr>
                    <a:xfrm>
                      <a:off x="0" y="0"/>
                      <a:ext cx="3895090" cy="2541270"/>
                    </a:xfrm>
                    <a:prstGeom prst="rect">
                      <a:avLst/>
                    </a:prstGeom>
                    <a:noFill/>
                    <a:ln w="9525">
                      <a:noFill/>
                    </a:ln>
                  </pic:spPr>
                </pic:pic>
              </a:graphicData>
            </a:graphic>
          </wp:inline>
        </w:drawing>
      </w:r>
    </w:p>
    <w:p w14:paraId="267E1155">
      <w:pPr>
        <w:bidi w:val="0"/>
        <w:jc w:val="center"/>
        <w:rPr>
          <w:rFonts w:hint="default" w:ascii="宋体" w:hAnsi="宋体" w:eastAsia="宋体" w:cs="宋体"/>
          <w:sz w:val="21"/>
          <w:szCs w:val="20"/>
        </w:rPr>
      </w:pPr>
      <w:r>
        <w:rPr>
          <w:rFonts w:hint="default" w:ascii="宋体" w:hAnsi="宋体" w:eastAsia="宋体" w:cs="宋体"/>
          <w:sz w:val="21"/>
          <w:szCs w:val="20"/>
        </w:rPr>
        <w:t>图 1　基于事理图谱的中医药舆情分析研究技术路线</w:t>
      </w:r>
    </w:p>
    <w:p w14:paraId="318F600B">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val="en-US" w:eastAsia="zh-CN" w:bidi="ar"/>
        </w:rPr>
        <w:t>1</w:t>
      </w:r>
      <w:r>
        <w:rPr>
          <w:rFonts w:hint="eastAsia" w:cs="宋体"/>
          <w:b w:val="0"/>
          <w:lang w:bidi="ar"/>
        </w:rPr>
        <w:t>.</w:t>
      </w:r>
      <w:r>
        <w:rPr>
          <w:rFonts w:hint="eastAsia" w:cs="宋体"/>
          <w:b w:val="0"/>
          <w:lang w:val="en-US" w:eastAsia="zh-CN" w:bidi="ar"/>
        </w:rPr>
        <w:t>2</w:t>
      </w:r>
      <w:r>
        <w:rPr>
          <w:rFonts w:hint="eastAsia" w:cs="宋体"/>
          <w:b w:val="0"/>
          <w:lang w:bidi="ar"/>
        </w:rPr>
        <w:t>　数据来源与样本选择</w:t>
      </w:r>
    </w:p>
    <w:p w14:paraId="31D543D0">
      <w:pPr>
        <w:bidi w:val="0"/>
        <w:rPr>
          <w:rFonts w:hint="eastAsia" w:ascii="宋体" w:hAnsi="宋体" w:eastAsia="宋体" w:cs="宋体"/>
          <w:sz w:val="21"/>
          <w:szCs w:val="20"/>
        </w:rPr>
      </w:pPr>
      <w:r>
        <w:rPr>
          <w:rFonts w:hint="eastAsia" w:ascii="宋体" w:hAnsi="宋体" w:eastAsia="宋体" w:cs="宋体"/>
          <w:sz w:val="21"/>
          <w:szCs w:val="20"/>
        </w:rPr>
        <w:t>本研究选取微博、抖音、知乎与小红书作为舆情监测源，上述平台覆盖了图文资讯、短视频及专业问答等多元舆论场，能够较为全面地映射当前中医药舆情的社会认知全貌。数据采集时间跨度设定为2013年1月至2025年12月。</w:t>
      </w:r>
    </w:p>
    <w:p w14:paraId="1639EB98">
      <w:pPr>
        <w:bidi w:val="0"/>
        <w:rPr>
          <w:rFonts w:hint="eastAsia" w:ascii="宋体" w:hAnsi="宋体" w:eastAsia="宋体" w:cs="宋体"/>
          <w:sz w:val="21"/>
          <w:szCs w:val="20"/>
        </w:rPr>
      </w:pPr>
      <w:r>
        <w:rPr>
          <w:rFonts w:hint="eastAsia" w:ascii="宋体" w:hAnsi="宋体" w:eastAsia="宋体" w:cs="宋体"/>
          <w:sz w:val="21"/>
          <w:szCs w:val="20"/>
        </w:rPr>
        <w:t>为确保样本的代表性与系统性，本研究构建了涵盖“核心概念”“诊疗技术”“药材安全”及“行业治理”四个维度的关键词监测矩阵（见表 1）。通过分层抽样策略，抓取相关主题帖及其高赞评论，以保持舆情事件在语义与时间维度上的完整性。</w:t>
      </w:r>
    </w:p>
    <w:tbl>
      <w:tblPr>
        <w:tblStyle w:val="9"/>
        <w:tblW w:w="8192" w:type="dxa"/>
        <w:jc w:val="center"/>
        <w:tblLayout w:type="fixed"/>
        <w:tblCellMar>
          <w:top w:w="0" w:type="dxa"/>
          <w:left w:w="108" w:type="dxa"/>
          <w:bottom w:w="0" w:type="dxa"/>
          <w:right w:w="108" w:type="dxa"/>
        </w:tblCellMar>
      </w:tblPr>
      <w:tblGrid>
        <w:gridCol w:w="1706"/>
        <w:gridCol w:w="1004"/>
        <w:gridCol w:w="1249"/>
        <w:gridCol w:w="1041"/>
        <w:gridCol w:w="1464"/>
        <w:gridCol w:w="1014"/>
        <w:gridCol w:w="714"/>
      </w:tblGrid>
      <w:tr w14:paraId="146E4231">
        <w:tblPrEx>
          <w:tblCellMar>
            <w:top w:w="0" w:type="dxa"/>
            <w:left w:w="108" w:type="dxa"/>
            <w:bottom w:w="0" w:type="dxa"/>
            <w:right w:w="108" w:type="dxa"/>
          </w:tblCellMar>
        </w:tblPrEx>
        <w:trPr>
          <w:trHeight w:val="489" w:hRule="atLeast"/>
          <w:jc w:val="center"/>
        </w:trPr>
        <w:tc>
          <w:tcPr>
            <w:tcW w:w="1706" w:type="dxa"/>
            <w:tcBorders>
              <w:top w:val="single" w:color="000000" w:sz="12" w:space="0"/>
              <w:left w:val="nil"/>
              <w:bottom w:val="single" w:color="000000" w:sz="4" w:space="0"/>
              <w:right w:val="nil"/>
              <w:tl2br w:val="nil"/>
            </w:tcBorders>
            <w:shd w:val="clear" w:color="auto" w:fill="FFFFFF"/>
            <w:noWrap/>
            <w:vAlign w:val="center"/>
          </w:tcPr>
          <w:p w14:paraId="364ED32C">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维度类别</w:t>
            </w:r>
          </w:p>
        </w:tc>
        <w:tc>
          <w:tcPr>
            <w:tcW w:w="6486" w:type="dxa"/>
            <w:gridSpan w:val="6"/>
            <w:tcBorders>
              <w:top w:val="single" w:color="000000" w:sz="12" w:space="0"/>
              <w:left w:val="nil"/>
              <w:bottom w:val="single" w:color="000000" w:sz="4" w:space="0"/>
              <w:right w:val="nil"/>
            </w:tcBorders>
            <w:shd w:val="clear" w:color="auto" w:fill="FFFFFF"/>
            <w:noWrap/>
            <w:vAlign w:val="center"/>
          </w:tcPr>
          <w:p w14:paraId="090809D7">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核心关键词</w:t>
            </w:r>
          </w:p>
        </w:tc>
      </w:tr>
      <w:tr w14:paraId="0C6913A1">
        <w:tblPrEx>
          <w:tblCellMar>
            <w:top w:w="0" w:type="dxa"/>
            <w:left w:w="108" w:type="dxa"/>
            <w:bottom w:w="0" w:type="dxa"/>
            <w:right w:w="108" w:type="dxa"/>
          </w:tblCellMar>
        </w:tblPrEx>
        <w:trPr>
          <w:trHeight w:val="708" w:hRule="atLeast"/>
          <w:jc w:val="center"/>
        </w:trPr>
        <w:tc>
          <w:tcPr>
            <w:tcW w:w="1706" w:type="dxa"/>
            <w:tcBorders>
              <w:top w:val="single" w:color="000000" w:sz="4" w:space="0"/>
              <w:left w:val="nil"/>
              <w:bottom w:val="nil"/>
              <w:right w:val="nil"/>
            </w:tcBorders>
            <w:shd w:val="clear" w:color="auto" w:fill="FFFFFF"/>
            <w:noWrap/>
            <w:vAlign w:val="center"/>
          </w:tcPr>
          <w:p w14:paraId="64EE1768">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核心概念</w:t>
            </w:r>
          </w:p>
        </w:tc>
        <w:tc>
          <w:tcPr>
            <w:tcW w:w="1004" w:type="dxa"/>
            <w:tcBorders>
              <w:top w:val="single" w:color="000000" w:sz="4" w:space="0"/>
              <w:left w:val="nil"/>
              <w:bottom w:val="nil"/>
              <w:right w:val="nil"/>
            </w:tcBorders>
            <w:shd w:val="clear" w:color="auto" w:fill="FFFFFF"/>
            <w:noWrap/>
            <w:vAlign w:val="center"/>
          </w:tcPr>
          <w:p w14:paraId="1D04E72C">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w:t>
            </w:r>
          </w:p>
        </w:tc>
        <w:tc>
          <w:tcPr>
            <w:tcW w:w="1249" w:type="dxa"/>
            <w:tcBorders>
              <w:top w:val="single" w:color="000000" w:sz="4" w:space="0"/>
              <w:left w:val="nil"/>
              <w:bottom w:val="nil"/>
              <w:right w:val="nil"/>
            </w:tcBorders>
            <w:shd w:val="clear" w:color="auto" w:fill="FFFFFF"/>
            <w:noWrap/>
            <w:vAlign w:val="center"/>
          </w:tcPr>
          <w:p w14:paraId="60253629">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中药</w:t>
            </w:r>
          </w:p>
        </w:tc>
        <w:tc>
          <w:tcPr>
            <w:tcW w:w="1041" w:type="dxa"/>
            <w:tcBorders>
              <w:top w:val="single" w:color="000000" w:sz="4" w:space="0"/>
              <w:left w:val="nil"/>
              <w:bottom w:val="nil"/>
              <w:right w:val="nil"/>
            </w:tcBorders>
            <w:shd w:val="clear" w:color="auto" w:fill="FFFFFF"/>
            <w:noWrap/>
            <w:vAlign w:val="center"/>
          </w:tcPr>
          <w:p w14:paraId="0E9B9F0F">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中医药</w:t>
            </w:r>
          </w:p>
        </w:tc>
        <w:tc>
          <w:tcPr>
            <w:tcW w:w="1464" w:type="dxa"/>
            <w:tcBorders>
              <w:top w:val="single" w:color="000000" w:sz="4" w:space="0"/>
              <w:left w:val="nil"/>
              <w:bottom w:val="nil"/>
              <w:right w:val="nil"/>
            </w:tcBorders>
            <w:shd w:val="clear" w:color="auto" w:fill="FFFFFF"/>
            <w:noWrap/>
            <w:vAlign w:val="center"/>
          </w:tcPr>
          <w:p w14:paraId="0331C5F7">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中医药舆情</w:t>
            </w:r>
          </w:p>
        </w:tc>
        <w:tc>
          <w:tcPr>
            <w:tcW w:w="1014" w:type="dxa"/>
            <w:tcBorders>
              <w:top w:val="single" w:color="000000" w:sz="4" w:space="0"/>
              <w:left w:val="nil"/>
              <w:bottom w:val="nil"/>
              <w:right w:val="nil"/>
            </w:tcBorders>
            <w:shd w:val="clear" w:color="auto" w:fill="FFFFFF"/>
            <w:noWrap/>
            <w:vAlign w:val="center"/>
          </w:tcPr>
          <w:p w14:paraId="27843B18">
            <w:pPr>
              <w:ind w:firstLine="480"/>
              <w:rPr>
                <w:rFonts w:hint="eastAsia" w:ascii="宋体" w:hAnsi="宋体" w:eastAsia="宋体" w:cs="宋体"/>
                <w:color w:val="000000"/>
                <w:sz w:val="24"/>
                <w:szCs w:val="24"/>
              </w:rPr>
            </w:pPr>
          </w:p>
        </w:tc>
        <w:tc>
          <w:tcPr>
            <w:tcW w:w="714" w:type="dxa"/>
            <w:tcBorders>
              <w:top w:val="single" w:color="000000" w:sz="4" w:space="0"/>
              <w:left w:val="nil"/>
              <w:bottom w:val="nil"/>
              <w:right w:val="nil"/>
            </w:tcBorders>
            <w:shd w:val="clear" w:color="auto" w:fill="FFFFFF"/>
            <w:noWrap/>
            <w:vAlign w:val="center"/>
          </w:tcPr>
          <w:p w14:paraId="16DBE190">
            <w:pPr>
              <w:ind w:firstLine="480"/>
              <w:rPr>
                <w:rFonts w:hint="eastAsia" w:ascii="宋体" w:hAnsi="宋体" w:eastAsia="宋体" w:cs="宋体"/>
                <w:color w:val="000000"/>
                <w:sz w:val="24"/>
                <w:szCs w:val="24"/>
              </w:rPr>
            </w:pPr>
          </w:p>
        </w:tc>
      </w:tr>
      <w:tr w14:paraId="5D76A22C">
        <w:tblPrEx>
          <w:tblCellMar>
            <w:top w:w="0" w:type="dxa"/>
            <w:left w:w="108" w:type="dxa"/>
            <w:bottom w:w="0" w:type="dxa"/>
            <w:right w:w="108" w:type="dxa"/>
          </w:tblCellMar>
        </w:tblPrEx>
        <w:trPr>
          <w:trHeight w:val="622" w:hRule="atLeast"/>
          <w:jc w:val="center"/>
        </w:trPr>
        <w:tc>
          <w:tcPr>
            <w:tcW w:w="1706" w:type="dxa"/>
            <w:tcBorders>
              <w:top w:val="nil"/>
              <w:left w:val="nil"/>
              <w:bottom w:val="nil"/>
              <w:right w:val="nil"/>
            </w:tcBorders>
            <w:shd w:val="clear" w:color="auto" w:fill="FFFFFF"/>
            <w:noWrap/>
            <w:vAlign w:val="center"/>
          </w:tcPr>
          <w:p w14:paraId="3622B173">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诊疗技术</w:t>
            </w:r>
          </w:p>
        </w:tc>
        <w:tc>
          <w:tcPr>
            <w:tcW w:w="1004" w:type="dxa"/>
            <w:tcBorders>
              <w:top w:val="nil"/>
              <w:left w:val="nil"/>
              <w:bottom w:val="nil"/>
              <w:right w:val="nil"/>
            </w:tcBorders>
            <w:shd w:val="clear" w:color="auto" w:fill="FFFFFF"/>
            <w:noWrap/>
            <w:vAlign w:val="center"/>
          </w:tcPr>
          <w:p w14:paraId="6BFE57D3">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针灸</w:t>
            </w:r>
          </w:p>
        </w:tc>
        <w:tc>
          <w:tcPr>
            <w:tcW w:w="1249" w:type="dxa"/>
            <w:tcBorders>
              <w:top w:val="nil"/>
              <w:left w:val="nil"/>
              <w:bottom w:val="nil"/>
              <w:right w:val="nil"/>
            </w:tcBorders>
            <w:shd w:val="clear" w:color="auto" w:fill="FFFFFF"/>
            <w:noWrap/>
            <w:vAlign w:val="center"/>
          </w:tcPr>
          <w:p w14:paraId="177C2BB2">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推拿</w:t>
            </w:r>
          </w:p>
        </w:tc>
        <w:tc>
          <w:tcPr>
            <w:tcW w:w="1041" w:type="dxa"/>
            <w:tcBorders>
              <w:top w:val="nil"/>
              <w:left w:val="nil"/>
              <w:bottom w:val="nil"/>
              <w:right w:val="nil"/>
            </w:tcBorders>
            <w:shd w:val="clear" w:color="auto" w:fill="FFFFFF"/>
            <w:noWrap/>
            <w:vAlign w:val="center"/>
          </w:tcPr>
          <w:p w14:paraId="11A510D3">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艾灸</w:t>
            </w:r>
          </w:p>
        </w:tc>
        <w:tc>
          <w:tcPr>
            <w:tcW w:w="1464" w:type="dxa"/>
            <w:tcBorders>
              <w:top w:val="nil"/>
              <w:left w:val="nil"/>
              <w:bottom w:val="nil"/>
              <w:right w:val="nil"/>
            </w:tcBorders>
            <w:shd w:val="clear" w:color="auto" w:fill="FFFFFF"/>
            <w:noWrap/>
            <w:vAlign w:val="center"/>
          </w:tcPr>
          <w:p w14:paraId="04833B3C">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拔火罐</w:t>
            </w:r>
          </w:p>
        </w:tc>
        <w:tc>
          <w:tcPr>
            <w:tcW w:w="1014" w:type="dxa"/>
            <w:tcBorders>
              <w:top w:val="nil"/>
              <w:left w:val="nil"/>
              <w:bottom w:val="nil"/>
              <w:right w:val="nil"/>
            </w:tcBorders>
            <w:shd w:val="clear" w:color="auto" w:fill="FFFFFF"/>
            <w:noWrap/>
            <w:vAlign w:val="center"/>
          </w:tcPr>
          <w:p w14:paraId="39841256">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三伏贴</w:t>
            </w:r>
          </w:p>
        </w:tc>
        <w:tc>
          <w:tcPr>
            <w:tcW w:w="714" w:type="dxa"/>
            <w:tcBorders>
              <w:top w:val="nil"/>
              <w:left w:val="nil"/>
              <w:bottom w:val="nil"/>
              <w:right w:val="nil"/>
            </w:tcBorders>
            <w:shd w:val="clear" w:color="auto" w:fill="FFFFFF"/>
            <w:noWrap/>
            <w:vAlign w:val="center"/>
          </w:tcPr>
          <w:p w14:paraId="1AC04729">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冬病夏治</w:t>
            </w:r>
          </w:p>
        </w:tc>
      </w:tr>
      <w:tr w14:paraId="16B84E68">
        <w:tblPrEx>
          <w:tblCellMar>
            <w:top w:w="0" w:type="dxa"/>
            <w:left w:w="108" w:type="dxa"/>
            <w:bottom w:w="0" w:type="dxa"/>
            <w:right w:w="108" w:type="dxa"/>
          </w:tblCellMar>
        </w:tblPrEx>
        <w:trPr>
          <w:trHeight w:val="625" w:hRule="atLeast"/>
          <w:jc w:val="center"/>
        </w:trPr>
        <w:tc>
          <w:tcPr>
            <w:tcW w:w="1706" w:type="dxa"/>
            <w:tcBorders>
              <w:top w:val="nil"/>
              <w:left w:val="nil"/>
              <w:bottom w:val="nil"/>
              <w:right w:val="nil"/>
            </w:tcBorders>
            <w:shd w:val="clear" w:color="auto" w:fill="FFFFFF"/>
            <w:noWrap/>
            <w:vAlign w:val="center"/>
          </w:tcPr>
          <w:p w14:paraId="2B384741">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药材与安全</w:t>
            </w:r>
          </w:p>
        </w:tc>
        <w:tc>
          <w:tcPr>
            <w:tcW w:w="1004" w:type="dxa"/>
            <w:tcBorders>
              <w:top w:val="nil"/>
              <w:left w:val="nil"/>
              <w:bottom w:val="nil"/>
              <w:right w:val="nil"/>
            </w:tcBorders>
            <w:shd w:val="clear" w:color="auto" w:fill="FFFFFF"/>
            <w:noWrap/>
            <w:vAlign w:val="center"/>
          </w:tcPr>
          <w:p w14:paraId="29125737">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中药饮片</w:t>
            </w:r>
          </w:p>
        </w:tc>
        <w:tc>
          <w:tcPr>
            <w:tcW w:w="1249" w:type="dxa"/>
            <w:tcBorders>
              <w:top w:val="nil"/>
              <w:left w:val="nil"/>
              <w:bottom w:val="nil"/>
              <w:right w:val="nil"/>
            </w:tcBorders>
            <w:shd w:val="clear" w:color="auto" w:fill="FFFFFF"/>
            <w:noWrap/>
            <w:vAlign w:val="center"/>
          </w:tcPr>
          <w:p w14:paraId="3FA8A136">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中药副作用</w:t>
            </w:r>
          </w:p>
        </w:tc>
        <w:tc>
          <w:tcPr>
            <w:tcW w:w="1041" w:type="dxa"/>
            <w:tcBorders>
              <w:top w:val="nil"/>
              <w:left w:val="nil"/>
              <w:bottom w:val="nil"/>
              <w:right w:val="nil"/>
            </w:tcBorders>
            <w:shd w:val="clear" w:color="auto" w:fill="FFFFFF"/>
            <w:noWrap/>
            <w:vAlign w:val="center"/>
          </w:tcPr>
          <w:p w14:paraId="433D725A">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中药注射剂</w:t>
            </w:r>
          </w:p>
        </w:tc>
        <w:tc>
          <w:tcPr>
            <w:tcW w:w="1464" w:type="dxa"/>
            <w:tcBorders>
              <w:top w:val="nil"/>
              <w:left w:val="nil"/>
              <w:bottom w:val="nil"/>
              <w:right w:val="nil"/>
            </w:tcBorders>
            <w:shd w:val="clear" w:color="auto" w:fill="FFFFFF"/>
            <w:noWrap/>
            <w:vAlign w:val="center"/>
          </w:tcPr>
          <w:p w14:paraId="2758C974">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中药材价格</w:t>
            </w:r>
          </w:p>
        </w:tc>
        <w:tc>
          <w:tcPr>
            <w:tcW w:w="1014" w:type="dxa"/>
            <w:tcBorders>
              <w:top w:val="nil"/>
              <w:left w:val="nil"/>
              <w:bottom w:val="nil"/>
              <w:right w:val="nil"/>
            </w:tcBorders>
            <w:shd w:val="clear" w:color="auto" w:fill="FFFFFF"/>
            <w:noWrap/>
            <w:vAlign w:val="center"/>
          </w:tcPr>
          <w:p w14:paraId="14352A0E">
            <w:pPr>
              <w:ind w:firstLine="480"/>
              <w:rPr>
                <w:rFonts w:hint="eastAsia" w:ascii="宋体" w:hAnsi="宋体" w:eastAsia="宋体" w:cs="宋体"/>
                <w:color w:val="000000"/>
                <w:sz w:val="24"/>
                <w:szCs w:val="24"/>
              </w:rPr>
            </w:pPr>
          </w:p>
        </w:tc>
        <w:tc>
          <w:tcPr>
            <w:tcW w:w="714" w:type="dxa"/>
            <w:tcBorders>
              <w:top w:val="nil"/>
              <w:left w:val="nil"/>
              <w:bottom w:val="nil"/>
              <w:right w:val="nil"/>
            </w:tcBorders>
            <w:shd w:val="clear" w:color="auto" w:fill="FFFFFF"/>
            <w:noWrap/>
            <w:vAlign w:val="center"/>
          </w:tcPr>
          <w:p w14:paraId="569B166E">
            <w:pPr>
              <w:ind w:firstLine="480"/>
              <w:rPr>
                <w:rFonts w:hint="eastAsia" w:ascii="宋体" w:hAnsi="宋体" w:eastAsia="宋体" w:cs="宋体"/>
                <w:color w:val="000000"/>
                <w:sz w:val="24"/>
                <w:szCs w:val="24"/>
              </w:rPr>
            </w:pPr>
          </w:p>
        </w:tc>
      </w:tr>
      <w:tr w14:paraId="59D0CEE8">
        <w:tblPrEx>
          <w:tblCellMar>
            <w:top w:w="0" w:type="dxa"/>
            <w:left w:w="108" w:type="dxa"/>
            <w:bottom w:w="0" w:type="dxa"/>
            <w:right w:w="108" w:type="dxa"/>
          </w:tblCellMar>
        </w:tblPrEx>
        <w:trPr>
          <w:trHeight w:val="820" w:hRule="atLeast"/>
          <w:jc w:val="center"/>
        </w:trPr>
        <w:tc>
          <w:tcPr>
            <w:tcW w:w="1706" w:type="dxa"/>
            <w:tcBorders>
              <w:top w:val="nil"/>
              <w:left w:val="nil"/>
              <w:bottom w:val="single" w:color="000000" w:sz="12" w:space="0"/>
              <w:right w:val="nil"/>
            </w:tcBorders>
            <w:shd w:val="clear" w:color="auto" w:fill="FFFFFF"/>
            <w:noWrap/>
            <w:vAlign w:val="center"/>
          </w:tcPr>
          <w:p w14:paraId="37A4BA75">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行业争议与治理</w:t>
            </w:r>
          </w:p>
        </w:tc>
        <w:tc>
          <w:tcPr>
            <w:tcW w:w="1004" w:type="dxa"/>
            <w:tcBorders>
              <w:top w:val="nil"/>
              <w:left w:val="nil"/>
              <w:bottom w:val="single" w:color="000000" w:sz="12" w:space="0"/>
              <w:right w:val="nil"/>
            </w:tcBorders>
            <w:shd w:val="clear" w:color="auto" w:fill="FFFFFF"/>
            <w:noWrap/>
            <w:vAlign w:val="center"/>
          </w:tcPr>
          <w:p w14:paraId="4591E9B4">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中医纠纷</w:t>
            </w:r>
          </w:p>
        </w:tc>
        <w:tc>
          <w:tcPr>
            <w:tcW w:w="1249" w:type="dxa"/>
            <w:tcBorders>
              <w:top w:val="nil"/>
              <w:left w:val="nil"/>
              <w:bottom w:val="single" w:color="000000" w:sz="12" w:space="0"/>
              <w:right w:val="nil"/>
            </w:tcBorders>
            <w:shd w:val="clear" w:color="auto" w:fill="FFFFFF"/>
            <w:noWrap/>
            <w:vAlign w:val="center"/>
          </w:tcPr>
          <w:p w14:paraId="09BF7802">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中医争议</w:t>
            </w:r>
          </w:p>
        </w:tc>
        <w:tc>
          <w:tcPr>
            <w:tcW w:w="1041" w:type="dxa"/>
            <w:tcBorders>
              <w:top w:val="nil"/>
              <w:left w:val="nil"/>
              <w:bottom w:val="single" w:color="000000" w:sz="12" w:space="0"/>
              <w:right w:val="nil"/>
            </w:tcBorders>
            <w:shd w:val="clear" w:color="auto" w:fill="FFFFFF"/>
            <w:noWrap/>
            <w:vAlign w:val="center"/>
          </w:tcPr>
          <w:p w14:paraId="116BA17F">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中医安全</w:t>
            </w:r>
          </w:p>
        </w:tc>
        <w:tc>
          <w:tcPr>
            <w:tcW w:w="1464" w:type="dxa"/>
            <w:tcBorders>
              <w:top w:val="nil"/>
              <w:left w:val="nil"/>
              <w:bottom w:val="single" w:color="000000" w:sz="12" w:space="0"/>
              <w:right w:val="nil"/>
            </w:tcBorders>
            <w:shd w:val="clear" w:color="auto" w:fill="FFFFFF"/>
            <w:noWrap/>
            <w:vAlign w:val="center"/>
          </w:tcPr>
          <w:p w14:paraId="691F4486">
            <w:pPr>
              <w:ind w:firstLine="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中医规范化</w:t>
            </w:r>
          </w:p>
        </w:tc>
        <w:tc>
          <w:tcPr>
            <w:tcW w:w="1014" w:type="dxa"/>
            <w:tcBorders>
              <w:top w:val="nil"/>
              <w:left w:val="nil"/>
              <w:bottom w:val="single" w:color="000000" w:sz="12" w:space="0"/>
              <w:right w:val="nil"/>
            </w:tcBorders>
            <w:shd w:val="clear" w:color="auto" w:fill="FFFFFF"/>
            <w:noWrap/>
            <w:vAlign w:val="center"/>
          </w:tcPr>
          <w:p w14:paraId="6F94BC24">
            <w:pPr>
              <w:ind w:firstLine="0" w:firstLineChars="0"/>
              <w:rPr>
                <w:rFonts w:hint="eastAsia" w:ascii="宋体" w:hAnsi="宋体" w:eastAsia="宋体" w:cs="宋体"/>
                <w:color w:val="000000"/>
                <w:sz w:val="24"/>
                <w:szCs w:val="24"/>
              </w:rPr>
            </w:pPr>
          </w:p>
        </w:tc>
        <w:tc>
          <w:tcPr>
            <w:tcW w:w="714" w:type="dxa"/>
            <w:tcBorders>
              <w:top w:val="nil"/>
              <w:left w:val="nil"/>
              <w:bottom w:val="single" w:color="000000" w:sz="12" w:space="0"/>
              <w:right w:val="nil"/>
            </w:tcBorders>
            <w:shd w:val="clear" w:color="auto" w:fill="FFFFFF"/>
            <w:noWrap/>
            <w:vAlign w:val="center"/>
          </w:tcPr>
          <w:p w14:paraId="3802ADC2">
            <w:pPr>
              <w:ind w:firstLine="480"/>
              <w:rPr>
                <w:rFonts w:hint="eastAsia" w:ascii="宋体" w:hAnsi="宋体" w:eastAsia="宋体" w:cs="宋体"/>
                <w:color w:val="000000"/>
                <w:sz w:val="24"/>
                <w:szCs w:val="24"/>
              </w:rPr>
            </w:pPr>
          </w:p>
        </w:tc>
      </w:tr>
    </w:tbl>
    <w:p w14:paraId="2D2FCF88">
      <w:pPr>
        <w:bidi w:val="0"/>
        <w:jc w:val="center"/>
        <w:rPr>
          <w:rFonts w:hint="eastAsia" w:ascii="宋体" w:hAnsi="宋体" w:eastAsia="宋体" w:cs="宋体"/>
          <w:sz w:val="21"/>
          <w:szCs w:val="20"/>
        </w:rPr>
      </w:pPr>
      <w:r>
        <w:rPr>
          <w:rFonts w:hint="eastAsia" w:ascii="宋体" w:hAnsi="宋体" w:eastAsia="宋体" w:cs="宋体"/>
          <w:sz w:val="21"/>
          <w:szCs w:val="20"/>
        </w:rPr>
        <w:t>表 1 中医药网络舆情采集关键词矩阵</w:t>
      </w:r>
    </w:p>
    <w:p w14:paraId="5D8943AA">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1.</w:t>
      </w:r>
      <w:r>
        <w:rPr>
          <w:rFonts w:hint="eastAsia" w:cs="宋体"/>
          <w:b w:val="0"/>
          <w:lang w:val="en-US" w:eastAsia="zh-CN" w:bidi="ar"/>
        </w:rPr>
        <w:t>3</w:t>
      </w:r>
      <w:r>
        <w:rPr>
          <w:rFonts w:hint="eastAsia" w:cs="宋体"/>
          <w:b w:val="0"/>
          <w:lang w:bidi="ar"/>
        </w:rPr>
        <w:t>　数据预处理</w:t>
      </w:r>
    </w:p>
    <w:p w14:paraId="0D575736">
      <w:pPr>
        <w:bidi w:val="0"/>
        <w:rPr>
          <w:rFonts w:hint="eastAsia" w:ascii="宋体" w:hAnsi="宋体" w:eastAsia="宋体" w:cs="宋体"/>
          <w:sz w:val="21"/>
          <w:szCs w:val="20"/>
        </w:rPr>
      </w:pPr>
      <w:r>
        <w:rPr>
          <w:rFonts w:hint="eastAsia" w:ascii="宋体" w:hAnsi="宋体" w:eastAsia="宋体" w:cs="宋体"/>
          <w:sz w:val="21"/>
          <w:szCs w:val="20"/>
        </w:rPr>
        <w:t>鉴于多源异构数据的非结构化特征，本研究实施了标准化的预处理流程：首先，建立统一的元数据映射规则，将不同来源数据规范为包含文本内容、发布时间、平台来源及关联ID的五元组结构，其中保留IP属地信息以支撑后续的区域差异分析；其次，对时间字段进行标准化转换，消除跨平台时间尺度差异；最后，剔除商业营销及无效文本，最终获得有效样本16554条。</w:t>
      </w:r>
    </w:p>
    <w:p w14:paraId="7FDDF39F">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1.</w:t>
      </w:r>
      <w:r>
        <w:rPr>
          <w:rFonts w:hint="eastAsia" w:cs="宋体"/>
          <w:b w:val="0"/>
          <w:lang w:val="en-US" w:eastAsia="zh-CN" w:bidi="ar"/>
        </w:rPr>
        <w:t>4</w:t>
      </w:r>
      <w:r>
        <w:rPr>
          <w:rFonts w:hint="eastAsia" w:cs="宋体"/>
          <w:b w:val="0"/>
          <w:lang w:bidi="ar"/>
        </w:rPr>
        <w:t>　研究方法与变量测度</w:t>
      </w:r>
      <w:r>
        <w:rPr>
          <w:rFonts w:hint="eastAsia" w:cs="宋体"/>
          <w:b w:val="0"/>
          <w:lang w:bidi="ar"/>
        </w:rPr>
        <w:br w:type="textWrapping"/>
      </w:r>
      <w:r>
        <w:rPr>
          <w:rFonts w:hint="eastAsia" w:cs="宋体"/>
          <w:b w:val="0"/>
          <w:lang w:bidi="ar"/>
        </w:rPr>
        <w:t>1.</w:t>
      </w:r>
      <w:r>
        <w:rPr>
          <w:rFonts w:hint="eastAsia" w:cs="宋体"/>
          <w:b w:val="0"/>
          <w:lang w:val="en-US" w:eastAsia="zh-CN" w:bidi="ar"/>
        </w:rPr>
        <w:t>4</w:t>
      </w:r>
      <w:r>
        <w:rPr>
          <w:rFonts w:hint="eastAsia" w:cs="宋体"/>
          <w:b w:val="0"/>
          <w:lang w:bidi="ar"/>
        </w:rPr>
        <w:t>.1　基于大模型的舆情要素识别</w:t>
      </w:r>
    </w:p>
    <w:p w14:paraId="5D886222">
      <w:pPr>
        <w:bidi w:val="0"/>
        <w:rPr>
          <w:rFonts w:hint="eastAsia" w:ascii="宋体" w:hAnsi="宋体" w:eastAsia="宋体" w:cs="宋体"/>
          <w:sz w:val="21"/>
          <w:szCs w:val="20"/>
        </w:rPr>
      </w:pPr>
      <w:r>
        <w:rPr>
          <w:rFonts w:hint="eastAsia" w:ascii="宋体" w:hAnsi="宋体" w:eastAsia="宋体" w:cs="宋体"/>
          <w:sz w:val="21"/>
          <w:szCs w:val="20"/>
        </w:rPr>
        <w:t>本研究借助大语言模型（LLM）的语义理解能力，对非结构化文本进行变量测度。基于知信行理论与事件演化逻辑，定义了三类核心分析变量：</w:t>
      </w:r>
    </w:p>
    <w:p w14:paraId="67756FBE">
      <w:pPr>
        <w:bidi w:val="0"/>
        <w:rPr>
          <w:rFonts w:hint="eastAsia" w:ascii="宋体" w:hAnsi="宋体" w:eastAsia="宋体" w:cs="宋体"/>
          <w:sz w:val="21"/>
          <w:szCs w:val="20"/>
        </w:rPr>
      </w:pPr>
      <w:r>
        <w:rPr>
          <w:rFonts w:hint="eastAsia" w:ascii="宋体" w:hAnsi="宋体" w:eastAsia="宋体" w:cs="宋体"/>
          <w:sz w:val="21"/>
          <w:szCs w:val="20"/>
        </w:rPr>
        <w:t>（</w:t>
      </w:r>
      <w:r>
        <w:rPr>
          <w:rFonts w:hint="eastAsia" w:ascii="宋体" w:hAnsi="宋体" w:eastAsia="宋体" w:cs="宋体"/>
          <w:sz w:val="21"/>
          <w:szCs w:val="20"/>
          <w:lang w:val="en-US" w:eastAsia="zh-CN"/>
        </w:rPr>
        <w:t>1</w:t>
      </w:r>
      <w:r>
        <w:rPr>
          <w:rFonts w:hint="eastAsia" w:ascii="宋体" w:hAnsi="宋体" w:eastAsia="宋体" w:cs="宋体"/>
          <w:sz w:val="21"/>
          <w:szCs w:val="20"/>
        </w:rPr>
        <w:t>）事理结构变量：识别舆情事件的“施事主体”（如医疗机构、公众）、“受事客体”（如诊疗技术、政策）及“行为关系”（如质疑、治疗），构建事件演化逻辑链。</w:t>
      </w:r>
    </w:p>
    <w:p w14:paraId="63A13BC7">
      <w:pPr>
        <w:bidi w:val="0"/>
        <w:rPr>
          <w:rFonts w:hint="eastAsia" w:ascii="宋体" w:hAnsi="宋体" w:eastAsia="宋体" w:cs="宋体"/>
          <w:sz w:val="21"/>
          <w:szCs w:val="20"/>
        </w:rPr>
      </w:pPr>
      <w:r>
        <w:rPr>
          <w:rFonts w:hint="eastAsia" w:ascii="宋体" w:hAnsi="宋体" w:eastAsia="宋体" w:cs="宋体"/>
          <w:sz w:val="21"/>
          <w:szCs w:val="20"/>
        </w:rPr>
        <w:t>（</w:t>
      </w:r>
      <w:r>
        <w:rPr>
          <w:rFonts w:hint="eastAsia" w:ascii="宋体" w:hAnsi="宋体" w:eastAsia="宋体" w:cs="宋体"/>
          <w:sz w:val="21"/>
          <w:szCs w:val="20"/>
          <w:lang w:val="en-US" w:eastAsia="zh-CN"/>
        </w:rPr>
        <w:t>2</w:t>
      </w:r>
      <w:r>
        <w:rPr>
          <w:rFonts w:hint="eastAsia" w:ascii="宋体" w:hAnsi="宋体" w:eastAsia="宋体" w:cs="宋体"/>
          <w:sz w:val="21"/>
          <w:szCs w:val="20"/>
        </w:rPr>
        <w:t>）情感倾向变量：采用[-1.0,1.0]的连续数值量化公众的情感态度（从极负到极正）。</w:t>
      </w:r>
    </w:p>
    <w:p w14:paraId="2CD717BB">
      <w:pPr>
        <w:bidi w:val="0"/>
        <w:rPr>
          <w:rFonts w:hint="eastAsia" w:ascii="宋体" w:hAnsi="宋体" w:eastAsia="宋体" w:cs="宋体"/>
          <w:sz w:val="21"/>
          <w:szCs w:val="20"/>
        </w:rPr>
      </w:pPr>
      <w:r>
        <w:rPr>
          <w:rFonts w:hint="eastAsia" w:ascii="宋体" w:hAnsi="宋体" w:eastAsia="宋体" w:cs="宋体"/>
          <w:sz w:val="21"/>
          <w:szCs w:val="20"/>
        </w:rPr>
        <w:t>（3）议题归类变量：依据内容特征将舆情划分为政策法规、临床疗效、药物安全、服务体验及文化传播五大议题。</w:t>
      </w:r>
    </w:p>
    <w:p w14:paraId="108CC1DB">
      <w:pPr>
        <w:bidi w:val="0"/>
        <w:rPr>
          <w:rFonts w:hint="eastAsia" w:ascii="宋体" w:hAnsi="宋体" w:eastAsia="宋体" w:cs="宋体"/>
          <w:sz w:val="21"/>
          <w:szCs w:val="20"/>
        </w:rPr>
      </w:pPr>
      <w:r>
        <w:rPr>
          <w:rFonts w:hint="eastAsia" w:ascii="宋体" w:hAnsi="宋体" w:eastAsia="宋体" w:cs="宋体"/>
          <w:sz w:val="21"/>
          <w:szCs w:val="20"/>
        </w:rPr>
        <w:t>为确保识别准确性，设计了包含角色设定与约束逻辑的提示词框架（见表2），</w:t>
      </w:r>
    </w:p>
    <w:tbl>
      <w:tblPr>
        <w:tblStyle w:val="9"/>
        <w:tblpPr w:leftFromText="180" w:rightFromText="180" w:vertAnchor="text" w:horzAnchor="page" w:tblpXSpec="center" w:tblpY="308"/>
        <w:tblOverlap w:val="never"/>
        <w:tblW w:w="8599" w:type="dxa"/>
        <w:jc w:val="center"/>
        <w:tblCellSpacing w:w="15" w:type="dxa"/>
        <w:tblLayout w:type="autofit"/>
        <w:tblCellMar>
          <w:top w:w="15" w:type="dxa"/>
          <w:left w:w="15" w:type="dxa"/>
          <w:bottom w:w="15" w:type="dxa"/>
          <w:right w:w="15" w:type="dxa"/>
        </w:tblCellMar>
      </w:tblPr>
      <w:tblGrid>
        <w:gridCol w:w="915"/>
        <w:gridCol w:w="7684"/>
      </w:tblGrid>
      <w:tr w14:paraId="0A96AFC2">
        <w:tblPrEx>
          <w:tblCellMar>
            <w:top w:w="15" w:type="dxa"/>
            <w:left w:w="15" w:type="dxa"/>
            <w:bottom w:w="15" w:type="dxa"/>
            <w:right w:w="15" w:type="dxa"/>
          </w:tblCellMar>
        </w:tblPrEx>
        <w:trPr>
          <w:trHeight w:val="984" w:hRule="atLeast"/>
          <w:tblCellSpacing w:w="15" w:type="dxa"/>
          <w:jc w:val="center"/>
        </w:trPr>
        <w:tc>
          <w:tcPr>
            <w:tcW w:w="0" w:type="auto"/>
            <w:tcBorders>
              <w:top w:val="single" w:color="000000" w:sz="12" w:space="0"/>
              <w:bottom w:val="single" w:color="000000" w:sz="4" w:space="0"/>
              <w:right w:val="nil"/>
              <w:tl2br w:val="nil"/>
            </w:tcBorders>
            <w:shd w:val="clear" w:color="auto" w:fill="FFFFFF"/>
            <w:tcMar>
              <w:top w:w="72" w:type="dxa"/>
              <w:left w:w="144" w:type="dxa"/>
              <w:bottom w:w="72" w:type="dxa"/>
              <w:right w:w="144" w:type="dxa"/>
            </w:tcMar>
            <w:vAlign w:val="center"/>
          </w:tcPr>
          <w:p w14:paraId="221A163A">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模块层级</w:t>
            </w:r>
          </w:p>
        </w:tc>
        <w:tc>
          <w:tcPr>
            <w:tcW w:w="0" w:type="auto"/>
            <w:tcBorders>
              <w:top w:val="single" w:color="000000" w:sz="12" w:space="0"/>
              <w:bottom w:val="single" w:color="000000" w:sz="4" w:space="0"/>
              <w:right w:val="nil"/>
            </w:tcBorders>
            <w:shd w:val="clear" w:color="auto" w:fill="FFFFFF"/>
            <w:tcMar>
              <w:top w:w="72" w:type="dxa"/>
              <w:left w:w="144" w:type="dxa"/>
              <w:bottom w:w="72" w:type="dxa"/>
              <w:right w:w="144" w:type="dxa"/>
            </w:tcMar>
            <w:vAlign w:val="center"/>
          </w:tcPr>
          <w:p w14:paraId="616D0C59">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指令内容与约束逻辑</w:t>
            </w:r>
          </w:p>
        </w:tc>
      </w:tr>
      <w:tr w14:paraId="79B823EB">
        <w:tblPrEx>
          <w:tblCellMar>
            <w:top w:w="15" w:type="dxa"/>
            <w:left w:w="15" w:type="dxa"/>
            <w:bottom w:w="15" w:type="dxa"/>
            <w:right w:w="15" w:type="dxa"/>
          </w:tblCellMar>
        </w:tblPrEx>
        <w:trPr>
          <w:trHeight w:val="902" w:hRule="atLeast"/>
          <w:tblCellSpacing w:w="15" w:type="dxa"/>
          <w:jc w:val="center"/>
        </w:trPr>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423DC635">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角色设定</w:t>
            </w:r>
          </w:p>
        </w:tc>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145FD0C9">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你是一名中医药网络舆情分析专家，擅长从非结构化文本中提取逻辑关系。</w:t>
            </w:r>
          </w:p>
        </w:tc>
      </w:tr>
      <w:tr w14:paraId="7C9A53DF">
        <w:tblPrEx>
          <w:tblCellMar>
            <w:top w:w="15" w:type="dxa"/>
            <w:left w:w="15" w:type="dxa"/>
            <w:bottom w:w="15" w:type="dxa"/>
            <w:right w:w="15" w:type="dxa"/>
          </w:tblCellMar>
        </w:tblPrEx>
        <w:trPr>
          <w:trHeight w:val="884" w:hRule="atLeast"/>
          <w:tblCellSpacing w:w="15" w:type="dxa"/>
          <w:jc w:val="center"/>
        </w:trPr>
        <w:tc>
          <w:tcPr>
            <w:tcW w:w="0" w:type="auto"/>
            <w:tcBorders>
              <w:right w:val="nil"/>
            </w:tcBorders>
            <w:shd w:val="clear" w:color="auto" w:fill="FFFFFF"/>
            <w:tcMar>
              <w:top w:w="72" w:type="dxa"/>
              <w:left w:w="144" w:type="dxa"/>
              <w:bottom w:w="72" w:type="dxa"/>
              <w:right w:w="144" w:type="dxa"/>
            </w:tcMar>
            <w:vAlign w:val="center"/>
          </w:tcPr>
          <w:p w14:paraId="7EA39DEB">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任务定义</w:t>
            </w:r>
          </w:p>
        </w:tc>
        <w:tc>
          <w:tcPr>
            <w:tcW w:w="0" w:type="auto"/>
            <w:tcBorders>
              <w:right w:val="nil"/>
            </w:tcBorders>
            <w:shd w:val="clear" w:color="auto" w:fill="FFFFFF"/>
            <w:tcMar>
              <w:top w:w="72" w:type="dxa"/>
              <w:left w:w="144" w:type="dxa"/>
              <w:bottom w:w="72" w:type="dxa"/>
              <w:right w:w="144" w:type="dxa"/>
            </w:tcMar>
            <w:vAlign w:val="center"/>
          </w:tcPr>
          <w:p w14:paraId="03E5D2B2">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请阅读输入的社交媒体文本，进行事理三元组与情感属性的联合抽取。如果文本包含多个独立事件，请以 JSON 列表形式输出所有事件。</w:t>
            </w:r>
          </w:p>
        </w:tc>
      </w:tr>
      <w:tr w14:paraId="0ACBEED3">
        <w:tblPrEx>
          <w:tblCellMar>
            <w:top w:w="15" w:type="dxa"/>
            <w:left w:w="15" w:type="dxa"/>
            <w:bottom w:w="15" w:type="dxa"/>
            <w:right w:w="15" w:type="dxa"/>
          </w:tblCellMar>
        </w:tblPrEx>
        <w:trPr>
          <w:trHeight w:val="2584" w:hRule="atLeast"/>
          <w:tblCellSpacing w:w="15" w:type="dxa"/>
          <w:jc w:val="center"/>
        </w:trPr>
        <w:tc>
          <w:tcPr>
            <w:tcW w:w="0" w:type="auto"/>
            <w:tcBorders>
              <w:right w:val="nil"/>
            </w:tcBorders>
            <w:shd w:val="clear" w:color="auto" w:fill="FFFFFF"/>
            <w:tcMar>
              <w:top w:w="72" w:type="dxa"/>
              <w:left w:w="144" w:type="dxa"/>
              <w:bottom w:w="72" w:type="dxa"/>
              <w:right w:w="144" w:type="dxa"/>
            </w:tcMar>
            <w:vAlign w:val="center"/>
          </w:tcPr>
          <w:p w14:paraId="6DE1B4A2">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约束</w:t>
            </w:r>
          </w:p>
        </w:tc>
        <w:tc>
          <w:tcPr>
            <w:tcW w:w="0" w:type="auto"/>
            <w:tcBorders>
              <w:right w:val="nil"/>
            </w:tcBorders>
            <w:shd w:val="clear" w:color="auto" w:fill="FFFFFF"/>
            <w:tcMar>
              <w:top w:w="72" w:type="dxa"/>
              <w:left w:w="144" w:type="dxa"/>
              <w:bottom w:w="72" w:type="dxa"/>
              <w:right w:w="144" w:type="dxa"/>
            </w:tcMar>
            <w:vAlign w:val="center"/>
          </w:tcPr>
          <w:p w14:paraId="5571E212">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1. 施事主体 ：事件的发起者（如医疗机构、中药方剂、网友）。若无明确主体填“未知”；</w:t>
            </w:r>
          </w:p>
          <w:p w14:paraId="3110DA60">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2. 核心行为 ：连接主客体的谓语动作（如发布、质疑、治疗）；</w:t>
            </w:r>
          </w:p>
          <w:p w14:paraId="021266D1">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3. 受事客体 ：动作的对象或接受者；</w:t>
            </w:r>
          </w:p>
          <w:p w14:paraId="43DEE575">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4. 情感标签 ：限制为{正面,负面,中性}三选一；</w:t>
            </w:r>
          </w:p>
          <w:p w14:paraId="13A186FF">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5. 情感得分：范围 [-1.0, 1.0]，反映情感强度；</w:t>
            </w:r>
          </w:p>
          <w:p w14:paraId="70F66AA0">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6. 话题分类 ：限制为{政策法规,临床疗效, 药物安全, 服务体验, 文化传播}。</w:t>
            </w:r>
          </w:p>
        </w:tc>
      </w:tr>
      <w:tr w14:paraId="24ED62C7">
        <w:tblPrEx>
          <w:tblCellMar>
            <w:top w:w="15" w:type="dxa"/>
            <w:left w:w="15" w:type="dxa"/>
            <w:bottom w:w="15" w:type="dxa"/>
            <w:right w:w="15" w:type="dxa"/>
          </w:tblCellMar>
        </w:tblPrEx>
        <w:trPr>
          <w:trHeight w:val="966" w:hRule="atLeast"/>
          <w:tblCellSpacing w:w="15" w:type="dxa"/>
          <w:jc w:val="center"/>
        </w:trPr>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673842E7">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输出规范</w:t>
            </w:r>
          </w:p>
        </w:tc>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445768B3">
            <w:pPr>
              <w:pStyle w:val="8"/>
              <w:widowControl/>
              <w:spacing w:beforeAutospacing="0" w:afterAutospacing="0"/>
              <w:ind w:firstLine="0" w:firstLineChars="0"/>
              <w:rPr>
                <w:rFonts w:hint="eastAsia" w:ascii="宋体" w:hAnsi="宋体" w:eastAsia="宋体" w:cs="宋体"/>
                <w:sz w:val="24"/>
                <w:szCs w:val="24"/>
              </w:rPr>
            </w:pPr>
            <w:r>
              <w:rPr>
                <w:rFonts w:hint="eastAsia" w:ascii="宋体" w:hAnsi="宋体" w:eastAsia="宋体" w:cs="宋体"/>
                <w:sz w:val="24"/>
                <w:szCs w:val="24"/>
              </w:rPr>
              <w:t>输出必须为标准的 JSON 格式，严禁包含 Markdown 标记或额外解释性文字。</w:t>
            </w:r>
          </w:p>
        </w:tc>
      </w:tr>
    </w:tbl>
    <w:p w14:paraId="2F0F6A7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leftChars="0" w:right="0" w:firstLine="0" w:firstLineChars="0"/>
        <w:jc w:val="both"/>
        <w:textAlignment w:val="auto"/>
        <w:rPr>
          <w:rFonts w:hint="eastAsia" w:ascii="宋体" w:hAnsi="宋体" w:eastAsia="宋体" w:cs="宋体"/>
          <w:i w:val="0"/>
          <w:iCs w:val="0"/>
          <w:caps w:val="0"/>
          <w:color w:val="1A1C1E"/>
          <w:spacing w:val="0"/>
          <w:sz w:val="22"/>
          <w:szCs w:val="22"/>
          <w:shd w:val="clear" w:fill="FFFFFF"/>
        </w:rPr>
      </w:pPr>
      <w:r>
        <w:rPr>
          <w:rFonts w:hint="eastAsia" w:ascii="宋体" w:hAnsi="宋体" w:eastAsia="宋体" w:cs="宋体"/>
          <w:i w:val="0"/>
          <w:iCs w:val="0"/>
          <w:caps w:val="0"/>
          <w:color w:val="1A1C1E"/>
          <w:spacing w:val="0"/>
          <w:sz w:val="22"/>
          <w:szCs w:val="22"/>
          <w:shd w:val="clear" w:fill="FFFFFF"/>
        </w:rPr>
        <w:t xml:space="preserve"> </w:t>
      </w:r>
    </w:p>
    <w:p w14:paraId="7126E933">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3B0AB51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47ACBC3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0AF7F9D0">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5F5EFE82">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3E019C61">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6CE62A1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79CEC0F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477E624A">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63F85701">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55FC0EF6">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right="0" w:firstLine="0"/>
        <w:jc w:val="center"/>
        <w:textAlignment w:val="auto"/>
        <w:rPr>
          <w:rFonts w:hint="eastAsia" w:ascii="宋体" w:hAnsi="宋体" w:eastAsia="宋体" w:cs="宋体"/>
          <w:i w:val="0"/>
          <w:iCs w:val="0"/>
          <w:caps w:val="0"/>
          <w:color w:val="1A1C1E"/>
          <w:spacing w:val="0"/>
          <w:sz w:val="22"/>
          <w:szCs w:val="22"/>
          <w:shd w:val="clear" w:fill="FFFFFF"/>
        </w:rPr>
      </w:pPr>
    </w:p>
    <w:p w14:paraId="6103881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tLeast"/>
        <w:ind w:left="0" w:leftChars="0" w:right="0" w:firstLine="0" w:firstLineChars="0"/>
        <w:jc w:val="both"/>
        <w:textAlignment w:val="auto"/>
        <w:rPr>
          <w:rFonts w:hint="eastAsia" w:ascii="宋体" w:hAnsi="宋体" w:eastAsia="宋体" w:cs="宋体"/>
          <w:i w:val="0"/>
          <w:iCs w:val="0"/>
          <w:caps w:val="0"/>
          <w:color w:val="1A1C1E"/>
          <w:spacing w:val="0"/>
          <w:sz w:val="22"/>
          <w:szCs w:val="22"/>
          <w:shd w:val="clear" w:fill="FFFFFF"/>
        </w:rPr>
      </w:pPr>
    </w:p>
    <w:p w14:paraId="226F9FD3">
      <w:pPr>
        <w:bidi w:val="0"/>
        <w:jc w:val="center"/>
        <w:rPr>
          <w:rFonts w:hint="eastAsia" w:ascii="宋体" w:hAnsi="宋体" w:eastAsia="宋体" w:cs="宋体"/>
          <w:sz w:val="21"/>
          <w:szCs w:val="20"/>
        </w:rPr>
      </w:pPr>
      <w:r>
        <w:rPr>
          <w:rFonts w:hint="eastAsia" w:ascii="宋体" w:hAnsi="宋体" w:eastAsia="宋体" w:cs="宋体"/>
          <w:sz w:val="21"/>
          <w:szCs w:val="20"/>
          <w:lang w:val="en-US" w:eastAsia="zh-CN"/>
        </w:rPr>
        <w:t>表</w:t>
      </w:r>
      <w:r>
        <w:rPr>
          <w:rFonts w:hint="eastAsia" w:ascii="宋体" w:hAnsi="宋体" w:eastAsia="宋体" w:cs="宋体"/>
          <w:sz w:val="21"/>
          <w:szCs w:val="20"/>
        </w:rPr>
        <w:t>2 舆情要素识别策略与变量约束</w:t>
      </w:r>
    </w:p>
    <w:p w14:paraId="6FDBFB1F">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1</w:t>
      </w:r>
      <w:r>
        <w:rPr>
          <w:rFonts w:hint="eastAsia" w:cs="宋体"/>
          <w:b w:val="0"/>
          <w:lang w:val="en-US" w:eastAsia="zh-CN" w:bidi="ar"/>
        </w:rPr>
        <w:t>.4</w:t>
      </w:r>
      <w:r>
        <w:rPr>
          <w:rFonts w:hint="eastAsia" w:cs="宋体"/>
          <w:b w:val="0"/>
          <w:lang w:bidi="ar"/>
        </w:rPr>
        <w:t>.2　事理图谱构建与分析策略</w:t>
      </w:r>
    </w:p>
    <w:p w14:paraId="623AA577">
      <w:pPr>
        <w:bidi w:val="0"/>
        <w:rPr>
          <w:rFonts w:hint="eastAsia" w:ascii="宋体" w:hAnsi="宋体" w:eastAsia="宋体" w:cs="宋体"/>
          <w:sz w:val="21"/>
          <w:szCs w:val="20"/>
        </w:rPr>
      </w:pPr>
      <w:r>
        <w:rPr>
          <w:rFonts w:hint="eastAsia" w:ascii="宋体" w:hAnsi="宋体" w:eastAsia="宋体" w:cs="宋体"/>
          <w:sz w:val="21"/>
          <w:szCs w:val="20"/>
        </w:rPr>
        <w:t>采用图数据库技术构建中医药舆情事理图谱，实现舆情要素的实体对齐与网络化存储</w:t>
      </w:r>
      <w:r>
        <w:rPr>
          <w:rFonts w:hint="eastAsia" w:ascii="宋体" w:hAnsi="宋体" w:eastAsia="宋体" w:cs="宋体"/>
          <w:sz w:val="21"/>
          <w:szCs w:val="20"/>
          <w:vertAlign w:val="superscript"/>
          <w:lang w:val="en-US" w:eastAsia="zh-CN"/>
        </w:rPr>
        <w:t>[7]</w:t>
      </w:r>
      <w:r>
        <w:rPr>
          <w:rFonts w:hint="eastAsia" w:ascii="宋体" w:hAnsi="宋体" w:eastAsia="宋体" w:cs="宋体"/>
          <w:sz w:val="21"/>
          <w:szCs w:val="20"/>
        </w:rPr>
        <w:t>。在分析策略上，运用社会网络分析（SNA）中的度中心性（Degree Centrality）识别关键意见领袖与核心议题，通过子图检索分析舆情风险的归因逻辑，并结合四象限分析法探究舆情热度与情感倾向的空间分布特征，从而为卫生管理部门提供决策支持。</w:t>
      </w:r>
    </w:p>
    <w:p w14:paraId="426DF8F5">
      <w:pPr>
        <w:pStyle w:val="2"/>
        <w:bidi w:val="0"/>
        <w:spacing w:line="300" w:lineRule="exact"/>
        <w:ind w:firstLine="0" w:firstLineChars="0"/>
        <w:rPr>
          <w:rFonts w:hint="eastAsia"/>
          <w:sz w:val="28"/>
        </w:rPr>
      </w:pPr>
      <w:r>
        <w:rPr>
          <w:rFonts w:hint="eastAsia"/>
          <w:sz w:val="28"/>
        </w:rPr>
        <w:t>2　结果</w:t>
      </w:r>
    </w:p>
    <w:p w14:paraId="743C9B80">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2.1　舆情样本的分布特征</w:t>
      </w:r>
      <w:r>
        <w:rPr>
          <w:rFonts w:hint="eastAsia" w:cs="宋体"/>
          <w:b w:val="0"/>
          <w:lang w:bidi="ar"/>
        </w:rPr>
        <w:br w:type="textWrapping"/>
      </w:r>
      <w:r>
        <w:rPr>
          <w:rFonts w:hint="eastAsia" w:cs="宋体"/>
          <w:b w:val="0"/>
          <w:lang w:bidi="ar"/>
        </w:rPr>
        <w:t>2.1.1　平台生态位的差异化分布</w:t>
      </w:r>
      <w:r>
        <w:rPr>
          <w:rFonts w:hint="eastAsia" w:cs="宋体"/>
          <w:b w:val="0"/>
          <w:lang w:eastAsia="zh-CN" w:bidi="ar"/>
        </w:rPr>
        <w:t>。</w:t>
      </w:r>
    </w:p>
    <w:p w14:paraId="3642A366">
      <w:pPr>
        <w:bidi w:val="0"/>
        <w:rPr>
          <w:rFonts w:hint="eastAsia" w:ascii="宋体" w:hAnsi="宋体" w:eastAsia="宋体" w:cs="宋体"/>
          <w:sz w:val="21"/>
          <w:szCs w:val="20"/>
        </w:rPr>
      </w:pPr>
      <w:r>
        <w:rPr>
          <w:rFonts w:hint="eastAsia" w:ascii="宋体" w:hAnsi="宋体" w:eastAsia="宋体" w:cs="宋体"/>
          <w:sz w:val="21"/>
          <w:szCs w:val="20"/>
        </w:rPr>
        <w:t>统计结果显示（见表 3），不同平台的舆情生态位差异显著。知乎汇集了近 60% 的讨论量，表明中医药话题具有较强的知识密集型特征，公众倾向于在问答社区进行深度机理探讨；小红书（19.87%）与抖音（13.47%）则主要承载了“就医体验分享”与“养生方剂推广”等生活化内容。这种分布提示，中医药舆情已形成“理性辨析为主、感性体验为辅”的复合格局。</w:t>
      </w:r>
    </w:p>
    <w:tbl>
      <w:tblPr>
        <w:tblStyle w:val="9"/>
        <w:tblW w:w="0" w:type="auto"/>
        <w:jc w:val="center"/>
        <w:tblCellSpacing w:w="15" w:type="dxa"/>
        <w:tblLayout w:type="autofit"/>
        <w:tblCellMar>
          <w:top w:w="15" w:type="dxa"/>
          <w:left w:w="15" w:type="dxa"/>
          <w:bottom w:w="15" w:type="dxa"/>
          <w:right w:w="15" w:type="dxa"/>
        </w:tblCellMar>
      </w:tblPr>
      <w:tblGrid>
        <w:gridCol w:w="1293"/>
        <w:gridCol w:w="1878"/>
        <w:gridCol w:w="1278"/>
        <w:gridCol w:w="5373"/>
      </w:tblGrid>
      <w:tr w14:paraId="4AD3A621">
        <w:tblPrEx>
          <w:tblCellMar>
            <w:top w:w="15" w:type="dxa"/>
            <w:left w:w="15" w:type="dxa"/>
            <w:bottom w:w="15" w:type="dxa"/>
            <w:right w:w="15" w:type="dxa"/>
          </w:tblCellMar>
        </w:tblPrEx>
        <w:trPr>
          <w:tblCellSpacing w:w="15" w:type="dxa"/>
          <w:jc w:val="center"/>
        </w:trPr>
        <w:tc>
          <w:tcPr>
            <w:tcW w:w="0" w:type="auto"/>
            <w:tcBorders>
              <w:top w:val="single" w:color="000000" w:sz="12" w:space="0"/>
              <w:bottom w:val="single" w:color="000000" w:sz="4" w:space="0"/>
              <w:right w:val="nil"/>
              <w:tl2br w:val="nil"/>
            </w:tcBorders>
            <w:shd w:val="clear" w:color="auto" w:fill="FFFFFF"/>
            <w:tcMar>
              <w:top w:w="72" w:type="dxa"/>
              <w:left w:w="144" w:type="dxa"/>
              <w:bottom w:w="72" w:type="dxa"/>
              <w:right w:w="144" w:type="dxa"/>
            </w:tcMar>
            <w:vAlign w:val="center"/>
          </w:tcPr>
          <w:p w14:paraId="75877D5B">
            <w:pPr>
              <w:ind w:firstLine="0" w:firstLineChars="0"/>
              <w:rPr>
                <w:rFonts w:hint="eastAsia" w:ascii="宋体" w:hAnsi="宋体" w:eastAsia="宋体" w:cs="宋体"/>
                <w:sz w:val="24"/>
                <w:szCs w:val="24"/>
              </w:rPr>
            </w:pPr>
            <w:r>
              <w:rPr>
                <w:rFonts w:hint="eastAsia" w:ascii="宋体" w:hAnsi="宋体" w:eastAsia="宋体" w:cs="宋体"/>
                <w:sz w:val="24"/>
                <w:szCs w:val="24"/>
              </w:rPr>
              <w:t>平台来源</w:t>
            </w:r>
          </w:p>
        </w:tc>
        <w:tc>
          <w:tcPr>
            <w:tcW w:w="0" w:type="auto"/>
            <w:tcBorders>
              <w:top w:val="single" w:color="000000" w:sz="12" w:space="0"/>
              <w:bottom w:val="single" w:color="000000" w:sz="4" w:space="0"/>
              <w:right w:val="nil"/>
            </w:tcBorders>
            <w:shd w:val="clear" w:color="auto" w:fill="FFFFFF"/>
            <w:tcMar>
              <w:top w:w="72" w:type="dxa"/>
              <w:left w:w="144" w:type="dxa"/>
              <w:bottom w:w="72" w:type="dxa"/>
              <w:right w:w="144" w:type="dxa"/>
            </w:tcMar>
            <w:vAlign w:val="center"/>
          </w:tcPr>
          <w:p w14:paraId="69E10E22">
            <w:pPr>
              <w:ind w:firstLine="0" w:firstLineChars="0"/>
              <w:rPr>
                <w:rFonts w:hint="eastAsia" w:ascii="宋体" w:hAnsi="宋体" w:eastAsia="宋体" w:cs="宋体"/>
                <w:sz w:val="24"/>
                <w:szCs w:val="24"/>
              </w:rPr>
            </w:pPr>
            <w:r>
              <w:rPr>
                <w:rFonts w:hint="eastAsia" w:ascii="宋体" w:hAnsi="宋体" w:eastAsia="宋体" w:cs="宋体"/>
                <w:sz w:val="24"/>
                <w:szCs w:val="24"/>
              </w:rPr>
              <w:t>样本数量 (条)</w:t>
            </w:r>
          </w:p>
        </w:tc>
        <w:tc>
          <w:tcPr>
            <w:tcW w:w="0" w:type="auto"/>
            <w:tcBorders>
              <w:top w:val="single" w:color="000000" w:sz="12" w:space="0"/>
              <w:bottom w:val="single" w:color="000000" w:sz="4" w:space="0"/>
              <w:right w:val="nil"/>
            </w:tcBorders>
            <w:shd w:val="clear" w:color="auto" w:fill="FFFFFF"/>
            <w:tcMar>
              <w:top w:w="72" w:type="dxa"/>
              <w:left w:w="144" w:type="dxa"/>
              <w:bottom w:w="72" w:type="dxa"/>
              <w:right w:w="144" w:type="dxa"/>
            </w:tcMar>
            <w:vAlign w:val="center"/>
          </w:tcPr>
          <w:p w14:paraId="79E814C6">
            <w:pPr>
              <w:ind w:firstLine="0" w:firstLineChars="0"/>
              <w:rPr>
                <w:rFonts w:hint="eastAsia" w:ascii="宋体" w:hAnsi="宋体" w:eastAsia="宋体" w:cs="宋体"/>
                <w:sz w:val="24"/>
                <w:szCs w:val="24"/>
              </w:rPr>
            </w:pPr>
            <w:r>
              <w:rPr>
                <w:rFonts w:hint="eastAsia" w:ascii="宋体" w:hAnsi="宋体" w:eastAsia="宋体" w:cs="宋体"/>
                <w:sz w:val="24"/>
                <w:szCs w:val="24"/>
              </w:rPr>
              <w:t>占比 (%)</w:t>
            </w:r>
          </w:p>
        </w:tc>
        <w:tc>
          <w:tcPr>
            <w:tcW w:w="0" w:type="auto"/>
            <w:tcBorders>
              <w:top w:val="single" w:color="000000" w:sz="12" w:space="0"/>
              <w:bottom w:val="single" w:color="000000" w:sz="4" w:space="0"/>
              <w:right w:val="nil"/>
            </w:tcBorders>
            <w:shd w:val="clear" w:color="auto" w:fill="FFFFFF"/>
            <w:tcMar>
              <w:top w:w="72" w:type="dxa"/>
              <w:left w:w="144" w:type="dxa"/>
              <w:bottom w:w="72" w:type="dxa"/>
              <w:right w:w="144" w:type="dxa"/>
            </w:tcMar>
            <w:vAlign w:val="center"/>
          </w:tcPr>
          <w:p w14:paraId="5771FBBF">
            <w:pPr>
              <w:ind w:firstLine="0" w:firstLineChars="0"/>
              <w:rPr>
                <w:rFonts w:hint="eastAsia" w:ascii="宋体" w:hAnsi="宋体" w:eastAsia="宋体" w:cs="宋体"/>
                <w:sz w:val="24"/>
                <w:szCs w:val="24"/>
              </w:rPr>
            </w:pPr>
            <w:r>
              <w:rPr>
                <w:rFonts w:hint="eastAsia" w:ascii="宋体" w:hAnsi="宋体" w:eastAsia="宋体" w:cs="宋体"/>
                <w:sz w:val="24"/>
                <w:szCs w:val="24"/>
              </w:rPr>
              <w:t>舆情生态特征简述</w:t>
            </w:r>
          </w:p>
        </w:tc>
      </w:tr>
      <w:tr w14:paraId="3915F952">
        <w:tblPrEx>
          <w:tblCellMar>
            <w:top w:w="15" w:type="dxa"/>
            <w:left w:w="15" w:type="dxa"/>
            <w:bottom w:w="15" w:type="dxa"/>
            <w:right w:w="15" w:type="dxa"/>
          </w:tblCellMar>
        </w:tblPrEx>
        <w:trPr>
          <w:tblCellSpacing w:w="15" w:type="dxa"/>
          <w:jc w:val="center"/>
        </w:trPr>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34990E5D">
            <w:pPr>
              <w:ind w:firstLine="0" w:firstLineChars="0"/>
              <w:rPr>
                <w:rFonts w:hint="eastAsia" w:ascii="宋体" w:hAnsi="宋体" w:eastAsia="宋体" w:cs="宋体"/>
                <w:sz w:val="24"/>
                <w:szCs w:val="24"/>
              </w:rPr>
            </w:pPr>
            <w:r>
              <w:rPr>
                <w:rFonts w:hint="eastAsia" w:ascii="宋体" w:hAnsi="宋体" w:eastAsia="宋体" w:cs="宋体"/>
                <w:sz w:val="24"/>
                <w:szCs w:val="24"/>
              </w:rPr>
              <w:t>知乎</w:t>
            </w:r>
          </w:p>
        </w:tc>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6EC8DF79">
            <w:pPr>
              <w:ind w:firstLine="0" w:firstLineChars="0"/>
              <w:rPr>
                <w:rFonts w:hint="eastAsia" w:ascii="宋体" w:hAnsi="宋体" w:eastAsia="宋体" w:cs="宋体"/>
                <w:sz w:val="24"/>
                <w:szCs w:val="24"/>
              </w:rPr>
            </w:pPr>
            <w:r>
              <w:rPr>
                <w:rFonts w:hint="eastAsia" w:ascii="宋体" w:hAnsi="宋体" w:eastAsia="宋体" w:cs="宋体"/>
                <w:sz w:val="24"/>
                <w:szCs w:val="24"/>
              </w:rPr>
              <w:t>9,895</w:t>
            </w:r>
          </w:p>
        </w:tc>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2B320F0F">
            <w:pPr>
              <w:ind w:firstLine="0" w:firstLineChars="0"/>
              <w:rPr>
                <w:rFonts w:hint="eastAsia" w:ascii="宋体" w:hAnsi="宋体" w:eastAsia="宋体" w:cs="宋体"/>
                <w:sz w:val="24"/>
                <w:szCs w:val="24"/>
              </w:rPr>
            </w:pPr>
            <w:r>
              <w:rPr>
                <w:rFonts w:hint="eastAsia" w:ascii="宋体" w:hAnsi="宋体" w:eastAsia="宋体" w:cs="宋体"/>
                <w:sz w:val="24"/>
                <w:szCs w:val="24"/>
              </w:rPr>
              <w:t>59.77%</w:t>
            </w:r>
          </w:p>
        </w:tc>
        <w:tc>
          <w:tcPr>
            <w:tcW w:w="0" w:type="auto"/>
            <w:tcBorders>
              <w:top w:val="single" w:color="000000" w:sz="4" w:space="0"/>
              <w:right w:val="nil"/>
            </w:tcBorders>
            <w:shd w:val="clear" w:color="auto" w:fill="FFFFFF"/>
            <w:tcMar>
              <w:top w:w="72" w:type="dxa"/>
              <w:left w:w="144" w:type="dxa"/>
              <w:bottom w:w="72" w:type="dxa"/>
              <w:right w:w="144" w:type="dxa"/>
            </w:tcMar>
            <w:vAlign w:val="center"/>
          </w:tcPr>
          <w:p w14:paraId="3A786DB8">
            <w:pPr>
              <w:ind w:firstLine="0" w:firstLineChars="0"/>
              <w:rPr>
                <w:rFonts w:hint="eastAsia" w:ascii="宋体" w:hAnsi="宋体" w:eastAsia="宋体" w:cs="宋体"/>
                <w:sz w:val="24"/>
                <w:szCs w:val="24"/>
              </w:rPr>
            </w:pPr>
            <w:r>
              <w:rPr>
                <w:rFonts w:hint="eastAsia" w:ascii="宋体" w:hAnsi="宋体" w:eastAsia="宋体" w:cs="宋体"/>
                <w:sz w:val="24"/>
                <w:szCs w:val="24"/>
              </w:rPr>
              <w:t>侧重机理探讨、疗效辨证与行业乱象的深度复盘</w:t>
            </w:r>
          </w:p>
        </w:tc>
      </w:tr>
      <w:tr w14:paraId="04F77C67">
        <w:tblPrEx>
          <w:tblCellMar>
            <w:top w:w="15" w:type="dxa"/>
            <w:left w:w="15" w:type="dxa"/>
            <w:bottom w:w="15" w:type="dxa"/>
            <w:right w:w="15" w:type="dxa"/>
          </w:tblCellMar>
        </w:tblPrEx>
        <w:trPr>
          <w:tblCellSpacing w:w="15" w:type="dxa"/>
          <w:jc w:val="center"/>
        </w:trPr>
        <w:tc>
          <w:tcPr>
            <w:tcW w:w="0" w:type="auto"/>
            <w:tcBorders>
              <w:right w:val="nil"/>
            </w:tcBorders>
            <w:shd w:val="clear" w:color="auto" w:fill="FFFFFF"/>
            <w:tcMar>
              <w:top w:w="72" w:type="dxa"/>
              <w:left w:w="144" w:type="dxa"/>
              <w:bottom w:w="72" w:type="dxa"/>
              <w:right w:w="144" w:type="dxa"/>
            </w:tcMar>
            <w:vAlign w:val="center"/>
          </w:tcPr>
          <w:p w14:paraId="1B0A9196">
            <w:pPr>
              <w:ind w:firstLine="0" w:firstLineChars="0"/>
              <w:rPr>
                <w:rFonts w:hint="eastAsia" w:ascii="宋体" w:hAnsi="宋体" w:eastAsia="宋体" w:cs="宋体"/>
                <w:sz w:val="24"/>
                <w:szCs w:val="24"/>
              </w:rPr>
            </w:pPr>
            <w:r>
              <w:rPr>
                <w:rFonts w:hint="eastAsia" w:ascii="宋体" w:hAnsi="宋体" w:eastAsia="宋体" w:cs="宋体"/>
                <w:sz w:val="24"/>
                <w:szCs w:val="24"/>
              </w:rPr>
              <w:t>小红书</w:t>
            </w:r>
          </w:p>
        </w:tc>
        <w:tc>
          <w:tcPr>
            <w:tcW w:w="0" w:type="auto"/>
            <w:tcBorders>
              <w:right w:val="nil"/>
            </w:tcBorders>
            <w:shd w:val="clear" w:color="auto" w:fill="FFFFFF"/>
            <w:tcMar>
              <w:top w:w="72" w:type="dxa"/>
              <w:left w:w="144" w:type="dxa"/>
              <w:bottom w:w="72" w:type="dxa"/>
              <w:right w:w="144" w:type="dxa"/>
            </w:tcMar>
            <w:vAlign w:val="center"/>
          </w:tcPr>
          <w:p w14:paraId="7F7FF650">
            <w:pPr>
              <w:ind w:firstLine="0" w:firstLineChars="0"/>
              <w:rPr>
                <w:rFonts w:hint="eastAsia" w:ascii="宋体" w:hAnsi="宋体" w:eastAsia="宋体" w:cs="宋体"/>
                <w:sz w:val="24"/>
                <w:szCs w:val="24"/>
              </w:rPr>
            </w:pPr>
            <w:r>
              <w:rPr>
                <w:rFonts w:hint="eastAsia" w:ascii="宋体" w:hAnsi="宋体" w:eastAsia="宋体" w:cs="宋体"/>
                <w:sz w:val="24"/>
                <w:szCs w:val="24"/>
              </w:rPr>
              <w:t>3,290</w:t>
            </w:r>
          </w:p>
        </w:tc>
        <w:tc>
          <w:tcPr>
            <w:tcW w:w="0" w:type="auto"/>
            <w:tcBorders>
              <w:right w:val="nil"/>
            </w:tcBorders>
            <w:shd w:val="clear" w:color="auto" w:fill="FFFFFF"/>
            <w:tcMar>
              <w:top w:w="72" w:type="dxa"/>
              <w:left w:w="144" w:type="dxa"/>
              <w:bottom w:w="72" w:type="dxa"/>
              <w:right w:w="144" w:type="dxa"/>
            </w:tcMar>
            <w:vAlign w:val="center"/>
          </w:tcPr>
          <w:p w14:paraId="6B195E8F">
            <w:pPr>
              <w:ind w:firstLine="0" w:firstLineChars="0"/>
              <w:rPr>
                <w:rFonts w:hint="eastAsia" w:ascii="宋体" w:hAnsi="宋体" w:eastAsia="宋体" w:cs="宋体"/>
                <w:sz w:val="24"/>
                <w:szCs w:val="24"/>
              </w:rPr>
            </w:pPr>
            <w:r>
              <w:rPr>
                <w:rFonts w:hint="eastAsia" w:ascii="宋体" w:hAnsi="宋体" w:eastAsia="宋体" w:cs="宋体"/>
                <w:sz w:val="24"/>
                <w:szCs w:val="24"/>
              </w:rPr>
              <w:t>19.87%</w:t>
            </w:r>
          </w:p>
        </w:tc>
        <w:tc>
          <w:tcPr>
            <w:tcW w:w="0" w:type="auto"/>
            <w:tcBorders>
              <w:right w:val="nil"/>
            </w:tcBorders>
            <w:shd w:val="clear" w:color="auto" w:fill="FFFFFF"/>
            <w:tcMar>
              <w:top w:w="72" w:type="dxa"/>
              <w:left w:w="144" w:type="dxa"/>
              <w:bottom w:w="72" w:type="dxa"/>
              <w:right w:w="144" w:type="dxa"/>
            </w:tcMar>
            <w:vAlign w:val="center"/>
          </w:tcPr>
          <w:p w14:paraId="474D8BC2">
            <w:pPr>
              <w:ind w:firstLine="0" w:firstLineChars="0"/>
              <w:rPr>
                <w:rFonts w:hint="eastAsia" w:ascii="宋体" w:hAnsi="宋体" w:eastAsia="宋体" w:cs="宋体"/>
                <w:sz w:val="24"/>
                <w:szCs w:val="24"/>
              </w:rPr>
            </w:pPr>
            <w:r>
              <w:rPr>
                <w:rFonts w:hint="eastAsia" w:ascii="宋体" w:hAnsi="宋体" w:eastAsia="宋体" w:cs="宋体"/>
                <w:sz w:val="24"/>
                <w:szCs w:val="24"/>
              </w:rPr>
              <w:t>侧重个人就医体验、养生方剂分享与生活化应用</w:t>
            </w:r>
          </w:p>
        </w:tc>
      </w:tr>
      <w:tr w14:paraId="265B61AA">
        <w:tblPrEx>
          <w:tblCellMar>
            <w:top w:w="15" w:type="dxa"/>
            <w:left w:w="15" w:type="dxa"/>
            <w:bottom w:w="15" w:type="dxa"/>
            <w:right w:w="15" w:type="dxa"/>
          </w:tblCellMar>
        </w:tblPrEx>
        <w:trPr>
          <w:tblCellSpacing w:w="15" w:type="dxa"/>
          <w:jc w:val="center"/>
        </w:trPr>
        <w:tc>
          <w:tcPr>
            <w:tcW w:w="0" w:type="auto"/>
            <w:tcBorders>
              <w:right w:val="nil"/>
            </w:tcBorders>
            <w:shd w:val="clear" w:color="auto" w:fill="FFFFFF"/>
            <w:tcMar>
              <w:top w:w="72" w:type="dxa"/>
              <w:left w:w="144" w:type="dxa"/>
              <w:bottom w:w="72" w:type="dxa"/>
              <w:right w:w="144" w:type="dxa"/>
            </w:tcMar>
            <w:vAlign w:val="center"/>
          </w:tcPr>
          <w:p w14:paraId="256C369D">
            <w:pPr>
              <w:ind w:firstLine="0" w:firstLineChars="0"/>
              <w:rPr>
                <w:rFonts w:hint="eastAsia" w:ascii="宋体" w:hAnsi="宋体" w:eastAsia="宋体" w:cs="宋体"/>
                <w:sz w:val="24"/>
                <w:szCs w:val="24"/>
              </w:rPr>
            </w:pPr>
            <w:r>
              <w:rPr>
                <w:rFonts w:hint="eastAsia" w:ascii="宋体" w:hAnsi="宋体" w:eastAsia="宋体" w:cs="宋体"/>
                <w:sz w:val="24"/>
                <w:szCs w:val="24"/>
              </w:rPr>
              <w:t>抖音</w:t>
            </w:r>
          </w:p>
        </w:tc>
        <w:tc>
          <w:tcPr>
            <w:tcW w:w="0" w:type="auto"/>
            <w:tcBorders>
              <w:right w:val="nil"/>
            </w:tcBorders>
            <w:shd w:val="clear" w:color="auto" w:fill="FFFFFF"/>
            <w:tcMar>
              <w:top w:w="72" w:type="dxa"/>
              <w:left w:w="144" w:type="dxa"/>
              <w:bottom w:w="72" w:type="dxa"/>
              <w:right w:w="144" w:type="dxa"/>
            </w:tcMar>
            <w:vAlign w:val="center"/>
          </w:tcPr>
          <w:p w14:paraId="4377EB8B">
            <w:pPr>
              <w:ind w:firstLine="0" w:firstLineChars="0"/>
              <w:rPr>
                <w:rFonts w:hint="eastAsia" w:ascii="宋体" w:hAnsi="宋体" w:eastAsia="宋体" w:cs="宋体"/>
                <w:sz w:val="24"/>
                <w:szCs w:val="24"/>
              </w:rPr>
            </w:pPr>
            <w:r>
              <w:rPr>
                <w:rFonts w:hint="eastAsia" w:ascii="宋体" w:hAnsi="宋体" w:eastAsia="宋体" w:cs="宋体"/>
                <w:sz w:val="24"/>
                <w:szCs w:val="24"/>
              </w:rPr>
              <w:t>2,230</w:t>
            </w:r>
          </w:p>
        </w:tc>
        <w:tc>
          <w:tcPr>
            <w:tcW w:w="0" w:type="auto"/>
            <w:tcBorders>
              <w:right w:val="nil"/>
            </w:tcBorders>
            <w:shd w:val="clear" w:color="auto" w:fill="FFFFFF"/>
            <w:tcMar>
              <w:top w:w="72" w:type="dxa"/>
              <w:left w:w="144" w:type="dxa"/>
              <w:bottom w:w="72" w:type="dxa"/>
              <w:right w:w="144" w:type="dxa"/>
            </w:tcMar>
            <w:vAlign w:val="center"/>
          </w:tcPr>
          <w:p w14:paraId="6A940A69">
            <w:pPr>
              <w:ind w:firstLine="0" w:firstLineChars="0"/>
              <w:rPr>
                <w:rFonts w:hint="eastAsia" w:ascii="宋体" w:hAnsi="宋体" w:eastAsia="宋体" w:cs="宋体"/>
                <w:sz w:val="24"/>
                <w:szCs w:val="24"/>
              </w:rPr>
            </w:pPr>
            <w:r>
              <w:rPr>
                <w:rFonts w:hint="eastAsia" w:ascii="宋体" w:hAnsi="宋体" w:eastAsia="宋体" w:cs="宋体"/>
                <w:sz w:val="24"/>
                <w:szCs w:val="24"/>
              </w:rPr>
              <w:t>13.47%</w:t>
            </w:r>
          </w:p>
        </w:tc>
        <w:tc>
          <w:tcPr>
            <w:tcW w:w="0" w:type="auto"/>
            <w:tcBorders>
              <w:right w:val="nil"/>
            </w:tcBorders>
            <w:shd w:val="clear" w:color="auto" w:fill="FFFFFF"/>
            <w:tcMar>
              <w:top w:w="72" w:type="dxa"/>
              <w:left w:w="144" w:type="dxa"/>
              <w:bottom w:w="72" w:type="dxa"/>
              <w:right w:w="144" w:type="dxa"/>
            </w:tcMar>
            <w:vAlign w:val="center"/>
          </w:tcPr>
          <w:p w14:paraId="4C6052F5">
            <w:pPr>
              <w:ind w:firstLine="0" w:firstLineChars="0"/>
              <w:rPr>
                <w:rFonts w:hint="eastAsia" w:ascii="宋体" w:hAnsi="宋体" w:eastAsia="宋体" w:cs="宋体"/>
                <w:sz w:val="24"/>
                <w:szCs w:val="24"/>
              </w:rPr>
            </w:pPr>
            <w:r>
              <w:rPr>
                <w:rFonts w:hint="eastAsia" w:ascii="宋体" w:hAnsi="宋体" w:eastAsia="宋体" w:cs="宋体"/>
                <w:sz w:val="24"/>
                <w:szCs w:val="24"/>
              </w:rPr>
              <w:t>侧重民间偏方展示、医患互动现场与视觉冲击</w:t>
            </w:r>
          </w:p>
        </w:tc>
      </w:tr>
      <w:tr w14:paraId="49CF7776">
        <w:tblPrEx>
          <w:tblCellMar>
            <w:top w:w="15" w:type="dxa"/>
            <w:left w:w="15" w:type="dxa"/>
            <w:bottom w:w="15" w:type="dxa"/>
            <w:right w:w="15" w:type="dxa"/>
          </w:tblCellMar>
        </w:tblPrEx>
        <w:trPr>
          <w:tblCellSpacing w:w="15" w:type="dxa"/>
          <w:jc w:val="center"/>
        </w:trPr>
        <w:tc>
          <w:tcPr>
            <w:tcW w:w="0" w:type="auto"/>
            <w:tcBorders>
              <w:right w:val="nil"/>
            </w:tcBorders>
            <w:shd w:val="clear" w:color="auto" w:fill="FFFFFF"/>
            <w:tcMar>
              <w:top w:w="72" w:type="dxa"/>
              <w:left w:w="144" w:type="dxa"/>
              <w:bottom w:w="72" w:type="dxa"/>
              <w:right w:w="144" w:type="dxa"/>
            </w:tcMar>
            <w:vAlign w:val="center"/>
          </w:tcPr>
          <w:p w14:paraId="1ABE7660">
            <w:pPr>
              <w:ind w:firstLine="0" w:firstLineChars="0"/>
              <w:rPr>
                <w:rFonts w:hint="eastAsia" w:ascii="宋体" w:hAnsi="宋体" w:eastAsia="宋体" w:cs="宋体"/>
                <w:sz w:val="24"/>
                <w:szCs w:val="24"/>
              </w:rPr>
            </w:pPr>
            <w:r>
              <w:rPr>
                <w:rFonts w:hint="eastAsia" w:ascii="宋体" w:hAnsi="宋体" w:eastAsia="宋体" w:cs="宋体"/>
                <w:sz w:val="24"/>
                <w:szCs w:val="24"/>
              </w:rPr>
              <w:t>微博</w:t>
            </w:r>
          </w:p>
        </w:tc>
        <w:tc>
          <w:tcPr>
            <w:tcW w:w="0" w:type="auto"/>
            <w:tcBorders>
              <w:right w:val="nil"/>
            </w:tcBorders>
            <w:shd w:val="clear" w:color="auto" w:fill="FFFFFF"/>
            <w:tcMar>
              <w:top w:w="72" w:type="dxa"/>
              <w:left w:w="144" w:type="dxa"/>
              <w:bottom w:w="72" w:type="dxa"/>
              <w:right w:w="144" w:type="dxa"/>
            </w:tcMar>
            <w:vAlign w:val="center"/>
          </w:tcPr>
          <w:p w14:paraId="17CFFC85">
            <w:pPr>
              <w:ind w:firstLine="0" w:firstLineChars="0"/>
              <w:rPr>
                <w:rFonts w:hint="eastAsia" w:ascii="宋体" w:hAnsi="宋体" w:eastAsia="宋体" w:cs="宋体"/>
                <w:sz w:val="24"/>
                <w:szCs w:val="24"/>
              </w:rPr>
            </w:pPr>
            <w:r>
              <w:rPr>
                <w:rFonts w:hint="eastAsia" w:ascii="宋体" w:hAnsi="宋体" w:eastAsia="宋体" w:cs="宋体"/>
                <w:sz w:val="24"/>
                <w:szCs w:val="24"/>
              </w:rPr>
              <w:t>1,139</w:t>
            </w:r>
          </w:p>
        </w:tc>
        <w:tc>
          <w:tcPr>
            <w:tcW w:w="0" w:type="auto"/>
            <w:tcBorders>
              <w:right w:val="nil"/>
            </w:tcBorders>
            <w:shd w:val="clear" w:color="auto" w:fill="FFFFFF"/>
            <w:tcMar>
              <w:top w:w="72" w:type="dxa"/>
              <w:left w:w="144" w:type="dxa"/>
              <w:bottom w:w="72" w:type="dxa"/>
              <w:right w:w="144" w:type="dxa"/>
            </w:tcMar>
            <w:vAlign w:val="center"/>
          </w:tcPr>
          <w:p w14:paraId="21174446">
            <w:pPr>
              <w:ind w:firstLine="0" w:firstLineChars="0"/>
              <w:rPr>
                <w:rFonts w:hint="eastAsia" w:ascii="宋体" w:hAnsi="宋体" w:eastAsia="宋体" w:cs="宋体"/>
                <w:sz w:val="24"/>
                <w:szCs w:val="24"/>
              </w:rPr>
            </w:pPr>
            <w:r>
              <w:rPr>
                <w:rFonts w:hint="eastAsia" w:ascii="宋体" w:hAnsi="宋体" w:eastAsia="宋体" w:cs="宋体"/>
                <w:sz w:val="24"/>
                <w:szCs w:val="24"/>
              </w:rPr>
              <w:t>6.88%</w:t>
            </w:r>
          </w:p>
        </w:tc>
        <w:tc>
          <w:tcPr>
            <w:tcW w:w="0" w:type="auto"/>
            <w:tcBorders>
              <w:right w:val="nil"/>
            </w:tcBorders>
            <w:shd w:val="clear" w:color="auto" w:fill="FFFFFF"/>
            <w:tcMar>
              <w:top w:w="72" w:type="dxa"/>
              <w:left w:w="144" w:type="dxa"/>
              <w:bottom w:w="72" w:type="dxa"/>
              <w:right w:w="144" w:type="dxa"/>
            </w:tcMar>
            <w:vAlign w:val="center"/>
          </w:tcPr>
          <w:p w14:paraId="14A2EFA0">
            <w:pPr>
              <w:ind w:firstLine="0" w:firstLineChars="0"/>
              <w:rPr>
                <w:rFonts w:hint="eastAsia" w:ascii="宋体" w:hAnsi="宋体" w:eastAsia="宋体" w:cs="宋体"/>
                <w:sz w:val="24"/>
                <w:szCs w:val="24"/>
              </w:rPr>
            </w:pPr>
            <w:r>
              <w:rPr>
                <w:rFonts w:hint="eastAsia" w:ascii="宋体" w:hAnsi="宋体" w:eastAsia="宋体" w:cs="宋体"/>
                <w:sz w:val="24"/>
                <w:szCs w:val="24"/>
              </w:rPr>
              <w:t>侧重官方政策发布、突发争议事件热搜与围观</w:t>
            </w:r>
          </w:p>
        </w:tc>
      </w:tr>
      <w:tr w14:paraId="16D738FE">
        <w:tblPrEx>
          <w:tblCellMar>
            <w:top w:w="15" w:type="dxa"/>
            <w:left w:w="15" w:type="dxa"/>
            <w:bottom w:w="15" w:type="dxa"/>
            <w:right w:w="15" w:type="dxa"/>
          </w:tblCellMar>
        </w:tblPrEx>
        <w:trPr>
          <w:tblCellSpacing w:w="15" w:type="dxa"/>
          <w:jc w:val="center"/>
        </w:trPr>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3726B565">
            <w:pPr>
              <w:ind w:firstLine="0" w:firstLineChars="0"/>
              <w:rPr>
                <w:rFonts w:hint="eastAsia" w:ascii="宋体" w:hAnsi="宋体" w:eastAsia="宋体" w:cs="宋体"/>
                <w:sz w:val="24"/>
                <w:szCs w:val="24"/>
              </w:rPr>
            </w:pPr>
            <w:r>
              <w:rPr>
                <w:rFonts w:hint="eastAsia" w:ascii="宋体" w:hAnsi="宋体" w:eastAsia="宋体" w:cs="宋体"/>
                <w:sz w:val="24"/>
                <w:szCs w:val="24"/>
              </w:rPr>
              <w:t>合计</w:t>
            </w:r>
          </w:p>
        </w:tc>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6309C120">
            <w:pPr>
              <w:ind w:firstLine="0" w:firstLineChars="0"/>
              <w:rPr>
                <w:rFonts w:hint="eastAsia" w:ascii="宋体" w:hAnsi="宋体" w:eastAsia="宋体" w:cs="宋体"/>
                <w:sz w:val="24"/>
                <w:szCs w:val="24"/>
              </w:rPr>
            </w:pPr>
            <w:r>
              <w:rPr>
                <w:rFonts w:hint="eastAsia" w:ascii="宋体" w:hAnsi="宋体" w:eastAsia="宋体" w:cs="宋体"/>
                <w:sz w:val="24"/>
                <w:szCs w:val="24"/>
              </w:rPr>
              <w:t>16,554</w:t>
            </w:r>
          </w:p>
        </w:tc>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0842D5E0">
            <w:pPr>
              <w:ind w:firstLine="0" w:firstLineChars="0"/>
              <w:rPr>
                <w:rFonts w:hint="eastAsia" w:ascii="宋体" w:hAnsi="宋体" w:eastAsia="宋体" w:cs="宋体"/>
                <w:sz w:val="24"/>
                <w:szCs w:val="24"/>
              </w:rPr>
            </w:pPr>
            <w:r>
              <w:rPr>
                <w:rFonts w:hint="eastAsia" w:ascii="宋体" w:hAnsi="宋体" w:eastAsia="宋体" w:cs="宋体"/>
                <w:sz w:val="24"/>
                <w:szCs w:val="24"/>
              </w:rPr>
              <w:t>100.0%</w:t>
            </w:r>
          </w:p>
        </w:tc>
        <w:tc>
          <w:tcPr>
            <w:tcW w:w="0" w:type="auto"/>
            <w:tcBorders>
              <w:bottom w:val="single" w:color="000000" w:sz="12" w:space="0"/>
              <w:right w:val="nil"/>
            </w:tcBorders>
            <w:shd w:val="clear" w:color="auto" w:fill="FFFFFF"/>
            <w:tcMar>
              <w:top w:w="72" w:type="dxa"/>
              <w:left w:w="144" w:type="dxa"/>
              <w:bottom w:w="72" w:type="dxa"/>
              <w:right w:w="144" w:type="dxa"/>
            </w:tcMar>
            <w:vAlign w:val="center"/>
          </w:tcPr>
          <w:p w14:paraId="07139F69">
            <w:pPr>
              <w:ind w:firstLine="0" w:firstLineChars="0"/>
              <w:rPr>
                <w:rFonts w:hint="eastAsia" w:ascii="宋体" w:hAnsi="宋体" w:eastAsia="宋体" w:cs="宋体"/>
                <w:sz w:val="24"/>
                <w:szCs w:val="24"/>
              </w:rPr>
            </w:pPr>
            <w:r>
              <w:rPr>
                <w:rFonts w:hint="eastAsia" w:ascii="宋体" w:hAnsi="宋体" w:eastAsia="宋体" w:cs="宋体"/>
                <w:sz w:val="24"/>
                <w:szCs w:val="24"/>
              </w:rPr>
              <w:t>多维互补的舆论生态</w:t>
            </w:r>
          </w:p>
        </w:tc>
      </w:tr>
    </w:tbl>
    <w:p w14:paraId="03733FE1">
      <w:pPr>
        <w:bidi w:val="0"/>
        <w:jc w:val="center"/>
        <w:rPr>
          <w:rFonts w:hint="eastAsia" w:ascii="宋体" w:hAnsi="宋体" w:eastAsia="宋体" w:cs="宋体"/>
          <w:sz w:val="21"/>
          <w:szCs w:val="20"/>
        </w:rPr>
      </w:pPr>
      <w:r>
        <w:rPr>
          <w:rFonts w:hint="eastAsia" w:ascii="宋体" w:hAnsi="宋体" w:eastAsia="宋体" w:cs="宋体"/>
          <w:sz w:val="21"/>
          <w:szCs w:val="20"/>
        </w:rPr>
        <w:t>表 3 中医药网络舆情样本平台分布统计</w:t>
      </w:r>
    </w:p>
    <w:p w14:paraId="67D48C12">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val="en-US" w:eastAsia="zh-CN" w:bidi="ar"/>
        </w:rPr>
      </w:pPr>
      <w:r>
        <w:rPr>
          <w:rFonts w:hint="eastAsia" w:cs="宋体"/>
          <w:b w:val="0"/>
          <w:lang w:bidi="ar"/>
        </w:rPr>
        <w:t>2.1.2　“潜伏—爆发”的时间演化态势</w:t>
      </w:r>
    </w:p>
    <w:p w14:paraId="71106CBD">
      <w:pPr>
        <w:bidi w:val="0"/>
        <w:rPr>
          <w:rFonts w:hint="eastAsia" w:ascii="宋体" w:hAnsi="宋体" w:eastAsia="宋体" w:cs="宋体"/>
          <w:sz w:val="21"/>
          <w:szCs w:val="20"/>
        </w:rPr>
      </w:pPr>
      <w:r>
        <w:rPr>
          <w:rFonts w:hint="eastAsia" w:ascii="宋体" w:hAnsi="宋体" w:eastAsia="宋体" w:cs="宋体"/>
          <w:sz w:val="21"/>
          <w:szCs w:val="20"/>
        </w:rPr>
        <w:t xml:space="preserve">时间序列分析显示（见图 </w:t>
      </w:r>
      <w:r>
        <w:rPr>
          <w:rFonts w:hint="eastAsia" w:ascii="宋体" w:hAnsi="宋体" w:eastAsia="宋体" w:cs="宋体"/>
          <w:sz w:val="21"/>
          <w:szCs w:val="20"/>
          <w:lang w:val="en-US" w:eastAsia="zh-CN"/>
        </w:rPr>
        <w:t>2</w:t>
      </w:r>
      <w:r>
        <w:rPr>
          <w:rFonts w:hint="eastAsia" w:ascii="宋体" w:hAnsi="宋体" w:eastAsia="宋体" w:cs="宋体"/>
          <w:sz w:val="21"/>
          <w:szCs w:val="20"/>
        </w:rPr>
        <w:t>），中医药舆情经历了显著的阶段性演化。2013—2019 年为“潜伏期”，社会关注度较低；2020—2022 年受新冠疫情驱动进入“波动增长期”；2023—2025年进入“集中爆发期”，其中2025年单年数据量占比达68.1%。这一激增趋势反映出后疫情时代公众健康消费意识的觉醒，以及近期医保支付改革等卫生政策调整对社会舆论的强力驱动。</w:t>
      </w:r>
    </w:p>
    <w:p w14:paraId="2D5111F1">
      <w:pPr>
        <w:pStyle w:val="8"/>
        <w:widowControl/>
        <w:ind w:firstLine="480"/>
        <w:jc w:val="center"/>
        <w:rPr>
          <w:rFonts w:hint="eastAsia" w:ascii="宋体" w:hAnsi="宋体" w:cs="宋体"/>
        </w:rPr>
      </w:pPr>
      <w:r>
        <w:rPr>
          <w:rFonts w:ascii="宋体" w:hAnsi="宋体" w:cs="宋体"/>
        </w:rPr>
        <w:drawing>
          <wp:inline distT="0" distB="0" distL="114300" distR="114300">
            <wp:extent cx="3408680" cy="2045335"/>
            <wp:effectExtent l="0" t="0" r="5080" b="12065"/>
            <wp:docPr id="2" name="图片 2" descr="年评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年评论图"/>
                    <pic:cNvPicPr>
                      <a:picLocks noChangeAspect="1"/>
                    </pic:cNvPicPr>
                  </pic:nvPicPr>
                  <pic:blipFill>
                    <a:blip r:embed="rId7"/>
                    <a:stretch>
                      <a:fillRect/>
                    </a:stretch>
                  </pic:blipFill>
                  <pic:spPr>
                    <a:xfrm>
                      <a:off x="0" y="0"/>
                      <a:ext cx="3408680" cy="2045335"/>
                    </a:xfrm>
                    <a:prstGeom prst="rect">
                      <a:avLst/>
                    </a:prstGeom>
                  </pic:spPr>
                </pic:pic>
              </a:graphicData>
            </a:graphic>
          </wp:inline>
        </w:drawing>
      </w:r>
    </w:p>
    <w:p w14:paraId="2776BC42">
      <w:pPr>
        <w:ind w:firstLine="480"/>
        <w:jc w:val="center"/>
        <w:rPr>
          <w:rFonts w:hint="eastAsia" w:ascii="宋体" w:hAnsi="宋体" w:eastAsia="宋体" w:cs="宋体"/>
          <w:b w:val="0"/>
          <w:bCs w:val="0"/>
          <w:i w:val="0"/>
          <w:iCs w:val="0"/>
          <w:caps w:val="0"/>
          <w:color w:val="1A1C1E"/>
          <w:spacing w:val="0"/>
          <w:sz w:val="22"/>
          <w:szCs w:val="22"/>
          <w:shd w:val="clear" w:fill="FFFFFF"/>
        </w:rPr>
      </w:pPr>
      <w:r>
        <w:rPr>
          <w:rFonts w:hint="eastAsia" w:ascii="宋体" w:hAnsi="宋体" w:eastAsia="宋体" w:cs="宋体"/>
          <w:b w:val="0"/>
          <w:bCs w:val="0"/>
          <w:sz w:val="22"/>
          <w:szCs w:val="22"/>
        </w:rPr>
        <w:t>图 2 2013-2025年样本年度分布趋势图</w:t>
      </w:r>
    </w:p>
    <w:p w14:paraId="6C002EFE">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2.2　舆情事件的结构特征与风险归因</w:t>
      </w:r>
      <w:r>
        <w:rPr>
          <w:rFonts w:hint="eastAsia" w:cs="宋体"/>
          <w:b w:val="0"/>
          <w:lang w:bidi="ar"/>
        </w:rPr>
        <w:br w:type="textWrapping"/>
      </w:r>
      <w:r>
        <w:rPr>
          <w:rFonts w:hint="eastAsia" w:cs="宋体"/>
          <w:b w:val="0"/>
          <w:lang w:bidi="ar"/>
        </w:rPr>
        <w:t>2.2.1　宏观结构：核心议题的向心性</w:t>
      </w:r>
    </w:p>
    <w:p w14:paraId="2E4F5026">
      <w:pPr>
        <w:bidi w:val="0"/>
        <w:rPr>
          <w:rFonts w:hint="eastAsia" w:ascii="宋体" w:hAnsi="宋体" w:eastAsia="宋体" w:cs="宋体"/>
          <w:sz w:val="21"/>
          <w:szCs w:val="20"/>
        </w:rPr>
      </w:pPr>
      <w:r>
        <w:rPr>
          <w:rFonts w:hint="eastAsia" w:ascii="宋体" w:hAnsi="宋体" w:eastAsia="宋体" w:cs="宋体"/>
          <w:sz w:val="21"/>
          <w:szCs w:val="20"/>
        </w:rPr>
        <w:t xml:space="preserve">舆情事理图谱的可视化结果（见图 </w:t>
      </w:r>
      <w:r>
        <w:rPr>
          <w:rFonts w:hint="eastAsia" w:ascii="宋体" w:hAnsi="宋体" w:eastAsia="宋体" w:cs="宋体"/>
          <w:sz w:val="21"/>
          <w:szCs w:val="20"/>
          <w:lang w:val="en-US" w:eastAsia="zh-CN"/>
        </w:rPr>
        <w:t>3</w:t>
      </w:r>
      <w:r>
        <w:rPr>
          <w:rFonts w:hint="eastAsia" w:ascii="宋体" w:hAnsi="宋体" w:eastAsia="宋体" w:cs="宋体"/>
          <w:sz w:val="21"/>
          <w:szCs w:val="20"/>
        </w:rPr>
        <w:t>）呈现显著的“单中心辐射”形态。实体节点“中医”具有最高的度中心性，其连接对象广泛覆盖“患者”（服务受众）、“国家”（政策主体）及“中药”（诊疗工具）。这种高度集聚的拓扑结构表明，尽管舆情议题广泛，但公众认知的锚点始终高度统一，即围绕中医本体的临床价值与社会功能展开。</w:t>
      </w:r>
    </w:p>
    <w:p w14:paraId="54EACFE9">
      <w:pPr>
        <w:pStyle w:val="3"/>
        <w:jc w:val="center"/>
      </w:pPr>
      <w:r>
        <w:rPr>
          <w:rFonts w:hint="default" w:cs="宋体"/>
          <w:sz w:val="24"/>
          <w:szCs w:val="24"/>
        </w:rPr>
        <w:drawing>
          <wp:inline distT="0" distB="0" distL="114300" distR="114300">
            <wp:extent cx="3999865" cy="2903855"/>
            <wp:effectExtent l="0" t="0" r="0" b="0"/>
            <wp:docPr id="12" name="图片 12" descr="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3.2"/>
                    <pic:cNvPicPr>
                      <a:picLocks noChangeAspect="1"/>
                    </pic:cNvPicPr>
                  </pic:nvPicPr>
                  <pic:blipFill>
                    <a:blip r:embed="rId8"/>
                    <a:stretch>
                      <a:fillRect/>
                    </a:stretch>
                  </pic:blipFill>
                  <pic:spPr>
                    <a:xfrm>
                      <a:off x="0" y="0"/>
                      <a:ext cx="3999865" cy="2903855"/>
                    </a:xfrm>
                    <a:prstGeom prst="rect">
                      <a:avLst/>
                    </a:prstGeom>
                  </pic:spPr>
                </pic:pic>
              </a:graphicData>
            </a:graphic>
          </wp:inline>
        </w:drawing>
      </w:r>
    </w:p>
    <w:p w14:paraId="0AB02BBD">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图3 中医药网络舆情事理图谱整体拓扑结构</w:t>
      </w:r>
    </w:p>
    <w:p w14:paraId="05FE70D0">
      <w:pPr>
        <w:bidi w:val="0"/>
        <w:rPr>
          <w:rFonts w:hint="eastAsia" w:ascii="宋体" w:hAnsi="宋体" w:eastAsia="宋体" w:cs="宋体"/>
          <w:sz w:val="21"/>
          <w:szCs w:val="20"/>
        </w:rPr>
      </w:pPr>
      <w:r>
        <w:rPr>
          <w:rFonts w:hint="eastAsia" w:ascii="宋体" w:hAnsi="宋体" w:eastAsia="宋体" w:cs="宋体"/>
          <w:sz w:val="21"/>
          <w:szCs w:val="20"/>
        </w:rPr>
        <w:t xml:space="preserve">针对负面舆情高发的“药物安全”议题，微观子图分析（见图 </w:t>
      </w:r>
      <w:r>
        <w:rPr>
          <w:rFonts w:hint="eastAsia" w:ascii="宋体" w:hAnsi="宋体" w:eastAsia="宋体" w:cs="宋体"/>
          <w:sz w:val="21"/>
          <w:szCs w:val="20"/>
          <w:lang w:val="en-US" w:eastAsia="zh-CN"/>
        </w:rPr>
        <w:t>4</w:t>
      </w:r>
      <w:r>
        <w:rPr>
          <w:rFonts w:hint="eastAsia" w:ascii="宋体" w:hAnsi="宋体" w:eastAsia="宋体" w:cs="宋体"/>
          <w:sz w:val="21"/>
          <w:szCs w:val="20"/>
        </w:rPr>
        <w:t>）揭示了清晰的风险归因链条：舆情风险点并非孤立存在，而是高度集中于“中西药联用”“成分不明”及“说明书规范”等具体环节；同时，“乱吃”“不规范用药”等行为节点与“肝肾损伤”结果节点的强关联，揭示了公众的安全性焦虑主要源于</w:t>
      </w:r>
      <w:r>
        <w:rPr>
          <w:rFonts w:hint="eastAsia" w:ascii="宋体" w:hAnsi="宋体" w:eastAsia="宋体" w:cs="宋体"/>
          <w:sz w:val="21"/>
          <w:szCs w:val="20"/>
          <w:lang w:val="en-US" w:eastAsia="zh-CN"/>
        </w:rPr>
        <w:t>用</w:t>
      </w:r>
      <w:r>
        <w:rPr>
          <w:rFonts w:hint="eastAsia" w:ascii="宋体" w:hAnsi="宋体" w:eastAsia="宋体" w:cs="宋体"/>
          <w:sz w:val="21"/>
          <w:szCs w:val="20"/>
        </w:rPr>
        <w:t>药过程的不规范与信息不对称，而非对中医药理论体系的根本性排斥。</w:t>
      </w:r>
    </w:p>
    <w:p w14:paraId="344C414D">
      <w:pPr>
        <w:bidi w:val="0"/>
        <w:ind w:left="0" w:leftChars="0" w:firstLine="0" w:firstLineChars="0"/>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4177030" cy="3031490"/>
            <wp:effectExtent l="0" t="0" r="13970" b="16510"/>
            <wp:docPr id="3" name="图片 3" descr="图4 中医药“安全性与副作用”典型舆情子图（局部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 中医药“安全性与副作用”典型舆情子图（局部展示）"/>
                    <pic:cNvPicPr>
                      <a:picLocks noChangeAspect="1"/>
                    </pic:cNvPicPr>
                  </pic:nvPicPr>
                  <pic:blipFill>
                    <a:blip r:embed="rId9"/>
                    <a:stretch>
                      <a:fillRect/>
                    </a:stretch>
                  </pic:blipFill>
                  <pic:spPr>
                    <a:xfrm>
                      <a:off x="0" y="0"/>
                      <a:ext cx="4177030" cy="3031490"/>
                    </a:xfrm>
                    <a:prstGeom prst="rect">
                      <a:avLst/>
                    </a:prstGeom>
                  </pic:spPr>
                </pic:pic>
              </a:graphicData>
            </a:graphic>
          </wp:inline>
        </w:drawing>
      </w:r>
    </w:p>
    <w:p w14:paraId="3473FCDF">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图4 中医药“安全性与副作用”典型舆情子图（局部展示）</w:t>
      </w:r>
    </w:p>
    <w:p w14:paraId="1DB73451">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2.3.1　情感时序波动与话题分化</w:t>
      </w:r>
    </w:p>
    <w:p w14:paraId="45C90025">
      <w:pPr>
        <w:bidi w:val="0"/>
        <w:rPr>
          <w:rFonts w:hint="eastAsia" w:ascii="宋体" w:hAnsi="宋体" w:eastAsia="宋体" w:cs="宋体"/>
          <w:sz w:val="21"/>
          <w:szCs w:val="20"/>
        </w:rPr>
      </w:pPr>
      <w:r>
        <w:rPr>
          <w:rFonts w:hint="eastAsia" w:ascii="宋体" w:hAnsi="宋体" w:eastAsia="宋体" w:cs="宋体"/>
          <w:sz w:val="21"/>
          <w:szCs w:val="20"/>
        </w:rPr>
        <w:t xml:space="preserve">情感计算结果显示，2020—2025年间舆情情感均值呈现“震荡下行”趋势（见图 </w:t>
      </w:r>
      <w:r>
        <w:rPr>
          <w:rFonts w:hint="eastAsia" w:ascii="宋体" w:hAnsi="宋体" w:eastAsia="宋体" w:cs="宋体"/>
          <w:sz w:val="21"/>
          <w:szCs w:val="20"/>
          <w:lang w:val="en-US" w:eastAsia="zh-CN"/>
        </w:rPr>
        <w:t>5</w:t>
      </w:r>
      <w:r>
        <w:rPr>
          <w:rFonts w:hint="eastAsia" w:ascii="宋体" w:hAnsi="宋体" w:eastAsia="宋体" w:cs="宋体"/>
          <w:sz w:val="21"/>
          <w:szCs w:val="20"/>
        </w:rPr>
        <w:t>），特别是在声量最高的2025年，情感均值处于负值区间，表明高关注度伴随着高争议性。分话题来看（见图</w:t>
      </w:r>
      <w:r>
        <w:rPr>
          <w:rFonts w:hint="eastAsia" w:ascii="宋体" w:hAnsi="宋体" w:eastAsia="宋体" w:cs="宋体"/>
          <w:sz w:val="21"/>
          <w:szCs w:val="20"/>
          <w:lang w:val="en-US" w:eastAsia="zh-CN"/>
        </w:rPr>
        <w:t>6</w:t>
      </w:r>
      <w:r>
        <w:rPr>
          <w:rFonts w:hint="eastAsia" w:ascii="宋体" w:hAnsi="宋体" w:eastAsia="宋体" w:cs="宋体"/>
          <w:sz w:val="21"/>
          <w:szCs w:val="20"/>
        </w:rPr>
        <w:t>），舆情呈现出“文化热、医疗冷”的结构性张力：“文化传播”与“临床疗效”维持正向评价，体现了公众的文化认同；而涉及现实利益的“药物安全”（-0.439）、“政策法规”（-0.195）与“服务体验”（-0.088）均呈现显著负值，揭示了当前中医药服务供给与公众期待之间的落差。</w:t>
      </w:r>
    </w:p>
    <w:p w14:paraId="47D80136">
      <w:pPr>
        <w:pStyle w:val="8"/>
        <w:widowControl/>
        <w:shd w:val="clear" w:color="auto" w:fill="FFFFFF"/>
        <w:spacing w:after="216" w:afterAutospacing="0" w:line="240" w:lineRule="atLeast"/>
        <w:ind w:firstLine="480"/>
        <w:jc w:val="center"/>
        <w:rPr>
          <w:rFonts w:hint="eastAsia" w:ascii="宋体" w:hAnsi="宋体" w:cs="宋体"/>
        </w:rPr>
      </w:pPr>
      <w:r>
        <w:rPr>
          <w:rFonts w:ascii="宋体" w:hAnsi="宋体" w:cs="宋体"/>
        </w:rPr>
        <w:drawing>
          <wp:inline distT="0" distB="0" distL="114300" distR="114300">
            <wp:extent cx="4777740" cy="2388870"/>
            <wp:effectExtent l="0" t="0" r="3810" b="11430"/>
            <wp:docPr id="7" name="图片 7" descr="Fig3-4_情感趋势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3-4_情感趋势_Final"/>
                    <pic:cNvPicPr>
                      <a:picLocks noChangeAspect="1"/>
                    </pic:cNvPicPr>
                  </pic:nvPicPr>
                  <pic:blipFill>
                    <a:blip r:embed="rId10"/>
                    <a:stretch>
                      <a:fillRect/>
                    </a:stretch>
                  </pic:blipFill>
                  <pic:spPr>
                    <a:xfrm>
                      <a:off x="0" y="0"/>
                      <a:ext cx="4777740" cy="2388870"/>
                    </a:xfrm>
                    <a:prstGeom prst="rect">
                      <a:avLst/>
                    </a:prstGeom>
                  </pic:spPr>
                </pic:pic>
              </a:graphicData>
            </a:graphic>
          </wp:inline>
        </w:drawing>
      </w:r>
    </w:p>
    <w:p w14:paraId="69EE8029">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 5 情感演化趋势折线图</w:t>
      </w:r>
    </w:p>
    <w:p w14:paraId="0959A0DA">
      <w:pPr>
        <w:ind w:firstLine="480"/>
        <w:jc w:val="center"/>
        <w:rPr>
          <w:b/>
          <w:bCs/>
        </w:rPr>
      </w:pPr>
      <w:r>
        <w:rPr>
          <w:rFonts w:ascii="宋体" w:hAnsi="宋体" w:cs="宋体"/>
        </w:rPr>
        <w:drawing>
          <wp:inline distT="0" distB="0" distL="114300" distR="114300">
            <wp:extent cx="4991100" cy="2496185"/>
            <wp:effectExtent l="0" t="0" r="0" b="18415"/>
            <wp:docPr id="361325363" name="图片 361325363" descr="Fig3-5_话题对比_最终修复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5363" name="图片 361325363" descr="Fig3-5_话题对比_最终修复版"/>
                    <pic:cNvPicPr>
                      <a:picLocks noChangeAspect="1"/>
                    </pic:cNvPicPr>
                  </pic:nvPicPr>
                  <pic:blipFill>
                    <a:blip r:embed="rId11"/>
                    <a:stretch>
                      <a:fillRect/>
                    </a:stretch>
                  </pic:blipFill>
                  <pic:spPr>
                    <a:xfrm>
                      <a:off x="0" y="0"/>
                      <a:ext cx="4991100" cy="2496185"/>
                    </a:xfrm>
                    <a:prstGeom prst="rect">
                      <a:avLst/>
                    </a:prstGeom>
                  </pic:spPr>
                </pic:pic>
              </a:graphicData>
            </a:graphic>
          </wp:inline>
        </w:drawing>
      </w:r>
    </w:p>
    <w:p w14:paraId="1A730E62">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 6 不同话题情感倾向对比柱状图</w:t>
      </w:r>
    </w:p>
    <w:p w14:paraId="29BA10A4">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eastAsia="zh-CN" w:bidi="ar"/>
        </w:rPr>
      </w:pPr>
      <w:r>
        <w:rPr>
          <w:rFonts w:hint="eastAsia" w:cs="宋体"/>
          <w:b w:val="0"/>
          <w:lang w:bidi="ar"/>
        </w:rPr>
        <w:t>2.3.2　区域舆情的“热度—情感”倒挂特征</w:t>
      </w:r>
    </w:p>
    <w:p w14:paraId="5C86F999">
      <w:pPr>
        <w:bidi w:val="0"/>
        <w:rPr>
          <w:rFonts w:hint="eastAsia" w:ascii="宋体" w:hAnsi="宋体" w:eastAsia="宋体" w:cs="宋体"/>
          <w:sz w:val="21"/>
          <w:szCs w:val="20"/>
        </w:rPr>
      </w:pPr>
      <w:r>
        <w:rPr>
          <w:rFonts w:hint="eastAsia" w:ascii="宋体" w:hAnsi="宋体" w:eastAsia="宋体" w:cs="宋体"/>
          <w:sz w:val="21"/>
          <w:szCs w:val="20"/>
        </w:rPr>
        <w:t xml:space="preserve">基于 IP 属地的四象限分析（见图 </w:t>
      </w:r>
      <w:r>
        <w:rPr>
          <w:rFonts w:hint="eastAsia" w:ascii="宋体" w:hAnsi="宋体" w:eastAsia="宋体" w:cs="宋体"/>
          <w:sz w:val="21"/>
          <w:szCs w:val="20"/>
          <w:lang w:val="en-US" w:eastAsia="zh-CN"/>
        </w:rPr>
        <w:t>7</w:t>
      </w:r>
      <w:r>
        <w:rPr>
          <w:rFonts w:hint="eastAsia" w:ascii="宋体" w:hAnsi="宋体" w:eastAsia="宋体" w:cs="宋体"/>
          <w:sz w:val="21"/>
          <w:szCs w:val="20"/>
        </w:rPr>
        <w:t>）揭示了舆情分布的空间异质性。</w:t>
      </w:r>
      <w:r>
        <w:rPr>
          <w:rFonts w:hint="eastAsia" w:ascii="宋体" w:hAnsi="宋体" w:eastAsia="宋体" w:cs="宋体"/>
          <w:sz w:val="21"/>
          <w:szCs w:val="20"/>
        </w:rPr>
        <w:br w:type="textWrapping"/>
      </w:r>
      <w:r>
        <w:rPr>
          <w:rFonts w:hint="eastAsia" w:ascii="宋体" w:hAnsi="宋体" w:eastAsia="宋体" w:cs="宋体"/>
          <w:sz w:val="21"/>
          <w:szCs w:val="20"/>
        </w:rPr>
        <w:t>第一，高热度—低认同区（第四象限）：广东、北京、江苏、上海等医疗资源高地聚集于此。这些地区贡献了绝大多数舆情声量，但情感得分均低于全国均值。这反映出在发达地区，公众对医疗服务的专业性、透明度及便捷性有更高要求，现实就医体验中的摩擦（如排队难、药价高）易转化为负面舆情。</w:t>
      </w:r>
    </w:p>
    <w:p w14:paraId="5F343FE1">
      <w:pPr>
        <w:bidi w:val="0"/>
        <w:rPr>
          <w:rFonts w:hint="eastAsia" w:ascii="宋体" w:hAnsi="宋体" w:eastAsia="宋体" w:cs="宋体"/>
          <w:sz w:val="21"/>
          <w:szCs w:val="20"/>
        </w:rPr>
      </w:pPr>
      <w:r>
        <w:rPr>
          <w:rFonts w:hint="eastAsia" w:ascii="宋体" w:hAnsi="宋体" w:eastAsia="宋体" w:cs="宋体"/>
          <w:sz w:val="21"/>
          <w:szCs w:val="20"/>
        </w:rPr>
        <w:t>第二，低热度—高认同区（第二象限）：黑龙江、云南、江西等道地药材产区位于此区间。这些地区舆情声量虽小，但基于地缘文化的自豪感使其保持了较高的情感评价。</w:t>
      </w:r>
    </w:p>
    <w:p w14:paraId="36C24C16">
      <w:pPr>
        <w:pStyle w:val="8"/>
        <w:widowControl/>
        <w:shd w:val="clear" w:color="auto" w:fill="FFFFFF"/>
        <w:spacing w:after="216" w:afterAutospacing="0" w:line="240" w:lineRule="atLeast"/>
        <w:ind w:firstLine="480"/>
        <w:jc w:val="center"/>
        <w:rPr>
          <w:rFonts w:hint="eastAsia" w:ascii="宋体" w:hAnsi="宋体" w:cs="宋体"/>
        </w:rPr>
      </w:pPr>
      <w:r>
        <w:rPr>
          <w:rFonts w:ascii="宋体" w:hAnsi="宋体" w:eastAsia="宋体" w:cs="宋体"/>
          <w:sz w:val="24"/>
          <w:szCs w:val="24"/>
        </w:rPr>
        <w:drawing>
          <wp:inline distT="0" distB="0" distL="114300" distR="114300">
            <wp:extent cx="4191635" cy="2677795"/>
            <wp:effectExtent l="0" t="0" r="14605" b="444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2"/>
                    <a:stretch>
                      <a:fillRect/>
                    </a:stretch>
                  </pic:blipFill>
                  <pic:spPr>
                    <a:xfrm>
                      <a:off x="0" y="0"/>
                      <a:ext cx="4191635" cy="2677795"/>
                    </a:xfrm>
                    <a:prstGeom prst="rect">
                      <a:avLst/>
                    </a:prstGeom>
                    <a:noFill/>
                    <a:ln w="9525">
                      <a:noFill/>
                    </a:ln>
                  </pic:spPr>
                </pic:pic>
              </a:graphicData>
            </a:graphic>
          </wp:inline>
        </w:drawing>
      </w:r>
    </w:p>
    <w:p w14:paraId="133F140A">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 7 舆情地域分布的“热度—情感”四象限图</w:t>
      </w:r>
    </w:p>
    <w:p w14:paraId="2E329FD4">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2.4</w:t>
      </w:r>
      <w:r>
        <w:rPr>
          <w:rFonts w:hint="eastAsia" w:cs="宋体"/>
          <w:b w:val="0"/>
          <w:lang w:val="en-US" w:eastAsia="zh-CN" w:bidi="ar"/>
        </w:rPr>
        <w:t xml:space="preserve"> </w:t>
      </w:r>
      <w:r>
        <w:rPr>
          <w:rFonts w:hint="eastAsia" w:cs="宋体"/>
          <w:b w:val="0"/>
          <w:lang w:bidi="ar"/>
        </w:rPr>
        <w:t>人工校正与模型结果一致性检验</w:t>
      </w:r>
    </w:p>
    <w:p w14:paraId="0831F427">
      <w:pPr>
        <w:bidi w:val="0"/>
        <w:rPr>
          <w:rFonts w:hint="eastAsia" w:ascii="宋体" w:hAnsi="宋体" w:eastAsia="宋体" w:cs="宋体"/>
          <w:sz w:val="21"/>
          <w:szCs w:val="20"/>
        </w:rPr>
      </w:pPr>
      <w:r>
        <w:rPr>
          <w:rFonts w:hint="eastAsia" w:ascii="宋体" w:hAnsi="宋体" w:eastAsia="宋体" w:cs="宋体"/>
          <w:sz w:val="21"/>
          <w:szCs w:val="20"/>
        </w:rPr>
        <w:t>在人工校正与标注可靠性方面，本文从16554条有效样本中随机抽取10%（1655条）文本样本，由两名卫生事业管理相关专业研究生在统一编码规范下独立完成人工标注，标注内容包括情感倾向、议题类型以及事理三元组关键要素。通过计算Cohen’s Kappa系数检验人工标注结果的一致性，结果显示，两名标注者在情感倾向与议题分类任务上的Kappa系数分别为0.76与0.73，在事理三元组核心要素识别上的一致性亦处于可接受范围，表明人工标注结果具有较好的可靠性，可作为模型评估的参考标准。</w:t>
      </w:r>
    </w:p>
    <w:p w14:paraId="78264142">
      <w:pPr>
        <w:bidi w:val="0"/>
        <w:rPr>
          <w:rFonts w:hint="eastAsia" w:ascii="宋体" w:hAnsi="宋体" w:eastAsia="宋体" w:cs="宋体"/>
          <w:sz w:val="21"/>
          <w:szCs w:val="20"/>
        </w:rPr>
      </w:pPr>
      <w:r>
        <w:rPr>
          <w:rFonts w:hint="eastAsia" w:ascii="宋体" w:hAnsi="宋体" w:eastAsia="宋体" w:cs="宋体"/>
          <w:sz w:val="21"/>
          <w:szCs w:val="20"/>
        </w:rPr>
        <w:t>在核心任务效度验证方面，鉴于事理三元组抽取是构建事理图谱的基础，本文进一步对该任务的抽取质量进行了量化评估。以人工标注结果作为参照标准，将大语言模型抽取的事理三元组与人工结果进行对比，计算精确率与召回率。结果显示，模型在事理三元组抽取任务上的精确率为81.2%，召回率为76.5%，整体处于可接受区间。不一致样本主要集中于事件边界模糊或语义指代不清的文本情形，对主要事理结构与后续图谱分析结论影响有限。</w:t>
      </w:r>
    </w:p>
    <w:p w14:paraId="1C43B669">
      <w:pPr>
        <w:bidi w:val="0"/>
        <w:rPr>
          <w:rFonts w:hint="eastAsia" w:ascii="宋体" w:hAnsi="宋体" w:eastAsia="宋体" w:cs="宋体"/>
          <w:sz w:val="21"/>
          <w:szCs w:val="20"/>
        </w:rPr>
      </w:pPr>
      <w:r>
        <w:rPr>
          <w:rFonts w:hint="eastAsia" w:ascii="宋体" w:hAnsi="宋体" w:eastAsia="宋体" w:cs="宋体"/>
          <w:sz w:val="21"/>
          <w:szCs w:val="20"/>
          <w:lang w:val="en-US" w:eastAsia="zh-CN"/>
        </w:rPr>
        <w:t>同时使用</w:t>
      </w:r>
      <w:r>
        <w:rPr>
          <w:rFonts w:hint="eastAsia" w:ascii="宋体" w:hAnsi="宋体" w:eastAsia="宋体" w:cs="宋体"/>
          <w:sz w:val="21"/>
          <w:szCs w:val="20"/>
        </w:rPr>
        <w:t>Bootstrap稳健性检验（N=1000）结果显示（见图</w:t>
      </w:r>
      <w:r>
        <w:rPr>
          <w:rFonts w:hint="eastAsia" w:ascii="宋体" w:hAnsi="宋体" w:eastAsia="宋体" w:cs="宋体"/>
          <w:sz w:val="21"/>
          <w:szCs w:val="20"/>
          <w:lang w:val="en-US" w:eastAsia="zh-CN"/>
        </w:rPr>
        <w:t>8</w:t>
      </w:r>
      <w:r>
        <w:rPr>
          <w:rFonts w:hint="eastAsia" w:ascii="宋体" w:hAnsi="宋体" w:eastAsia="宋体" w:cs="宋体"/>
          <w:sz w:val="21"/>
          <w:szCs w:val="20"/>
        </w:rPr>
        <w:t>），情感得分均值的经验分布服从正态分布，95%置信区间收敛于[-0.1019,-0.0832]，且完全位于负值区间，标准误仅为0.00478。统计检验表明，“中医药舆情整体情感偏负”这一结论具有高度的鲁棒性，未受模型随机噪声干扰。</w:t>
      </w:r>
    </w:p>
    <w:p w14:paraId="1894AB3A">
      <w:pPr>
        <w:pStyle w:val="8"/>
        <w:widowControl/>
        <w:shd w:val="clear" w:color="auto" w:fill="FFFFFF"/>
        <w:spacing w:after="216" w:afterAutospacing="0" w:line="240" w:lineRule="atLeast"/>
        <w:ind w:firstLine="320"/>
        <w:jc w:val="center"/>
        <w:rPr>
          <w:rFonts w:hint="eastAsia" w:ascii="sans-serif" w:hAnsi="sans-serif" w:cs="sans-serif"/>
          <w:color w:val="1A1C1E"/>
          <w:sz w:val="16"/>
          <w:szCs w:val="16"/>
          <w:shd w:val="clear" w:color="auto" w:fill="FFFFFF"/>
        </w:rPr>
      </w:pPr>
      <w:r>
        <w:rPr>
          <w:rFonts w:hint="eastAsia" w:ascii="sans-serif" w:hAnsi="sans-serif" w:cs="sans-serif"/>
          <w:color w:val="1A1C1E"/>
          <w:sz w:val="16"/>
          <w:szCs w:val="16"/>
          <w:shd w:val="clear" w:color="auto" w:fill="FFFFFF"/>
        </w:rPr>
        <w:drawing>
          <wp:inline distT="0" distB="0" distL="114300" distR="114300">
            <wp:extent cx="2782570" cy="1669415"/>
            <wp:effectExtent l="0" t="0" r="17780" b="6985"/>
            <wp:docPr id="10" name="图片 10" descr="Fig3-7_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3-7_Bootstrap"/>
                    <pic:cNvPicPr>
                      <a:picLocks noChangeAspect="1"/>
                    </pic:cNvPicPr>
                  </pic:nvPicPr>
                  <pic:blipFill>
                    <a:blip r:embed="rId13"/>
                    <a:stretch>
                      <a:fillRect/>
                    </a:stretch>
                  </pic:blipFill>
                  <pic:spPr>
                    <a:xfrm>
                      <a:off x="0" y="0"/>
                      <a:ext cx="2782570" cy="1669415"/>
                    </a:xfrm>
                    <a:prstGeom prst="rect">
                      <a:avLst/>
                    </a:prstGeom>
                  </pic:spPr>
                </pic:pic>
              </a:graphicData>
            </a:graphic>
          </wp:inline>
        </w:drawing>
      </w:r>
    </w:p>
    <w:p w14:paraId="37989272">
      <w:pPr>
        <w:bidi w:val="0"/>
        <w:jc w:val="center"/>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图 8 Bootstrap稳健性检验分布图</w:t>
      </w:r>
    </w:p>
    <w:p w14:paraId="00F63D11">
      <w:pPr>
        <w:pStyle w:val="2"/>
        <w:bidi w:val="0"/>
        <w:spacing w:line="300" w:lineRule="exact"/>
        <w:ind w:firstLine="0" w:firstLineChars="0"/>
        <w:rPr>
          <w:rFonts w:hint="eastAsia"/>
          <w:sz w:val="28"/>
        </w:rPr>
      </w:pPr>
      <w:r>
        <w:rPr>
          <w:rFonts w:hint="eastAsia"/>
          <w:sz w:val="28"/>
        </w:rPr>
        <w:t>3 讨论</w:t>
      </w:r>
    </w:p>
    <w:p w14:paraId="75521EAC">
      <w:pPr>
        <w:bidi w:val="0"/>
        <w:rPr>
          <w:rFonts w:hint="eastAsia" w:ascii="宋体" w:hAnsi="宋体" w:eastAsia="宋体" w:cs="宋体"/>
          <w:sz w:val="21"/>
          <w:szCs w:val="20"/>
        </w:rPr>
      </w:pPr>
      <w:r>
        <w:rPr>
          <w:rFonts w:hint="eastAsia" w:ascii="宋体" w:hAnsi="宋体" w:eastAsia="宋体" w:cs="宋体"/>
          <w:sz w:val="21"/>
          <w:szCs w:val="20"/>
        </w:rPr>
        <w:t>本研究基于多平台中医药网络舆情数据，对舆情演化结构与情感分布特征进行了系统分析。从卫生事业管理视角看，相关结果并非单纯反映公众态度波动，而是集中揭示了中医药治理体系在风险管理、服务供给与制度反馈等方面的结构性问题。网络舆情在一定程度上已成为中医药治理的外显结果，其演化特征具有明确的管理含义。</w:t>
      </w:r>
    </w:p>
    <w:p w14:paraId="077E3605">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3.1 中医药舆情的结构性分化反映治理目标与公众关切的错位</w:t>
      </w:r>
    </w:p>
    <w:p w14:paraId="0F045C0E">
      <w:pPr>
        <w:bidi w:val="0"/>
        <w:rPr>
          <w:rFonts w:hint="eastAsia" w:ascii="宋体" w:hAnsi="宋体" w:eastAsia="宋体" w:cs="宋体"/>
          <w:sz w:val="21"/>
          <w:szCs w:val="20"/>
        </w:rPr>
      </w:pPr>
      <w:r>
        <w:rPr>
          <w:rFonts w:hint="eastAsia" w:ascii="宋体" w:hAnsi="宋体" w:eastAsia="宋体" w:cs="宋体"/>
          <w:sz w:val="21"/>
          <w:szCs w:val="20"/>
        </w:rPr>
        <w:t>研究发现，中医药舆情呈现显著的结构性分化：在文化价值层面以正向评价为主，而在药物安全、服务体验等具体医疗实践议题上负面情绪聚集。这表明公众态度并非简单的‘支持---反对’对立，而是</w:t>
      </w:r>
      <w:r>
        <w:rPr>
          <w:rFonts w:hint="default" w:ascii="宋体" w:hAnsi="宋体" w:eastAsia="宋体" w:cs="宋体"/>
          <w:sz w:val="21"/>
          <w:szCs w:val="20"/>
        </w:rPr>
        <w:t>价值认同与现实体验之间存在落差。</w:t>
      </w:r>
      <w:r>
        <w:rPr>
          <w:rFonts w:hint="eastAsia" w:ascii="宋体" w:hAnsi="宋体" w:eastAsia="宋体" w:cs="宋体"/>
          <w:sz w:val="21"/>
          <w:szCs w:val="20"/>
        </w:rPr>
        <w:t>从卫生事业管理角度看，当前中医药治理目标更多强调传承发展与体系建设</w:t>
      </w:r>
      <w:r>
        <w:rPr>
          <w:rFonts w:hint="eastAsia" w:ascii="宋体" w:hAnsi="宋体" w:eastAsia="宋体" w:cs="宋体"/>
          <w:sz w:val="21"/>
          <w:szCs w:val="20"/>
          <w:vertAlign w:val="superscript"/>
          <w:lang w:val="en-US" w:eastAsia="zh-CN"/>
        </w:rPr>
        <w:t>[8]</w:t>
      </w:r>
      <w:r>
        <w:rPr>
          <w:rFonts w:hint="eastAsia" w:ascii="宋体" w:hAnsi="宋体" w:eastAsia="宋体" w:cs="宋体"/>
          <w:sz w:val="21"/>
          <w:szCs w:val="20"/>
        </w:rPr>
        <w:t>，而公众舆情则高度聚焦于用药安全、服务规范和政策执行等现实问题。当治理重点与公众实际关切未能充分对齐时，制度成效便难以通过公众体验得到正向反馈，相关矛盾便以舆情形式持续显现。这种结构性错位提示，中医药治理需要从宏观发展导向进一步转向以医疗安全和服务质量为核心的管理导向。</w:t>
      </w:r>
    </w:p>
    <w:p w14:paraId="31BA6040">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3.2 负面舆情的风险指向性揭示中医药风险管理前置不足</w:t>
      </w:r>
    </w:p>
    <w:p w14:paraId="20E381C8">
      <w:pPr>
        <w:bidi w:val="0"/>
        <w:rPr>
          <w:rFonts w:hint="eastAsia" w:ascii="宋体" w:hAnsi="宋体" w:eastAsia="宋体" w:cs="宋体"/>
          <w:sz w:val="21"/>
          <w:szCs w:val="20"/>
        </w:rPr>
      </w:pPr>
      <w:r>
        <w:rPr>
          <w:rFonts w:hint="eastAsia" w:ascii="宋体" w:hAnsi="宋体" w:eastAsia="宋体" w:cs="宋体"/>
          <w:sz w:val="21"/>
          <w:szCs w:val="20"/>
        </w:rPr>
        <w:t>事理结构分析显示，负面舆情高度集中于药物安全、不良反应、成分透明度及执业规范等风险相关议题，且相关事件往往伴随情绪快速扩散。这一特征说明，中医药舆情中的负面情绪并非偶发，而是具有明确的风险指向性。这反映出当前中医药风险管理仍以事后处置为主</w:t>
      </w:r>
      <w:r>
        <w:rPr>
          <w:rFonts w:hint="eastAsia" w:ascii="宋体" w:hAnsi="宋体" w:eastAsia="宋体" w:cs="宋体"/>
          <w:sz w:val="21"/>
          <w:szCs w:val="20"/>
          <w:vertAlign w:val="superscript"/>
          <w:lang w:val="en-US" w:eastAsia="zh-CN"/>
        </w:rPr>
        <w:t>[9]</w:t>
      </w:r>
      <w:r>
        <w:rPr>
          <w:rFonts w:hint="eastAsia" w:ascii="宋体" w:hAnsi="宋体" w:eastAsia="宋体" w:cs="宋体"/>
          <w:sz w:val="21"/>
          <w:szCs w:val="20"/>
        </w:rPr>
        <w:t>，风险识别与信息披露环节相对薄弱。当潜在风险未能通过制度化方式提前告知和规范管理时，个别事件便容易在网络空间被放大，进而演化为系统性舆情压力。舆情的反复出现，本质上是风险管理前置不足在信息环境中的集中显现。</w:t>
      </w:r>
    </w:p>
    <w:p w14:paraId="5197BCE6">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3.3 医疗资源集聚地区的舆情特征凸显服务管理问题</w:t>
      </w:r>
    </w:p>
    <w:p w14:paraId="7AA0A7B9">
      <w:pPr>
        <w:bidi w:val="0"/>
        <w:rPr>
          <w:rFonts w:hint="eastAsia" w:ascii="宋体" w:hAnsi="宋体" w:eastAsia="宋体" w:cs="宋体"/>
          <w:sz w:val="21"/>
          <w:szCs w:val="20"/>
        </w:rPr>
      </w:pPr>
      <w:r>
        <w:rPr>
          <w:rFonts w:hint="eastAsia" w:ascii="宋体" w:hAnsi="宋体" w:eastAsia="宋体" w:cs="宋体"/>
          <w:sz w:val="21"/>
          <w:szCs w:val="20"/>
        </w:rPr>
        <w:t>区域分析结果显示，医疗资源相对集中的地区舆情热度更高，但情感评价并未同步改善，部分地区甚至呈现出明显的负向集聚现象。从卫生事业管理角度看，这一结果并不意味着资源配置失衡，而是提示服务管理在高需求环境下更容易被放大检验。</w:t>
      </w:r>
    </w:p>
    <w:p w14:paraId="02E95133">
      <w:pPr>
        <w:bidi w:val="0"/>
        <w:rPr>
          <w:rFonts w:hint="eastAsia" w:ascii="宋体" w:hAnsi="宋体" w:eastAsia="宋体" w:cs="宋体"/>
          <w:sz w:val="21"/>
          <w:szCs w:val="20"/>
        </w:rPr>
      </w:pPr>
      <w:r>
        <w:rPr>
          <w:rFonts w:hint="eastAsia" w:ascii="宋体" w:hAnsi="宋体" w:eastAsia="宋体" w:cs="宋体"/>
          <w:sz w:val="21"/>
          <w:szCs w:val="20"/>
        </w:rPr>
        <w:t>在医疗资源高度集聚地区，公众对中医药服务的期待已由“能否获得服务”转向“服务是否高效、规范、透明”。然而，部分中医医疗机构在就诊流程、用药解释和医患沟通等方面仍存在管理粗放的问题，导致公众实际体验与其高期待之间形成明显落差。该落差通过网络平台不断积累，最终转化为持续性的负面舆情。这表明，单纯依赖资源投入难以有效改善舆情表现，服务管理能力已成为影响中医药治理成效的重要因素。</w:t>
      </w:r>
    </w:p>
    <w:p w14:paraId="19CFEE03">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3.4 平台分化背景下卫生信息传播管理能力的不足</w:t>
      </w:r>
    </w:p>
    <w:p w14:paraId="72172ECB">
      <w:pPr>
        <w:bidi w:val="0"/>
        <w:rPr>
          <w:rFonts w:hint="eastAsia" w:ascii="宋体" w:hAnsi="宋体" w:eastAsia="宋体" w:cs="宋体"/>
          <w:sz w:val="21"/>
          <w:szCs w:val="20"/>
        </w:rPr>
      </w:pPr>
      <w:r>
        <w:rPr>
          <w:rFonts w:hint="eastAsia" w:ascii="宋体" w:hAnsi="宋体" w:eastAsia="宋体" w:cs="宋体"/>
          <w:sz w:val="21"/>
          <w:szCs w:val="20"/>
        </w:rPr>
        <w:t>研究还发现，不同网络平台在中医药舆情的内容结构和情感特征上存在显著差异。知识型平台以理性讨论和专业质疑为主，而短视频与生活类平台更易放大个体化、情绪化的就医体验。这一分化并非技术现象，而是卫生信息传播管理尚未有效适应平台生态变化的结果。</w:t>
      </w:r>
    </w:p>
    <w:p w14:paraId="1BAEED4A">
      <w:pPr>
        <w:bidi w:val="0"/>
        <w:rPr>
          <w:rFonts w:hint="eastAsia" w:ascii="宋体" w:hAnsi="宋体" w:eastAsia="宋体" w:cs="宋体"/>
          <w:sz w:val="21"/>
          <w:szCs w:val="20"/>
        </w:rPr>
      </w:pPr>
      <w:r>
        <w:rPr>
          <w:rFonts w:hint="eastAsia" w:ascii="宋体" w:hAnsi="宋体" w:eastAsia="宋体" w:cs="宋体"/>
          <w:sz w:val="21"/>
          <w:szCs w:val="20"/>
        </w:rPr>
        <w:t>在当前治理实践中，卫生管理部门和医疗机构往往采用统一的信息发布策略，缺乏针对不同平台受众特征的分层传播机制。这导致权威、规范的中医药信息在部分平台中触达不足，而碎片化、情绪化内容却更易形成传播优势，从而加剧舆情风险。平台差异背景下的信息传播管理能力，已成为中医药治理体系中不可忽视的薄弱环节。</w:t>
      </w:r>
    </w:p>
    <w:p w14:paraId="07E6F5CC">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bidi="ar"/>
        </w:rPr>
      </w:pPr>
      <w:r>
        <w:rPr>
          <w:rFonts w:hint="eastAsia" w:cs="宋体"/>
          <w:b w:val="0"/>
          <w:lang w:bidi="ar"/>
        </w:rPr>
        <w:t>3.5 网络舆情作为治理反馈信号：中医药管理闭环的缺失</w:t>
      </w:r>
    </w:p>
    <w:p w14:paraId="494909C6">
      <w:pPr>
        <w:bidi w:val="0"/>
        <w:rPr>
          <w:rFonts w:hint="eastAsia" w:ascii="宋体" w:hAnsi="宋体" w:eastAsia="宋体" w:cs="宋体"/>
          <w:sz w:val="21"/>
          <w:szCs w:val="20"/>
        </w:rPr>
      </w:pPr>
      <w:r>
        <w:rPr>
          <w:rFonts w:hint="default" w:ascii="宋体" w:hAnsi="宋体" w:eastAsia="宋体" w:cs="宋体"/>
          <w:sz w:val="21"/>
          <w:szCs w:val="20"/>
        </w:rPr>
        <w:t>中医药网络舆情实质上发挥着治理反馈信号的作用。舆情中反复出现的安全疑虑与服务不满，构成了对现有管理措施有效性的社会评价。</w:t>
      </w:r>
      <w:r>
        <w:rPr>
          <w:rFonts w:hint="eastAsia" w:ascii="宋体" w:hAnsi="宋体" w:eastAsia="宋体" w:cs="宋体"/>
          <w:sz w:val="21"/>
          <w:szCs w:val="20"/>
        </w:rPr>
        <w:t>舆情中反复出现的安全疑虑、服务不满和政策争议，实质上构成了对现有管理措施有效性的社会反馈。然而，这类反馈尚未被系统性纳入卫生事业管理的常规决策机制之中。</w:t>
      </w:r>
    </w:p>
    <w:p w14:paraId="2144CCDE">
      <w:pPr>
        <w:bidi w:val="0"/>
        <w:rPr>
          <w:rFonts w:hint="eastAsia" w:ascii="宋体" w:hAnsi="宋体" w:eastAsia="宋体" w:cs="宋体"/>
          <w:sz w:val="21"/>
          <w:szCs w:val="20"/>
        </w:rPr>
      </w:pPr>
      <w:r>
        <w:rPr>
          <w:rFonts w:hint="eastAsia" w:ascii="宋体" w:hAnsi="宋体" w:eastAsia="宋体" w:cs="宋体"/>
          <w:sz w:val="21"/>
          <w:szCs w:val="20"/>
        </w:rPr>
        <w:t>当治理体系缺乏有效的反馈整合与制度调整机制时，问题只能以舆情形式反复出现，既增加了管理成本，也削弱了政策公信力。因此，从卫生事业管理视角看，中医药舆情治理的关键并非单纯“降热度”或“控风险”，而在于构建以舆情信息为输入的制度反馈闭环，使治理调整能够基于真实的社会反应持续优化。</w:t>
      </w:r>
    </w:p>
    <w:p w14:paraId="11C8D08F">
      <w:pPr>
        <w:pStyle w:val="2"/>
        <w:bidi w:val="0"/>
        <w:spacing w:line="300" w:lineRule="exact"/>
        <w:ind w:firstLine="0" w:firstLineChars="0"/>
        <w:rPr>
          <w:rFonts w:hint="eastAsia"/>
          <w:sz w:val="28"/>
          <w:lang w:val="en-US" w:eastAsia="zh-CN"/>
        </w:rPr>
      </w:pPr>
      <w:r>
        <w:rPr>
          <w:rFonts w:hint="eastAsia"/>
          <w:sz w:val="28"/>
          <w:lang w:val="en-US" w:eastAsia="zh-CN"/>
        </w:rPr>
        <w:t>4建议</w:t>
      </w:r>
    </w:p>
    <w:p w14:paraId="59A0E6CE">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val="en-US" w:eastAsia="zh-CN" w:bidi="ar"/>
        </w:rPr>
      </w:pPr>
      <w:r>
        <w:rPr>
          <w:rFonts w:hint="eastAsia" w:cs="宋体"/>
          <w:b w:val="0"/>
          <w:lang w:val="en-US" w:eastAsia="zh-CN" w:bidi="ar"/>
        </w:rPr>
        <w:t>4.1 完善中医药安全管理的基础性制度</w:t>
      </w:r>
    </w:p>
    <w:p w14:paraId="2C675ADC">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针对舆情中高度集中的药物安全与不良反应问题，卫生管理部门应在现有监管框架下，进一步强化中医药用药风险信息的前置管理</w:t>
      </w:r>
      <w:r>
        <w:rPr>
          <w:rFonts w:hint="eastAsia" w:ascii="宋体" w:hAnsi="宋体" w:eastAsia="宋体" w:cs="宋体"/>
          <w:sz w:val="21"/>
          <w:szCs w:val="20"/>
          <w:vertAlign w:val="superscript"/>
          <w:lang w:val="en-US" w:eastAsia="zh-CN"/>
        </w:rPr>
        <w:t>[10]</w:t>
      </w:r>
      <w:r>
        <w:rPr>
          <w:rFonts w:hint="eastAsia" w:ascii="宋体" w:hAnsi="宋体" w:eastAsia="宋体" w:cs="宋体"/>
          <w:sz w:val="21"/>
          <w:szCs w:val="20"/>
          <w:lang w:val="en-US" w:eastAsia="zh-CN"/>
        </w:rPr>
        <w:t>。一方面，应推动中成药和中药饮片说明信息的规范化表达，明确适应证、禁忌证及可能风险，减少因信息模糊引发的公众误解</w:t>
      </w:r>
      <w:r>
        <w:rPr>
          <w:rFonts w:hint="eastAsia" w:ascii="宋体" w:hAnsi="宋体" w:eastAsia="宋体" w:cs="宋体"/>
          <w:sz w:val="21"/>
          <w:szCs w:val="20"/>
          <w:vertAlign w:val="superscript"/>
          <w:lang w:val="en-US" w:eastAsia="zh-CN"/>
        </w:rPr>
        <w:t>[11]</w:t>
      </w:r>
      <w:r>
        <w:rPr>
          <w:rFonts w:hint="eastAsia" w:ascii="宋体" w:hAnsi="宋体" w:eastAsia="宋体" w:cs="宋体"/>
          <w:sz w:val="21"/>
          <w:szCs w:val="20"/>
          <w:lang w:val="en-US" w:eastAsia="zh-CN"/>
        </w:rPr>
        <w:t>。另一方面，可在不增加医疗机构额外负担的前提下，探索将常见风险提示纳入常规诊疗和药事管理流程，使风险告知成为标准化操作，而非依赖个别医务人员的经验判断。</w:t>
      </w:r>
    </w:p>
    <w:p w14:paraId="1E9E5C19">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通过制度性前置风险管理，有助于将部分潜在舆情压力消解在医疗服务发生之前，从源头降低负面舆情的生成概率。</w:t>
      </w:r>
    </w:p>
    <w:p w14:paraId="5F2ED410">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val="en-US" w:eastAsia="zh-CN" w:bidi="ar"/>
        </w:rPr>
      </w:pPr>
      <w:r>
        <w:rPr>
          <w:rFonts w:hint="eastAsia" w:cs="宋体"/>
          <w:b w:val="0"/>
          <w:lang w:val="en-US" w:eastAsia="zh-CN" w:bidi="ar"/>
        </w:rPr>
        <w:t>4.2 提升中医医疗机构的管理感知</w:t>
      </w:r>
    </w:p>
    <w:p w14:paraId="3FE4593C">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针对医疗资源集聚地区负面舆情较为集中的现象，应将治理重点从“资源配置”转向“服务管理”。卫生管理部门可引导中医医疗机构对就诊流程、用药解释和医患沟通环节进行针对性优化，尤其是在高负荷门诊环境下，通过流程简化和信息提示减少患者的不确定感。</w:t>
      </w:r>
    </w:p>
    <w:p w14:paraId="4B330F8A">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在不增加医疗成本的前提下，适当强化对中医药服务过程的管理评价，将患者体验中反复出现的共性问题作为服务改进的重要依据，有助于缩小公众期待与实际体验之间的差距，从而缓解因管理感知不足引发的舆情风险。</w:t>
      </w:r>
    </w:p>
    <w:p w14:paraId="0CC0C1F2">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val="en-US" w:eastAsia="zh-CN" w:bidi="ar"/>
        </w:rPr>
      </w:pPr>
      <w:r>
        <w:rPr>
          <w:rFonts w:hint="eastAsia" w:cs="宋体"/>
          <w:b w:val="0"/>
          <w:lang w:val="en-US" w:eastAsia="zh-CN" w:bidi="ar"/>
        </w:rPr>
        <w:t>4.3 提升权威信息触达效率</w:t>
      </w:r>
    </w:p>
    <w:p w14:paraId="02BBB3C4">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鉴于不同网络平台在舆情结构和传播机制上的显著差异，中医药舆情治理不宜采取“一种声音覆盖所有平台”的信息发布方式。卫生管理部门和相关机构应结合平台特性，区分知识型平台与大众传播平台的信息侧重点。</w:t>
      </w:r>
    </w:p>
    <w:p w14:paraId="45B3830A">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在专业讨论较集中的平台，应侧重提供规范解释和政策依据，回应理性质疑；在情绪化表达更集中的平台，则应以通俗化方式解释中医药服务和用药规范，避免专业信息因表达方式不当而被误解。通过分平台的信息传播管理，有助于提高权威信息的实际触达效果，减少非正式信息主导舆论场的空间。</w:t>
      </w:r>
    </w:p>
    <w:p w14:paraId="0F15572E">
      <w:pPr>
        <w:pStyle w:val="3"/>
        <w:keepNext w:val="0"/>
        <w:keepLines w:val="0"/>
        <w:pageBreakBefore w:val="0"/>
        <w:widowControl w:val="0"/>
        <w:kinsoku/>
        <w:wordWrap/>
        <w:overflowPunct/>
        <w:topLinePunct w:val="0"/>
        <w:autoSpaceDE/>
        <w:autoSpaceDN/>
        <w:bidi w:val="0"/>
        <w:adjustRightInd/>
        <w:snapToGrid/>
        <w:spacing w:before="0" w:beforeAutospacing="1" w:after="0" w:afterAutospacing="1" w:line="300" w:lineRule="exact"/>
        <w:ind w:firstLine="0" w:firstLineChars="0"/>
        <w:textAlignment w:val="auto"/>
        <w:rPr>
          <w:rFonts w:hint="eastAsia" w:cs="宋体"/>
          <w:b w:val="0"/>
          <w:lang w:val="en-US" w:eastAsia="zh-CN" w:bidi="ar"/>
        </w:rPr>
      </w:pPr>
      <w:r>
        <w:rPr>
          <w:rFonts w:hint="eastAsia" w:cs="宋体"/>
          <w:b w:val="0"/>
          <w:lang w:val="en-US" w:eastAsia="zh-CN" w:bidi="ar"/>
        </w:rPr>
        <w:t>4.4 强化治理反馈机制</w:t>
      </w:r>
    </w:p>
    <w:p w14:paraId="4EFB4D18">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从卫生事业管理角度看，网络舆情应被视为反映制度运行效果的重要补充信息，而非单纯的管理压力来源。建议卫生管理部门在现有工作体系中，探索将中医药舆情的结构性特征纳入常规管理评估视角，重点关注舆情中反复出现的高频问题。</w:t>
      </w:r>
    </w:p>
    <w:p w14:paraId="17B882B5">
      <w:pPr>
        <w:bidi w:val="0"/>
        <w:rPr>
          <w:rFonts w:hint="eastAsia" w:ascii="宋体" w:hAnsi="宋体" w:eastAsia="宋体" w:cs="宋体"/>
          <w:sz w:val="21"/>
          <w:szCs w:val="20"/>
          <w:lang w:val="en-US" w:eastAsia="zh-CN"/>
        </w:rPr>
      </w:pPr>
      <w:r>
        <w:rPr>
          <w:rFonts w:hint="eastAsia" w:ascii="宋体" w:hAnsi="宋体" w:eastAsia="宋体" w:cs="宋体"/>
          <w:sz w:val="21"/>
          <w:szCs w:val="20"/>
          <w:lang w:val="en-US" w:eastAsia="zh-CN"/>
        </w:rPr>
        <w:t>通过对舆情信息进行持续跟踪和分类整理，可为政策调整和服务改进提供参考依据，避免同类问题在网络空间中反复累积。将舆情从“被动应对对象”转化为“治理反馈输入”，有助于逐步形成中医药管理中的反馈—调整闭环。</w:t>
      </w:r>
    </w:p>
    <w:p w14:paraId="4A191787">
      <w:pPr>
        <w:keepNext w:val="0"/>
        <w:keepLines w:val="0"/>
        <w:pageBreakBefore w:val="0"/>
        <w:kinsoku/>
        <w:wordWrap/>
        <w:overflowPunct/>
        <w:topLinePunct w:val="0"/>
        <w:autoSpaceDE/>
        <w:autoSpaceDN/>
        <w:bidi w:val="0"/>
        <w:adjustRightInd/>
        <w:snapToGrid/>
        <w:spacing w:beforeAutospacing="0"/>
        <w:ind w:left="0" w:leftChars="0" w:firstLine="0" w:firstLineChars="0"/>
        <w:textAlignment w:val="auto"/>
        <w:rPr>
          <w:rFonts w:hint="eastAsia" w:ascii="宋体" w:hAnsi="宋体" w:eastAsia="宋体" w:cs="宋体"/>
          <w:i w:val="0"/>
          <w:iCs w:val="0"/>
          <w:caps w:val="0"/>
          <w:color w:val="1A1C1E"/>
          <w:spacing w:val="0"/>
          <w:sz w:val="24"/>
          <w:szCs w:val="24"/>
          <w:shd w:val="clear" w:fill="FFFFFF"/>
          <w:lang w:val="en-US" w:eastAsia="zh-CN"/>
        </w:rPr>
      </w:pPr>
    </w:p>
    <w:p w14:paraId="7DAC5E2F">
      <w:pPr>
        <w:pStyle w:val="2"/>
        <w:bidi w:val="0"/>
        <w:spacing w:line="300" w:lineRule="exact"/>
        <w:ind w:firstLine="0" w:firstLineChars="0"/>
        <w:rPr>
          <w:rFonts w:hint="eastAsia"/>
          <w:sz w:val="28"/>
          <w:lang w:val="en-US" w:eastAsia="zh-CN"/>
        </w:rPr>
      </w:pPr>
      <w:r>
        <w:rPr>
          <w:rFonts w:hint="eastAsia"/>
          <w:sz w:val="28"/>
          <w:lang w:val="en-US" w:eastAsia="zh-CN"/>
        </w:rPr>
        <w:t xml:space="preserve">作者贡献声明与利益冲突声明 </w:t>
      </w:r>
    </w:p>
    <w:p w14:paraId="1EDFCAB6">
      <w:pPr>
        <w:bidi w:val="0"/>
        <w:ind w:left="0" w:leftChars="0" w:firstLine="0" w:firstLineChars="0"/>
        <w:rPr>
          <w:rFonts w:hint="eastAsia"/>
          <w:sz w:val="21"/>
          <w:lang w:eastAsia="zh-CN"/>
        </w:rPr>
      </w:pPr>
      <w:r>
        <w:rPr>
          <w:rFonts w:hint="eastAsia"/>
          <w:sz w:val="21"/>
        </w:rPr>
        <w:t>作者贡献</w:t>
      </w:r>
      <w:r>
        <w:rPr>
          <w:rFonts w:hint="eastAsia"/>
          <w:sz w:val="21"/>
          <w:lang w:eastAsia="zh-CN"/>
        </w:rPr>
        <w:t>：</w:t>
      </w:r>
      <w:r>
        <w:rPr>
          <w:rFonts w:hint="eastAsia"/>
          <w:sz w:val="21"/>
        </w:rPr>
        <w:t>陈志影提出本研究核心命题与主要研究目标，负责研究思路的构思、整体方案设计及研究框架（融合大语言模型与事理图谱）的搭建，统筹全流程研究实施，并具体负责多源异构数据的筛选、清洗与预处理，完成事理结构识别、情感演化分析、空间异质性测度及Bootstrap稳健性检验等核心统计分析及图表绘制，同时承担论文初稿的撰写与框架搭建；王飞参与研究方案的细化完善，协助开展微博、抖音、知乎等多平台数据采集与预处理工作，并协助补充关键词监测矩阵设计、人工标注一致性检验等数据分析工作，以及初稿内容的补充完善（包括文献梳理、结果部分的文字润色）；田侃作为通信作者，主导研究的质量把控与整体统筹，负责论文最终版本的修订、完善及全文的最终审核与责任承担，并对数据分析逻辑与结果解读进行指导审核，针对论文的研究设计、结论讨论等核心内容进行修订，优化论文表达逻辑与学术规范性，确保研究结论的科学性与严谨性。</w:t>
      </w:r>
    </w:p>
    <w:p w14:paraId="2453FDF3">
      <w:pPr>
        <w:pStyle w:val="2"/>
        <w:bidi w:val="0"/>
        <w:spacing w:line="300" w:lineRule="exact"/>
        <w:ind w:firstLine="0" w:firstLineChars="0"/>
        <w:rPr>
          <w:rFonts w:hint="eastAsia" w:eastAsia="宋体" w:asciiTheme="minorAscii" w:hAnsiTheme="minorAscii" w:cstheme="minorBidi"/>
          <w:b/>
          <w:kern w:val="44"/>
          <w:sz w:val="28"/>
          <w:szCs w:val="24"/>
          <w:lang w:val="en-US" w:eastAsia="zh-CN" w:bidi="ar-SA"/>
        </w:rPr>
      </w:pPr>
      <w:r>
        <w:rPr>
          <w:rFonts w:hint="eastAsia" w:eastAsia="宋体" w:asciiTheme="minorAscii" w:hAnsiTheme="minorAscii" w:cstheme="minorBidi"/>
          <w:b/>
          <w:kern w:val="44"/>
          <w:sz w:val="28"/>
          <w:szCs w:val="24"/>
          <w:lang w:val="en-US" w:eastAsia="zh-CN" w:bidi="ar-SA"/>
        </w:rPr>
        <w:t xml:space="preserve">利益冲突声明 </w:t>
      </w:r>
    </w:p>
    <w:p w14:paraId="7D209A5F">
      <w:pPr>
        <w:bidi w:val="0"/>
        <w:ind w:left="0" w:leftChars="0" w:firstLine="0" w:firstLineChars="0"/>
        <w:rPr>
          <w:rFonts w:hint="eastAsia"/>
          <w:sz w:val="21"/>
        </w:rPr>
      </w:pPr>
      <w:r>
        <w:rPr>
          <w:rFonts w:hint="eastAsia"/>
          <w:sz w:val="21"/>
        </w:rPr>
        <w:t>本文所有作者均声明不存在与研究相关的利益冲突。 本研究未接受任何企业/机构的资金资助与津贴支持，研究经费由研究团队自主承担，研究过程、数据处理、结论推导等环节均独立完成，无任何外部主体干预研究结果与研究结论。</w:t>
      </w:r>
    </w:p>
    <w:p w14:paraId="4739083E">
      <w:pPr>
        <w:keepNext w:val="0"/>
        <w:keepLines w:val="0"/>
        <w:pageBreakBefore w:val="0"/>
        <w:kinsoku/>
        <w:wordWrap/>
        <w:overflowPunct/>
        <w:topLinePunct w:val="0"/>
        <w:autoSpaceDE/>
        <w:autoSpaceDN/>
        <w:bidi w:val="0"/>
        <w:adjustRightInd/>
        <w:snapToGrid/>
        <w:spacing w:beforeAutospacing="0"/>
        <w:ind w:left="0" w:leftChars="0" w:firstLine="0" w:firstLineChars="0"/>
        <w:textAlignment w:val="auto"/>
        <w:rPr>
          <w:rFonts w:hint="eastAsia" w:ascii="宋体" w:hAnsi="宋体" w:eastAsia="宋体" w:cs="宋体"/>
          <w:i w:val="0"/>
          <w:iCs w:val="0"/>
          <w:caps w:val="0"/>
          <w:color w:val="1A1C1E"/>
          <w:spacing w:val="0"/>
          <w:sz w:val="24"/>
          <w:szCs w:val="24"/>
          <w:shd w:val="clear" w:fill="FFFFFF"/>
          <w:lang w:val="en-US" w:eastAsia="zh-CN"/>
        </w:rPr>
      </w:pPr>
    </w:p>
    <w:p w14:paraId="7D5C64FC">
      <w:pPr>
        <w:keepNext w:val="0"/>
        <w:keepLines w:val="0"/>
        <w:pageBreakBefore w:val="0"/>
        <w:kinsoku/>
        <w:wordWrap/>
        <w:overflowPunct/>
        <w:topLinePunct w:val="0"/>
        <w:autoSpaceDE/>
        <w:autoSpaceDN/>
        <w:bidi w:val="0"/>
        <w:adjustRightInd/>
        <w:snapToGrid/>
        <w:spacing w:beforeAutospacing="0"/>
        <w:textAlignment w:val="auto"/>
        <w:rPr>
          <w:rFonts w:hint="eastAsia" w:ascii="宋体" w:hAnsi="宋体" w:eastAsia="宋体" w:cs="宋体"/>
          <w:i w:val="0"/>
          <w:iCs w:val="0"/>
          <w:caps w:val="0"/>
          <w:color w:val="1A1C1E"/>
          <w:spacing w:val="0"/>
          <w:sz w:val="24"/>
          <w:szCs w:val="24"/>
          <w:shd w:val="clear" w:fill="FFFFFF"/>
          <w:lang w:val="en-US" w:eastAsia="zh-CN"/>
        </w:rPr>
      </w:pPr>
    </w:p>
    <w:p w14:paraId="3AA1CA3B">
      <w:pPr>
        <w:keepNext w:val="0"/>
        <w:keepLines w:val="0"/>
        <w:pageBreakBefore w:val="0"/>
        <w:kinsoku/>
        <w:wordWrap/>
        <w:overflowPunct/>
        <w:topLinePunct w:val="0"/>
        <w:autoSpaceDE/>
        <w:autoSpaceDN/>
        <w:bidi w:val="0"/>
        <w:adjustRightInd/>
        <w:snapToGrid/>
        <w:spacing w:beforeAutospacing="0"/>
        <w:textAlignment w:val="auto"/>
        <w:rPr>
          <w:rFonts w:hint="default" w:ascii="宋体" w:hAnsi="宋体" w:eastAsia="宋体" w:cs="宋体"/>
          <w:i w:val="0"/>
          <w:iCs w:val="0"/>
          <w:caps w:val="0"/>
          <w:color w:val="1A1C1E"/>
          <w:spacing w:val="0"/>
          <w:sz w:val="24"/>
          <w:szCs w:val="24"/>
          <w:shd w:val="clear" w:fill="FFFFFF"/>
          <w:lang w:val="en-US" w:eastAsia="zh-CN"/>
        </w:rPr>
      </w:pPr>
    </w:p>
    <w:p w14:paraId="15486EFD">
      <w:pPr>
        <w:keepNext w:val="0"/>
        <w:keepLines w:val="0"/>
        <w:pageBreakBefore w:val="0"/>
        <w:kinsoku/>
        <w:wordWrap/>
        <w:overflowPunct/>
        <w:topLinePunct w:val="0"/>
        <w:autoSpaceDE/>
        <w:autoSpaceDN/>
        <w:bidi w:val="0"/>
        <w:adjustRightInd/>
        <w:snapToGrid/>
        <w:spacing w:line="300" w:lineRule="atLeas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参考文献</w:t>
      </w:r>
    </w:p>
    <w:p w14:paraId="08C86CB2">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[1]项国雄,刘然.圈层舆论的破圈识别、风险研判与治理范式[J].南昌大学学报(人文社会科学版),2025,56(06):159-168.DOI:10.13764/j.cnki.ncds.2025.06.009.</w:t>
      </w:r>
    </w:p>
    <w:p w14:paraId="3CE14BA8">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2</w:t>
      </w:r>
      <w:r>
        <w:rPr>
          <w:rFonts w:hint="default" w:ascii="宋体" w:hAnsi="宋体" w:eastAsia="宋体" w:cs="宋体"/>
          <w:sz w:val="21"/>
          <w:szCs w:val="21"/>
          <w:lang w:val="en-US" w:eastAsia="zh-CN"/>
        </w:rPr>
        <w:t>]臧振春,李焕,崔春生.基于情感挖掘的网络舆情预警研究[J].情报杂志,2025,44(11):153-159.</w:t>
      </w:r>
    </w:p>
    <w:p w14:paraId="3BCF2ABA">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3</w:t>
      </w:r>
      <w:r>
        <w:rPr>
          <w:rFonts w:hint="default" w:ascii="宋体" w:hAnsi="宋体" w:eastAsia="宋体" w:cs="宋体"/>
          <w:sz w:val="21"/>
          <w:szCs w:val="21"/>
          <w:lang w:val="en-US" w:eastAsia="zh-CN"/>
        </w:rPr>
        <w:t>]崔骕,韩益亮,朱率率,等.基于情感主题建模的负面舆情早期预警研究[J].清华大学学报(自然科学版),2024,64(10):1771-1784.DOI:10.16511/j.cnki.qhdxxb.2024.27.005.</w:t>
      </w:r>
    </w:p>
    <w:p w14:paraId="35B2E062">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4</w:t>
      </w:r>
      <w:r>
        <w:rPr>
          <w:rFonts w:hint="default" w:ascii="宋体" w:hAnsi="宋体" w:eastAsia="宋体" w:cs="宋体"/>
          <w:sz w:val="21"/>
          <w:szCs w:val="21"/>
          <w:lang w:val="en-US" w:eastAsia="zh-CN"/>
        </w:rPr>
        <w:t>]魏建香,梁帅,朱云霞,等.事理图谱研究进展[J].情报资料工作,2023,44(06):35-43.</w:t>
      </w:r>
    </w:p>
    <w:p w14:paraId="71777099">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5</w:t>
      </w:r>
      <w:r>
        <w:rPr>
          <w:rFonts w:hint="default" w:ascii="宋体" w:hAnsi="宋体" w:eastAsia="宋体" w:cs="宋体"/>
          <w:sz w:val="21"/>
          <w:szCs w:val="21"/>
          <w:lang w:val="en-US" w:eastAsia="zh-CN"/>
        </w:rPr>
        <w:t>]岳丽欣,刘自强.大语言模型赋能的重大突发事件舆情——事理融合图谱构建[J/OL].情报杂志,1-10[2025-12-29].https://link.cnki.net/urlid/61.1167.G3.20251203.1853.002.</w:t>
      </w:r>
    </w:p>
    <w:p w14:paraId="0BDB8221">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6</w:t>
      </w:r>
      <w:r>
        <w:rPr>
          <w:rFonts w:hint="default" w:ascii="宋体" w:hAnsi="宋体" w:eastAsia="宋体" w:cs="宋体"/>
          <w:sz w:val="21"/>
          <w:szCs w:val="21"/>
          <w:lang w:val="en-US" w:eastAsia="zh-CN"/>
        </w:rPr>
        <w:t>]刘彦辉,周红磊,刘伟利,等.融合事理图谱与人工智能技术的政策建议方案生成研究[J/OL].情报理论与实践,1-13[2025-12-29].https://link.cnki.net/urlid/11.1762.G3.20250919.1839.002.</w:t>
      </w:r>
    </w:p>
    <w:p w14:paraId="61CEBCF2">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7</w:t>
      </w:r>
      <w:r>
        <w:rPr>
          <w:rFonts w:hint="default" w:ascii="宋体" w:hAnsi="宋体" w:eastAsia="宋体" w:cs="宋体"/>
          <w:sz w:val="21"/>
          <w:szCs w:val="21"/>
          <w:lang w:val="en-US" w:eastAsia="zh-CN"/>
        </w:rPr>
        <w:t>]孙钦莹,徐冬梅,马海群.事理图谱赋能的突发事件情报感知与智慧决策机制研究[J].情报杂志,2025,44(08):109-117.</w:t>
      </w:r>
    </w:p>
    <w:p w14:paraId="34206A2F">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8</w:t>
      </w:r>
      <w:r>
        <w:rPr>
          <w:rFonts w:hint="default" w:ascii="宋体" w:hAnsi="宋体" w:eastAsia="宋体" w:cs="宋体"/>
          <w:sz w:val="21"/>
          <w:szCs w:val="21"/>
          <w:lang w:val="en-US" w:eastAsia="zh-CN"/>
        </w:rPr>
        <w:t>] 中华人民共和国中央人民政府. 国务院办公厅关于印发“十四五”中医药发展规划的通知[EB/OL]. (2022-03-29) [2024-07-24]. </w:t>
      </w:r>
      <w:r>
        <w:rPr>
          <w:rFonts w:hint="default" w:ascii="宋体" w:hAnsi="宋体" w:eastAsia="宋体" w:cs="宋体"/>
          <w:sz w:val="21"/>
          <w:szCs w:val="21"/>
          <w:lang w:val="en-US" w:eastAsia="zh-CN"/>
        </w:rPr>
        <w:fldChar w:fldCharType="begin"/>
      </w:r>
      <w:r>
        <w:rPr>
          <w:rFonts w:hint="default" w:ascii="宋体" w:hAnsi="宋体" w:eastAsia="宋体" w:cs="宋体"/>
          <w:sz w:val="21"/>
          <w:szCs w:val="21"/>
          <w:lang w:val="en-US" w:eastAsia="zh-CN"/>
        </w:rPr>
        <w:instrText xml:space="preserve"> HYPERLINK "https://www.gov.cn/zhengce/content/2022-03/content_5682255.htm" \t "https://chat.deepseek.com/a/chat/s/_blank" </w:instrText>
      </w:r>
      <w:r>
        <w:rPr>
          <w:rFonts w:hint="default" w:ascii="宋体" w:hAnsi="宋体" w:eastAsia="宋体" w:cs="宋体"/>
          <w:sz w:val="21"/>
          <w:szCs w:val="21"/>
          <w:lang w:val="en-US" w:eastAsia="zh-CN"/>
        </w:rPr>
        <w:fldChar w:fldCharType="separate"/>
      </w:r>
      <w:r>
        <w:rPr>
          <w:rFonts w:hint="default" w:ascii="宋体" w:hAnsi="宋体" w:eastAsia="宋体" w:cs="宋体"/>
          <w:sz w:val="21"/>
          <w:szCs w:val="21"/>
          <w:lang w:val="en-US" w:eastAsia="zh-CN"/>
        </w:rPr>
        <w:t>https://www.gov.cn/zhengce/content/2022-03/content_5682255.htm</w:t>
      </w:r>
      <w:r>
        <w:rPr>
          <w:rFonts w:hint="default" w:ascii="宋体" w:hAnsi="宋体" w:eastAsia="宋体" w:cs="宋体"/>
          <w:sz w:val="21"/>
          <w:szCs w:val="21"/>
          <w:lang w:val="en-US" w:eastAsia="zh-CN"/>
        </w:rPr>
        <w:fldChar w:fldCharType="end"/>
      </w:r>
      <w:r>
        <w:rPr>
          <w:rFonts w:hint="default" w:ascii="宋体" w:hAnsi="宋体" w:eastAsia="宋体" w:cs="宋体"/>
          <w:sz w:val="21"/>
          <w:szCs w:val="21"/>
          <w:lang w:val="en-US" w:eastAsia="zh-CN"/>
        </w:rPr>
        <w:t>.</w:t>
      </w:r>
    </w:p>
    <w:p w14:paraId="2252D1F3">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9</w:t>
      </w:r>
      <w:r>
        <w:rPr>
          <w:rFonts w:hint="default" w:ascii="宋体" w:hAnsi="宋体" w:eastAsia="宋体" w:cs="宋体"/>
          <w:sz w:val="21"/>
          <w:szCs w:val="21"/>
          <w:lang w:val="en-US" w:eastAsia="zh-CN"/>
        </w:rPr>
        <w:t>]彭连佳,胡凯伦.中医药风险干预与疾病管理计划在消化科医疗工作中的作用[J].中医药管理杂志,2025,33(18):249-251.DOI:10.16690/j.cnki.1007-9203.2025.18.079.</w:t>
      </w:r>
    </w:p>
    <w:p w14:paraId="5A3B3A68">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eastAsia="宋体" w:cs="宋体"/>
          <w:sz w:val="21"/>
          <w:szCs w:val="21"/>
          <w:lang w:val="en-US" w:eastAsia="zh-CN"/>
        </w:rPr>
        <w:t>0</w:t>
      </w:r>
      <w:r>
        <w:rPr>
          <w:rFonts w:hint="default" w:ascii="宋体" w:hAnsi="宋体" w:eastAsia="宋体" w:cs="宋体"/>
          <w:sz w:val="21"/>
          <w:szCs w:val="21"/>
          <w:lang w:val="en-US" w:eastAsia="zh-CN"/>
        </w:rPr>
        <w:t>]卜飞雨,王琳宁,虞杰,等.用药安全视角下窄治疗指数药物全周期管理政策及指导原则国际对比分析与启示[J].中国现代应用药学,2024,41(17):2422-2429.DOI:10.13748/j.cnki.issn1007-7693.20233003.</w:t>
      </w:r>
    </w:p>
    <w:p w14:paraId="5732C8BF">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eastAsia="宋体" w:cs="宋体"/>
          <w:sz w:val="21"/>
          <w:szCs w:val="21"/>
          <w:lang w:val="en-US" w:eastAsia="zh-CN"/>
        </w:rPr>
        <w:t>1</w:t>
      </w:r>
      <w:r>
        <w:rPr>
          <w:rFonts w:hint="default" w:ascii="宋体" w:hAnsi="宋体" w:eastAsia="宋体" w:cs="宋体"/>
          <w:sz w:val="21"/>
          <w:szCs w:val="21"/>
          <w:lang w:val="en-US" w:eastAsia="zh-CN"/>
        </w:rPr>
        <w:t>]冼冬妍,高艳玲,黄晓霞,等.中成药非处方药说明书可读性评估指标的建立与应用[J/OL].医药导报,1-13[2025-12-29].https://link.cnki.net/urlid/42.1293.r.20250924.1448.012.</w:t>
      </w:r>
    </w:p>
    <w:p w14:paraId="3AFA11A6">
      <w:pPr>
        <w:keepNext w:val="0"/>
        <w:keepLines w:val="0"/>
        <w:pageBreakBefore w:val="0"/>
        <w:kinsoku/>
        <w:wordWrap/>
        <w:overflowPunct/>
        <w:topLinePunct w:val="0"/>
        <w:autoSpaceDE/>
        <w:autoSpaceDN/>
        <w:bidi w:val="0"/>
        <w:adjustRightInd/>
        <w:snapToGrid/>
        <w:spacing w:line="300" w:lineRule="atLeast"/>
        <w:textAlignment w:val="auto"/>
        <w:rPr>
          <w:rFonts w:hint="default" w:ascii="宋体" w:hAnsi="宋体" w:eastAsia="宋体" w:cs="宋体"/>
          <w:sz w:val="21"/>
          <w:szCs w:val="21"/>
          <w:lang w:val="en-US" w:eastAsia="zh-CN"/>
        </w:rPr>
      </w:pPr>
    </w:p>
    <w:sectPr>
      <w:pgSz w:w="11906" w:h="16838"/>
      <w:pgMar w:top="720" w:right="720" w:bottom="720" w:left="72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D7226"/>
    <w:rsid w:val="05FC324C"/>
    <w:rsid w:val="0DB717F6"/>
    <w:rsid w:val="0E9E667F"/>
    <w:rsid w:val="0EFC35C8"/>
    <w:rsid w:val="109B53FF"/>
    <w:rsid w:val="233A2855"/>
    <w:rsid w:val="23DE7685"/>
    <w:rsid w:val="2621539B"/>
    <w:rsid w:val="2D7E5671"/>
    <w:rsid w:val="319C3C90"/>
    <w:rsid w:val="33FA3CCE"/>
    <w:rsid w:val="39094FE7"/>
    <w:rsid w:val="49827327"/>
    <w:rsid w:val="4A1B043B"/>
    <w:rsid w:val="53CF7EEF"/>
    <w:rsid w:val="56666EE2"/>
    <w:rsid w:val="57B950FD"/>
    <w:rsid w:val="5D2A587A"/>
    <w:rsid w:val="61414E9A"/>
    <w:rsid w:val="68D35286"/>
    <w:rsid w:val="720766C2"/>
    <w:rsid w:val="7A714A06"/>
    <w:rsid w:val="7B7B438F"/>
    <w:rsid w:val="7D5E0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ind w:firstLine="0" w:firstLineChars="0"/>
      <w:jc w:val="left"/>
      <w:outlineLvl w:val="1"/>
    </w:pPr>
    <w:rPr>
      <w:rFonts w:hint="eastAsia" w:ascii="宋体" w:hAnsi="宋体" w:cs="Times New Roman"/>
      <w:b/>
      <w:bCs/>
      <w:kern w:val="0"/>
      <w:sz w:val="28"/>
      <w:szCs w:val="3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rPr>
      <w:sz w:val="24"/>
    </w:rPr>
  </w:style>
  <w:style w:type="character" w:styleId="11">
    <w:name w:val="Strong"/>
    <w:basedOn w:val="10"/>
    <w:qFormat/>
    <w:uiPriority w:val="0"/>
    <w:rPr>
      <w:b/>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b9ac4030-0a69-4ddd-9176-c77a310e9875</errorID>
      <errorWord>推</errorWord>
      <group>L1_Grammar</group>
      <groupName>语法问题</groupName>
      <ability>L2_Missing</ability>
      <abilityName>成分残缺</abilityName>
      <candidateList>
        <item>它推</item>
      </candidateList>
      <explain>句子中可能存在主谓宾、修饰语或者必要的词语残缺。</explain>
      <paraID>2D8E7796</paraID>
      <start>122</start>
      <end>123</end>
      <status>ignored</status>
      <modifiedWord/>
      <trackRevisions>false</trackRevisions>
    </reviewItem>
    <reviewItem>
      <errorID>b9d806b3-6a60-4d40-945f-f12c23e66395</errorID>
      <errorWord>{</errorWord>
      <group>L1_Format</group>
      <groupName>格式问题</groupName>
      <ability>L2_HalfPunc</ability>
      <abilityName>全半角检查</abilityName>
      <candidateList>
        <item>｛</item>
      </candidateList>
      <explain>文本全半角错误。</explain>
      <paraID>43DEE575</paraID>
      <start>12</start>
      <end>13</end>
      <status>unmodified</status>
      <modifiedWord/>
      <trackRevisions>false</trackRevisions>
    </reviewItem>
    <reviewItem>
      <errorID>9038ae12-0a9a-4c81-b726-054b5ff94f70</errorID>
      <errorWord>,</errorWord>
      <group>L1_Format</group>
      <groupName>格式问题</groupName>
      <ability>L2_HalfPunc</ability>
      <abilityName>全半角检查</abilityName>
      <candidateList>
        <item>，</item>
      </candidateList>
      <explain>文本全半角错误。</explain>
      <paraID>43DEE575</paraID>
      <start>15</start>
      <end>16</end>
      <status>unmodified</status>
      <modifiedWord/>
      <trackRevisions>false</trackRevisions>
    </reviewItem>
    <reviewItem>
      <errorID>06977d93-a070-4fed-93fb-68cb73fa7d36</errorID>
      <errorWord>,</errorWord>
      <group>L1_Format</group>
      <groupName>格式问题</groupName>
      <ability>L2_HalfPunc</ability>
      <abilityName>全半角检查</abilityName>
      <candidateList>
        <item>，</item>
      </candidateList>
      <explain>文本全半角错误。</explain>
      <paraID>43DEE575</paraID>
      <start>18</start>
      <end>19</end>
      <status>unmodified</status>
      <modifiedWord/>
      <trackRevisions>false</trackRevisions>
    </reviewItem>
    <reviewItem>
      <errorID>248bbc99-ba04-4191-b8d8-638be43f0636</errorID>
      <errorWord>}</errorWord>
      <group>L1_Format</group>
      <groupName>格式问题</groupName>
      <ability>L2_HalfPunc</ability>
      <abilityName>全半角检查</abilityName>
      <candidateList>
        <item>｝</item>
      </candidateList>
      <explain>文本全半角错误。</explain>
      <paraID>43DEE575</paraID>
      <start>21</start>
      <end>22</end>
      <status>unmodified</status>
      <modifiedWord/>
      <trackRevisions>false</trackRevisions>
    </reviewItem>
    <reviewItem>
      <errorID>9e82c530-ee1d-4ef8-b4fa-a8981e7b78fa</errorID>
      <errorWord>{</errorWord>
      <group>L1_Format</group>
      <groupName>格式问题</groupName>
      <ability>L2_HalfPunc</ability>
      <abilityName>全半角检查</abilityName>
      <candidateList>
        <item>｛</item>
      </candidateList>
      <explain>文本全半角错误。</explain>
      <paraID>70F66AA0</paraID>
      <start>12</start>
      <end>13</end>
      <status>unmodified</status>
      <modifiedWord/>
      <trackRevisions>false</trackRevisions>
    </reviewItem>
    <reviewItem>
      <errorID>8aed2ad0-0f4c-48ec-a106-e3869934a49a</errorID>
      <errorWord>,</errorWord>
      <group>L1_Format</group>
      <groupName>格式问题</groupName>
      <ability>L2_HalfPunc</ability>
      <abilityName>全半角检查</abilityName>
      <candidateList>
        <item>，</item>
      </candidateList>
      <explain>文本全半角错误。</explain>
      <paraID>70F66AA0</paraID>
      <start>17</start>
      <end>18</end>
      <status>unmodified</status>
      <modifiedWord/>
      <trackRevisions>false</trackRevisions>
    </reviewItem>
    <reviewItem>
      <errorID>35bb751b-c9e6-4f5e-b2e3-7c4f16bcf10b</errorID>
      <errorWord>,</errorWord>
      <group>L1_Format</group>
      <groupName>格式问题</groupName>
      <ability>L2_HalfPunc</ability>
      <abilityName>全半角检查</abilityName>
      <candidateList>
        <item>，</item>
      </candidateList>
      <explain>文本全半角错误。</explain>
      <paraID>70F66AA0</paraID>
      <start>22</start>
      <end>23</end>
      <status>unmodified</status>
      <modifiedWord/>
      <trackRevisions>false</trackRevisions>
    </reviewItem>
    <reviewItem>
      <errorID>180e8399-348b-4f53-af15-a4ceddb15172</errorID>
      <errorWord>,</errorWord>
      <group>L1_Format</group>
      <groupName>格式问题</groupName>
      <ability>L2_HalfPunc</ability>
      <abilityName>全半角检查</abilityName>
      <candidateList>
        <item>，</item>
      </candidateList>
      <explain>文本全半角错误。</explain>
      <paraID>70F66AA0</paraID>
      <start>28</start>
      <end>29</end>
      <status>unmodified</status>
      <modifiedWord/>
      <trackRevisions>false</trackRevisions>
    </reviewItem>
    <reviewItem>
      <errorID>9babcbf2-31a7-4b0e-bc80-6b16499fb757</errorID>
      <errorWord>,</errorWord>
      <group>L1_Format</group>
      <groupName>格式问题</groupName>
      <ability>L2_HalfPunc</ability>
      <abilityName>全半角检查</abilityName>
      <candidateList>
        <item>，</item>
      </candidateList>
      <explain>文本全半角错误。</explain>
      <paraID>70F66AA0</paraID>
      <start>34</start>
      <end>35</end>
      <status>unmodified</status>
      <modifiedWord/>
      <trackRevisions>false</trackRevisions>
    </reviewItem>
    <reviewItem>
      <errorID>87b6e630-0f3d-497a-836f-a2e2f6e2d25d</errorID>
      <errorWord>}</errorWord>
      <group>L1_Format</group>
      <groupName>格式问题</groupName>
      <ability>L2_HalfPunc</ability>
      <abilityName>全半角检查</abilityName>
      <candidateList>
        <item>｝</item>
      </candidateList>
      <explain>文本全半角错误。</explain>
      <paraID>70F66AA0</paraID>
      <start>40</start>
      <end>41</end>
      <status>unmodified</status>
      <modifiedWord/>
      <trackRevisions>false</trackRevisions>
    </reviewItem>
    <reviewItem>
      <errorID>ce03e66a-7960-4cc8-9efc-54e8d4327ac4</errorID>
      <errorWord>(</errorWord>
      <group>L1_Format</group>
      <groupName>格式问题</groupName>
      <ability>L2_HalfPunc</ability>
      <abilityName>全半角检查</abilityName>
      <candidateList>
        <item>（</item>
      </candidateList>
      <explain>文本全半角错误。</explain>
      <paraID>69E10E22</paraID>
      <start>5</start>
      <end>6</end>
      <status>unmodified</status>
      <modifiedWord/>
      <trackRevisions>false</trackRevisions>
    </reviewItem>
    <reviewItem>
      <errorID>66f70b64-fbe0-4de3-9eef-3674395bd9b4</errorID>
      <errorWord>)</errorWord>
      <group>L1_Format</group>
      <groupName>格式问题</groupName>
      <ability>L2_HalfPunc</ability>
      <abilityName>全半角检查</abilityName>
      <candidateList>
        <item>）</item>
      </candidateList>
      <explain>文本全半角错误。</explain>
      <paraID>69E10E22</paraID>
      <start>7</start>
      <end>8</end>
      <status>unmodified</status>
      <modifiedWord/>
      <trackRevisions>false</trackRevisions>
    </reviewItem>
    <reviewItem>
      <errorID>cccaa3e3-02b2-44e1-8cc5-a22ae0fec663</errorID>
      <errorWord>医保支付改革</errorWord>
      <group>L1_Word</group>
      <groupName>字词问题</groupName>
      <ability>L2_Typo</ability>
      <abilityName>字词错误</abilityName>
      <candidateList>
        <item>医保支付方式改革</item>
      </candidateList>
      <explain/>
      <paraID>71106CBD</paraID>
      <start>157</start>
      <end>163</end>
      <status>unmodified</status>
      <modifiedWord/>
      <trackRevisions>false</trackRevisions>
    </reviewItem>
    <reviewItem>
      <errorID>98e04e50-c4d6-47ba-9398-dea93f6a2f4d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2776BC42</paraID>
      <start>8</start>
      <end>9</end>
      <status>unmodified</status>
      <modifiedWord/>
      <trackRevisions>false</trackRevisions>
    </reviewItem>
    <reviewItem>
      <errorID>0a5eb199-ddf5-42e0-a190-ae5475630535</errorID>
      <errorWord>情事</errorWord>
      <group>L1_Word</group>
      <groupName>字词问题</groupName>
      <ability>L2_Typo</ability>
      <abilityName>字词错误</abilityName>
      <candidateList>
        <item>情治</item>
      </candidateList>
      <explain/>
      <paraID> AB02BBD</paraID>
      <start>9</start>
      <end>11</end>
      <status>unmodified</status>
      <modifiedWord/>
      <trackRevisions>false</trackRevisions>
    </reviewItem>
    <reviewItem>
      <errorID>1cb8cbd8-d7d3-4c3d-b3d1-1d41b32eb9ae</errorID>
      <errorWord>’</errorWord>
      <group>L1_Punc</group>
      <groupName>标点问题</groupName>
      <ability>L2_Punc</ability>
      <abilityName>标点符号检查</abilityName>
      <candidateList/>
      <explain/>
      <paraID> 831F427</paraID>
      <start>126</start>
      <end>127</end>
      <status>unmodified</status>
      <modifiedWord/>
      <trackRevisions>false</trackRevisions>
    </reviewItem>
    <reviewItem>
      <errorID>7e52018f-e552-410c-b7c9-53b71039cc3c</errorID>
      <errorWord>与其</errorWord>
      <group>L1_Word</group>
      <groupName>字词问题</groupName>
      <ability>L2_Typo</ability>
      <abilityName>字词错误</abilityName>
      <candidateList>
        <item>与</item>
      </candidateList>
      <explain>（舆）yù参与：～会。</explain>
      <paraID> 2E95133</paraID>
      <start>98</start>
      <end>100</end>
      <status>unmodified</status>
      <modifiedWord/>
      <trackRevisions>false</trackRevisions>
    </reviewItem>
    <reviewItem>
      <errorID>26b0a950-c184-4899-9649-be9e7b794d59</errorID>
      <errorWord>,</errorWord>
      <group>L1_Format</group>
      <groupName>格式问题</groupName>
      <ability>L2_HalfPunc</ability>
      <abilityName>全半角检查</abilityName>
      <candidateList>
        <item>，</item>
      </candidateList>
      <explain>文本全半角错误。</explain>
      <paraID>71777099</paraID>
      <start>6</start>
      <end>7</end>
      <status>unmodified</status>
      <modifiedWord/>
      <trackRevisions>false</trackRevisions>
    </reviewItem>
    <reviewItem>
      <errorID>34cef01f-7177-446b-a73f-1f025806494d</errorID>
      <errorWord>.</errorWord>
      <group>L1_Format</group>
      <groupName>格式问题</groupName>
      <ability>L2_HalfPunc</ability>
      <abilityName>全半角检查</abilityName>
      <candidateList>
        <item>。</item>
      </candidateList>
      <explain>文本全半角错误。</explain>
      <paraID>71777099</paraID>
      <start>10</start>
      <end>11</end>
      <status>unmodified</status>
      <modifiedWord/>
      <trackRevisions>false</trackRevisions>
    </reviewItem>
    <reviewItem>
      <errorID>1dd7fd8d-cb14-4643-a3ca-424e6aaea413</errorID>
      <errorWord>.</errorWord>
      <group>L1_Format</group>
      <groupName>格式问题</groupName>
      <ability>L2_HalfPunc</ability>
      <abilityName>全半角检查</abilityName>
      <candidateList>
        <item>。</item>
      </candidateList>
      <explain>文本全半角错误。</explain>
      <paraID>71777099</paraID>
      <start>43</start>
      <end>44</end>
      <status>unmodified</status>
      <modifiedWord/>
      <trackRevisions>false</trackRevisions>
    </reviewItem>
    <reviewItem>
      <errorID>7d4d27c3-4ab7-4f87-83ec-788cb7f78bfe</errorID>
      <errorWord>,</errorWord>
      <group>L1_Format</group>
      <groupName>格式问题</groupName>
      <ability>L2_HalfPunc</ability>
      <abilityName>全半角检查</abilityName>
      <candidateList>
        <item>，</item>
      </candidateList>
      <explain>文本全半角错误。</explain>
      <paraID>71777099</paraID>
      <start>48</start>
      <end>49</end>
      <status>unmodified</status>
      <modifiedWord/>
      <trackRevisions>false</trackRevisions>
    </reviewItem>
    <reviewItem>
      <errorID>30dd9b7b-54e6-4f03-b57d-cd8c7aed5af7</errorID>
      <errorWord>,</errorWord>
      <group>L1_Format</group>
      <groupName>格式问题</groupName>
      <ability>L2_HalfPunc</ability>
      <abilityName>全半角检查</abilityName>
      <candidateList>
        <item>，</item>
      </candidateList>
      <explain>文本全半角错误。</explain>
      <paraID> BDB8221</paraID>
      <start>6</start>
      <end>7</end>
      <status>unmodified</status>
      <modifiedWord/>
      <trackRevisions>false</trackRevisions>
    </reviewItem>
    <reviewItem>
      <errorID>3d14ab2b-506d-4347-80ef-1a0e87b7b7dd</errorID>
      <errorWord>,</errorWord>
      <group>L1_Format</group>
      <groupName>格式问题</groupName>
      <ability>L2_HalfPunc</ability>
      <abilityName>全半角检查</abilityName>
      <candidateList>
        <item>，</item>
      </candidateList>
      <explain>文本全半角错误。</explain>
      <paraID> BDB8221</paraID>
      <start>10</start>
      <end>11</end>
      <status>unmodified</status>
      <modifiedWord/>
      <trackRevisions>false</trackRevisions>
    </reviewItem>
    <reviewItem>
      <errorID>a8a65bfb-1b65-4b9c-9e46-1911783e8396</errorID>
      <errorWord>,</errorWord>
      <group>L1_Format</group>
      <groupName>格式问题</groupName>
      <ability>L2_HalfPunc</ability>
      <abilityName>全半角检查</abilityName>
      <candidateList>
        <item>，</item>
      </candidateList>
      <explain>文本全半角错误。</explain>
      <paraID> BDB8221</paraID>
      <start>14</start>
      <end>15</end>
      <status>unmodified</status>
      <modifiedWord/>
      <trackRevisions>false</trackRevisions>
    </reviewItem>
    <reviewItem>
      <errorID>f163cbcd-c2d6-49ea-b3ee-bfbd51f63264</errorID>
      <errorWord>.</errorWord>
      <group>L1_Format</group>
      <groupName>格式问题</groupName>
      <ability>L2_HalfPunc</ability>
      <abilityName>全半角检查</abilityName>
      <candidateList>
        <item>。</item>
      </candidateList>
      <explain>文本全半角错误。</explain>
      <paraID> BDB8221</paraID>
      <start>16</start>
      <end>17</end>
      <status>unmodified</status>
      <modifiedWord/>
      <trackRevisions>false</trackRevisions>
    </reviewItem>
    <reviewItem>
      <errorID>f5d7f0a3-e7d2-4185-989b-92df48320656</errorID>
      <errorWord>.</errorWord>
      <group>L1_Format</group>
      <groupName>格式问题</groupName>
      <ability>L2_HalfPunc</ability>
      <abilityName>全半角检查</abilityName>
      <candidateList>
        <item>。</item>
      </candidateList>
      <explain>文本全半角错误。</explain>
      <paraID> BDB8221</paraID>
      <start>47</start>
      <end>48</end>
      <status>unmodified</status>
      <modifiedWord/>
      <trackRevisions>false</trackRevisions>
    </reviewItem>
    <reviewItem>
      <errorID>0fdd0b4d-d50e-4333-9743-d176afaaae67</errorID>
      <errorWord>,</errorWord>
      <group>L1_Format</group>
      <groupName>格式问题</groupName>
      <ability>L2_HalfPunc</ability>
      <abilityName>全半角检查</abilityName>
      <candidateList>
        <item>，</item>
      </candidateList>
      <explain>文本全半角错误。</explain>
      <paraID> BDB8221</paraID>
      <start>55</start>
      <end>56</end>
      <status>unmodified</status>
      <modifiedWord/>
      <trackRevisions>false</trackRevisions>
    </reviewItem>
    <reviewItem>
      <errorID>f1bb4b09-8797-4cfc-ba3d-df9a20304713</errorID>
      <errorWord>.</errorWord>
      <group>L1_Format</group>
      <groupName>格式问题</groupName>
      <ability>L2_HalfPunc</ability>
      <abilityName>全半角检查</abilityName>
      <candidateList>
        <item>。</item>
      </candidateList>
      <explain>文本全半角错误。</explain>
      <paraID>34206A2F</paraID>
      <start>17</start>
      <end>18</end>
      <status>unmodified</status>
      <modifiedWord/>
      <trackRevisions>false</trackRevisions>
    </reviewItem>
    <reviewItem>
      <errorID>14f9cd86-f84a-42e5-a006-b2939471c305</errorID>
      <errorWord>下窄</errorWord>
      <group>L1_Word</group>
      <groupName>字词问题</groupName>
      <ability>L2_Typo</ability>
      <abilityName>字词错误</abilityName>
      <candidateList>
        <item>狭窄</item>
      </candidateList>
      <explain/>
      <paraID>5A3B3A68</paraID>
      <start>23</start>
      <end>25</end>
      <status>unmodified</status>
      <modifiedWord/>
      <trackRevisions>false</trackRevisions>
    </reviewItem>
    <reviewItem>
      <errorID>536fc26f-2d9a-4979-be05-d85ca1b23847</errorID>
      <errorWord>,</errorWord>
      <group>L1_Format</group>
      <groupName>格式问题</groupName>
      <ability>L2_HalfPunc</ability>
      <abilityName>全半角检查</abilityName>
      <candidateList>
        <item>，</item>
      </candidateList>
      <explain>文本全半角错误。</explain>
      <paraID>5732C8BF</paraID>
      <start>7</start>
      <end>8</end>
      <status>unmodified</status>
      <modifiedWord/>
      <trackRevisions>false</trackRevisions>
    </reviewItem>
    <reviewItem>
      <errorID>1540600c-5539-4595-861d-887fb378251e</errorID>
      <errorWord>,</errorWord>
      <group>L1_Format</group>
      <groupName>格式问题</groupName>
      <ability>L2_HalfPunc</ability>
      <abilityName>全半角检查</abilityName>
      <candidateList>
        <item>，</item>
      </candidateList>
      <explain>文本全半角错误。</explain>
      <paraID>5732C8BF</paraID>
      <start>11</start>
      <end>12</end>
      <status>unmodified</status>
      <modifiedWord/>
      <trackRevisions>false</trackRevisions>
    </reviewItem>
    <reviewItem>
      <errorID>ede4fa4a-7381-4a78-9966-07452735017f</errorID>
      <errorWord>,</errorWord>
      <group>L1_Format</group>
      <groupName>格式问题</groupName>
      <ability>L2_HalfPunc</ability>
      <abilityName>全半角检查</abilityName>
      <candidateList>
        <item>，</item>
      </candidateList>
      <explain>文本全半角错误。</explain>
      <paraID>5732C8BF</paraID>
      <start>15</start>
      <end>16</end>
      <status>unmodified</status>
      <modifiedWord/>
      <trackRevisions>false</trackRevisions>
    </reviewItem>
    <reviewItem>
      <errorID>c2523ac2-4e28-44f8-b0dd-37eea96c7176</errorID>
      <errorWord>.</errorWord>
      <group>L1_Format</group>
      <groupName>格式问题</groupName>
      <ability>L2_HalfPunc</ability>
      <abilityName>全半角检查</abilityName>
      <candidateList>
        <item>。</item>
      </candidateList>
      <explain>文本全半角错误。</explain>
      <paraID>5732C8BF</paraID>
      <start>17</start>
      <end>18</end>
      <status>unmodified</status>
      <modifiedWord/>
      <trackRevisions>false</trackRevisions>
    </reviewItem>
    <reviewItem>
      <errorID>6700e076-13be-44bf-95a0-14b1724d1d1a</errorID>
      <errorWord>.</errorWord>
      <group>L1_Format</group>
      <groupName>格式问题</groupName>
      <ability>L2_HalfPunc</ability>
      <abilityName>全半角检查</abilityName>
      <candidateList>
        <item>。</item>
      </candidateList>
      <explain>文本全半角错误。</explain>
      <paraID>5732C8BF</paraID>
      <start>47</start>
      <end>48</end>
      <status>unmodified</status>
      <modifiedWord/>
      <trackRevisions>false</trackRevisions>
    </reviewItem>
    <reviewItem>
      <errorID>0d25b57e-10b2-4f9e-8834-881d8beae520</errorID>
      <errorWord>,</errorWord>
      <group>L1_Format</group>
      <groupName>格式问题</groupName>
      <ability>L2_HalfPunc</ability>
      <abilityName>全半角检查</abilityName>
      <candidateList>
        <item>，</item>
      </candidateList>
      <explain>文本全半角错误。</explain>
      <paraID>5732C8BF</paraID>
      <start>52</start>
      <end>53</end>
      <status>unmodified</status>
      <modifiedWord/>
      <trackRevisions>false</trackRevisions>
    </reviewItem>
  </reviewItems>
  <config/>
</contractReview>
</file>

<file path=customXml/itemProps1.xml><?xml version="1.0" encoding="utf-8"?>
<ds:datastoreItem xmlns:ds="http://schemas.openxmlformats.org/officeDocument/2006/customXml" ds:itemID="{9b45547c-98a3-405e-a710-b751fcce0adb}">
  <ds:schemaRefs/>
</ds:datastoreItem>
</file>

<file path=docProps/app.xml><?xml version="1.0" encoding="utf-8"?>
<Properties xmlns="http://schemas.openxmlformats.org/officeDocument/2006/extended-properties" xmlns:vt="http://schemas.openxmlformats.org/officeDocument/2006/docPropsVTypes">
  <Template>Normal.dotm</Template>
  <Pages>9</Pages>
  <Words>8613</Words>
  <Characters>11799</Characters>
  <Lines>0</Lines>
  <Paragraphs>0</Paragraphs>
  <TotalTime>23</TotalTime>
  <ScaleCrop>false</ScaleCrop>
  <LinksUpToDate>false</LinksUpToDate>
  <CharactersWithSpaces>12252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2025-07-19T06:53:00Z</dcterms:created>
  <dc:creator>ASUS</dc:creator>
  <cp:lastModifiedBy>zhuzhu</cp:lastModifiedBy>
  <dcterms:modified xsi:type="dcterms:W3CDTF">2026-06-09T01:02:06Z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18A3A6B4BA1A48FDA7F1885CA69BE335_13</vt:lpwstr>
  </property>
  <property fmtid="{D5CDD505-2E9C-101B-9397-08002B2CF9AE}" pid="4" name="KSOTemplateDocerSaveRecord">
    <vt:lpwstr>eyJoZGlkIjoiZThiMjczMWFlOTBlMmU1M2QxMjJjNTA2OGU1MDMyZDEiLCJ1c2VySWQiOiIzMDA4NTg3MjIifQ==</vt:lpwstr>
  </property>
</Properties>
</file>