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AF3D14">
      <w:pPr>
        <w:spacing w:before="800" w:after="200" w:line="360" w:lineRule="auto"/>
        <w:jc w:val="center"/>
        <w:rPr>
          <w:rFonts w:ascii="黑体" w:hAnsi="黑体" w:eastAsia="黑体" w:cs="黑体"/>
          <w:b/>
          <w:bCs/>
          <w:sz w:val="40"/>
          <w:szCs w:val="40"/>
        </w:rPr>
      </w:pPr>
    </w:p>
    <w:p w14:paraId="53ADA464">
      <w:pPr>
        <w:spacing w:before="800" w:after="200" w:line="360" w:lineRule="auto"/>
        <w:jc w:val="center"/>
        <w:rPr>
          <w:rFonts w:ascii="黑体" w:hAnsi="黑体" w:eastAsia="黑体" w:cs="黑体"/>
          <w:b/>
          <w:bCs/>
          <w:sz w:val="40"/>
          <w:szCs w:val="40"/>
        </w:rPr>
      </w:pPr>
    </w:p>
    <w:p w14:paraId="190A956E">
      <w:pPr>
        <w:spacing w:before="800" w:after="200" w:line="360" w:lineRule="auto"/>
        <w:jc w:val="center"/>
      </w:pPr>
      <w:r>
        <w:rPr>
          <w:rFonts w:ascii="黑体" w:hAnsi="黑体" w:eastAsia="黑体" w:cs="黑体"/>
          <w:b/>
          <w:bCs/>
          <w:sz w:val="40"/>
          <w:szCs w:val="40"/>
        </w:rPr>
        <w:t>多模态中医药人工智能模型评测标准</w:t>
      </w:r>
    </w:p>
    <w:p w14:paraId="2B6F9CF1">
      <w:pPr>
        <w:spacing w:before="200" w:after="600" w:line="360" w:lineRule="auto"/>
        <w:jc w:val="center"/>
        <w:rPr>
          <w:rFonts w:ascii="黑体" w:hAnsi="黑体" w:eastAsia="黑体" w:cs="黑体"/>
          <w:b/>
          <w:bCs/>
          <w:sz w:val="36"/>
          <w:szCs w:val="36"/>
        </w:rPr>
      </w:pPr>
    </w:p>
    <w:p w14:paraId="766FA307">
      <w:pPr>
        <w:spacing w:before="200" w:after="600" w:line="360" w:lineRule="auto"/>
        <w:jc w:val="center"/>
        <w:rPr>
          <w:rFonts w:ascii="黑体" w:hAnsi="黑体" w:eastAsia="黑体" w:cs="黑体"/>
          <w:b/>
          <w:bCs/>
          <w:sz w:val="36"/>
          <w:szCs w:val="36"/>
        </w:rPr>
      </w:pPr>
    </w:p>
    <w:p w14:paraId="5D2AE17B">
      <w:pPr>
        <w:spacing w:before="200" w:after="600" w:line="360" w:lineRule="auto"/>
        <w:jc w:val="center"/>
        <w:rPr>
          <w:rFonts w:ascii="黑体" w:hAnsi="黑体" w:eastAsia="黑体" w:cs="黑体"/>
          <w:b/>
          <w:bCs/>
          <w:sz w:val="36"/>
          <w:szCs w:val="36"/>
        </w:rPr>
      </w:pPr>
      <w:r>
        <w:rPr>
          <w:rFonts w:ascii="黑体" w:hAnsi="黑体" w:eastAsia="黑体" w:cs="黑体"/>
          <w:b/>
          <w:bCs/>
          <w:sz w:val="36"/>
          <w:szCs w:val="36"/>
        </w:rPr>
        <w:t>编  制  说  明</w:t>
      </w:r>
    </w:p>
    <w:p w14:paraId="44ED3EF3">
      <w:pPr>
        <w:spacing w:before="200" w:after="600" w:line="360" w:lineRule="auto"/>
        <w:jc w:val="center"/>
        <w:rPr>
          <w:rFonts w:ascii="黑体" w:hAnsi="黑体" w:eastAsia="黑体" w:cs="黑体"/>
          <w:b/>
          <w:bCs/>
          <w:sz w:val="36"/>
          <w:szCs w:val="36"/>
        </w:rPr>
      </w:pPr>
    </w:p>
    <w:p w14:paraId="5FC6D358">
      <w:pPr>
        <w:spacing w:before="120" w:after="120" w:line="360" w:lineRule="auto"/>
        <w:jc w:val="center"/>
      </w:pPr>
      <w:r>
        <w:rPr>
          <w:rFonts w:ascii="仿宋_GB2312" w:hAnsi="仿宋_GB2312" w:eastAsia="仿宋_GB2312" w:cs="仿宋_GB2312"/>
          <w:sz w:val="24"/>
          <w:szCs w:val="24"/>
        </w:rPr>
        <w:t>项目承担单位：陕西中医药大学、中国中医科学院中医药信息研究所</w:t>
      </w:r>
    </w:p>
    <w:p w14:paraId="48AB93C2">
      <w:pPr>
        <w:spacing w:before="120" w:after="1000" w:line="360" w:lineRule="auto"/>
        <w:jc w:val="center"/>
      </w:pPr>
      <w:r>
        <w:rPr>
          <w:rFonts w:ascii="仿宋_GB2312" w:hAnsi="仿宋_GB2312" w:eastAsia="仿宋_GB2312" w:cs="仿宋_GB2312"/>
          <w:sz w:val="24"/>
          <w:szCs w:val="24"/>
        </w:rPr>
        <w:t>2025年5月</w:t>
      </w:r>
    </w:p>
    <w:p w14:paraId="51872A2A">
      <w:pPr>
        <w:spacing w:before="60" w:after="60" w:line="360" w:lineRule="auto"/>
        <w:ind w:left="720"/>
        <w:rPr>
          <w:rFonts w:ascii="黑体" w:hAnsi="黑体" w:eastAsia="黑体" w:cs="黑体"/>
          <w:b/>
          <w:bCs/>
          <w:sz w:val="28"/>
          <w:szCs w:val="28"/>
        </w:rPr>
      </w:pPr>
    </w:p>
    <w:p w14:paraId="6E74FBBE">
      <w:pPr>
        <w:spacing w:before="60" w:after="60" w:line="360" w:lineRule="auto"/>
        <w:ind w:left="720"/>
        <w:rPr>
          <w:rFonts w:ascii="黑体" w:hAnsi="黑体" w:eastAsia="黑体" w:cs="黑体"/>
          <w:b/>
          <w:bCs/>
          <w:sz w:val="28"/>
          <w:szCs w:val="28"/>
        </w:rPr>
      </w:pPr>
    </w:p>
    <w:p w14:paraId="1E02E207">
      <w:pPr>
        <w:spacing w:before="60" w:after="60" w:line="360" w:lineRule="auto"/>
        <w:ind w:left="720"/>
        <w:rPr>
          <w:rFonts w:ascii="黑体" w:hAnsi="黑体" w:eastAsia="黑体" w:cs="黑体"/>
          <w:b/>
          <w:bCs/>
          <w:sz w:val="28"/>
          <w:szCs w:val="28"/>
        </w:rPr>
      </w:pPr>
    </w:p>
    <w:sdt>
      <w:sdtPr>
        <w:rPr>
          <w:rFonts w:ascii="宋体" w:hAnsi="宋体" w:eastAsia="宋体" w:cs="仿宋_GB2312"/>
          <w:sz w:val="21"/>
          <w:szCs w:val="24"/>
        </w:rPr>
        <w:id w:val="147461171"/>
        <w15:color w:val="DBDBDB"/>
        <w:docPartObj>
          <w:docPartGallery w:val="Table of Contents"/>
          <w:docPartUnique/>
        </w:docPartObj>
      </w:sdtPr>
      <w:sdtEndPr>
        <w:rPr>
          <w:rFonts w:ascii="黑体" w:hAnsi="黑体" w:eastAsia="黑体" w:cs="黑体"/>
          <w:bCs/>
          <w:sz w:val="24"/>
          <w:szCs w:val="28"/>
        </w:rPr>
      </w:sdtEndPr>
      <w:sdtContent>
        <w:p w14:paraId="6460ABB1">
          <w:pPr>
            <w:spacing w:before="0" w:beforeLines="0" w:after="0" w:afterLines="0" w:line="360" w:lineRule="auto"/>
            <w:ind w:left="0" w:leftChars="0" w:right="0" w:rightChars="0" w:firstLine="0" w:firstLineChars="0"/>
            <w:jc w:val="center"/>
            <w:rPr>
              <w:rFonts w:ascii="宋体" w:hAnsi="宋体" w:eastAsia="宋体" w:cs="仿宋_GB2312"/>
              <w:sz w:val="21"/>
              <w:szCs w:val="24"/>
            </w:rPr>
          </w:pPr>
        </w:p>
        <w:p w14:paraId="3D262C64">
          <w:pPr>
            <w:spacing w:before="0" w:beforeLines="0" w:after="0" w:afterLines="0" w:line="360" w:lineRule="auto"/>
            <w:ind w:left="0" w:leftChars="0" w:right="0" w:rightChars="0" w:firstLine="0" w:firstLineChars="0"/>
            <w:jc w:val="center"/>
            <w:rPr>
              <w:b/>
              <w:bCs/>
              <w:sz w:val="48"/>
              <w:szCs w:val="48"/>
            </w:rPr>
          </w:pPr>
          <w:bookmarkStart w:id="7" w:name="_GoBack"/>
          <w:bookmarkEnd w:id="7"/>
          <w:r>
            <w:rPr>
              <w:rFonts w:ascii="宋体" w:hAnsi="宋体" w:eastAsia="宋体"/>
              <w:b/>
              <w:bCs/>
              <w:sz w:val="40"/>
              <w:szCs w:val="48"/>
            </w:rPr>
            <w:t>目录</w:t>
          </w:r>
        </w:p>
        <w:p w14:paraId="55DE1EF4">
          <w:pPr>
            <w:pStyle w:val="9"/>
            <w:tabs>
              <w:tab w:val="right" w:leader="dot" w:pos="8810"/>
            </w:tabs>
            <w:spacing w:line="720" w:lineRule="auto"/>
          </w:pPr>
          <w:r>
            <w:rPr>
              <w:rFonts w:ascii="黑体" w:hAnsi="黑体" w:eastAsia="黑体" w:cs="黑体"/>
              <w:b/>
              <w:bCs/>
              <w:sz w:val="28"/>
              <w:szCs w:val="28"/>
            </w:rPr>
            <w:fldChar w:fldCharType="begin"/>
          </w:r>
          <w:r>
            <w:rPr>
              <w:rFonts w:ascii="黑体" w:hAnsi="黑体" w:eastAsia="黑体" w:cs="黑体"/>
              <w:b/>
              <w:bCs/>
              <w:sz w:val="28"/>
              <w:szCs w:val="28"/>
            </w:rPr>
            <w:instrText xml:space="preserve">TOC \o "1-1" \h \u </w:instrText>
          </w:r>
          <w:r>
            <w:rPr>
              <w:rFonts w:ascii="黑体" w:hAnsi="黑体" w:eastAsia="黑体" w:cs="黑体"/>
              <w:b/>
              <w:bCs/>
              <w:sz w:val="28"/>
              <w:szCs w:val="28"/>
            </w:rPr>
            <w:fldChar w:fldCharType="separate"/>
          </w:r>
          <w:r>
            <w:rPr>
              <w:rFonts w:ascii="黑体" w:hAnsi="黑体" w:eastAsia="黑体" w:cs="黑体"/>
              <w:bCs/>
              <w:szCs w:val="28"/>
            </w:rPr>
            <w:fldChar w:fldCharType="begin"/>
          </w:r>
          <w:r>
            <w:rPr>
              <w:rFonts w:ascii="黑体" w:hAnsi="黑体" w:eastAsia="黑体" w:cs="黑体"/>
              <w:bCs/>
              <w:szCs w:val="28"/>
            </w:rPr>
            <w:instrText xml:space="preserve"> HYPERLINK \l _Toc22354 </w:instrText>
          </w:r>
          <w:r>
            <w:rPr>
              <w:rFonts w:ascii="黑体" w:hAnsi="黑体" w:eastAsia="黑体" w:cs="黑体"/>
              <w:bCs/>
              <w:szCs w:val="28"/>
            </w:rPr>
            <w:fldChar w:fldCharType="separate"/>
          </w:r>
          <w:r>
            <w:t>一、任务来源</w:t>
          </w:r>
          <w:r>
            <w:tab/>
          </w:r>
          <w:r>
            <w:fldChar w:fldCharType="begin"/>
          </w:r>
          <w:r>
            <w:instrText xml:space="preserve"> PAGEREF _Toc22354 \h </w:instrText>
          </w:r>
          <w:r>
            <w:fldChar w:fldCharType="separate"/>
          </w:r>
          <w:r>
            <w:t>3</w:t>
          </w:r>
          <w:r>
            <w:fldChar w:fldCharType="end"/>
          </w:r>
          <w:r>
            <w:rPr>
              <w:rFonts w:ascii="黑体" w:hAnsi="黑体" w:eastAsia="黑体" w:cs="黑体"/>
              <w:bCs/>
              <w:szCs w:val="28"/>
            </w:rPr>
            <w:fldChar w:fldCharType="end"/>
          </w:r>
        </w:p>
        <w:p w14:paraId="2BFD5543">
          <w:pPr>
            <w:pStyle w:val="9"/>
            <w:tabs>
              <w:tab w:val="right" w:leader="dot" w:pos="8810"/>
            </w:tabs>
            <w:spacing w:line="720" w:lineRule="auto"/>
          </w:pPr>
          <w:r>
            <w:rPr>
              <w:rFonts w:ascii="黑体" w:hAnsi="黑体" w:eastAsia="黑体" w:cs="黑体"/>
              <w:bCs/>
              <w:szCs w:val="28"/>
            </w:rPr>
            <w:fldChar w:fldCharType="begin"/>
          </w:r>
          <w:r>
            <w:rPr>
              <w:rFonts w:ascii="黑体" w:hAnsi="黑体" w:eastAsia="黑体" w:cs="黑体"/>
              <w:bCs/>
              <w:szCs w:val="28"/>
            </w:rPr>
            <w:instrText xml:space="preserve"> HYPERLINK \l _Toc8973 </w:instrText>
          </w:r>
          <w:r>
            <w:rPr>
              <w:rFonts w:ascii="黑体" w:hAnsi="黑体" w:eastAsia="黑体" w:cs="黑体"/>
              <w:bCs/>
              <w:szCs w:val="28"/>
            </w:rPr>
            <w:fldChar w:fldCharType="separate"/>
          </w:r>
          <w:r>
            <w:t>二、项目组概况</w:t>
          </w:r>
          <w:r>
            <w:tab/>
          </w:r>
          <w:r>
            <w:fldChar w:fldCharType="begin"/>
          </w:r>
          <w:r>
            <w:instrText xml:space="preserve"> PAGEREF _Toc8973 \h </w:instrText>
          </w:r>
          <w:r>
            <w:fldChar w:fldCharType="separate"/>
          </w:r>
          <w:r>
            <w:t>3</w:t>
          </w:r>
          <w:r>
            <w:fldChar w:fldCharType="end"/>
          </w:r>
          <w:r>
            <w:rPr>
              <w:rFonts w:ascii="黑体" w:hAnsi="黑体" w:eastAsia="黑体" w:cs="黑体"/>
              <w:bCs/>
              <w:szCs w:val="28"/>
            </w:rPr>
            <w:fldChar w:fldCharType="end"/>
          </w:r>
        </w:p>
        <w:p w14:paraId="03A49ED5">
          <w:pPr>
            <w:pStyle w:val="9"/>
            <w:tabs>
              <w:tab w:val="right" w:leader="dot" w:pos="8810"/>
            </w:tabs>
            <w:spacing w:line="720" w:lineRule="auto"/>
          </w:pPr>
          <w:r>
            <w:rPr>
              <w:rFonts w:ascii="黑体" w:hAnsi="黑体" w:eastAsia="黑体" w:cs="黑体"/>
              <w:bCs/>
              <w:szCs w:val="28"/>
            </w:rPr>
            <w:fldChar w:fldCharType="begin"/>
          </w:r>
          <w:r>
            <w:rPr>
              <w:rFonts w:ascii="黑体" w:hAnsi="黑体" w:eastAsia="黑体" w:cs="黑体"/>
              <w:bCs/>
              <w:szCs w:val="28"/>
            </w:rPr>
            <w:instrText xml:space="preserve"> HYPERLINK \l _Toc16386 </w:instrText>
          </w:r>
          <w:r>
            <w:rPr>
              <w:rFonts w:ascii="黑体" w:hAnsi="黑体" w:eastAsia="黑体" w:cs="黑体"/>
              <w:bCs/>
              <w:szCs w:val="28"/>
            </w:rPr>
            <w:fldChar w:fldCharType="separate"/>
          </w:r>
          <w:r>
            <w:t>三、主要工作过程</w:t>
          </w:r>
          <w:r>
            <w:tab/>
          </w:r>
          <w:r>
            <w:fldChar w:fldCharType="begin"/>
          </w:r>
          <w:r>
            <w:instrText xml:space="preserve"> PAGEREF _Toc16386 \h </w:instrText>
          </w:r>
          <w:r>
            <w:fldChar w:fldCharType="separate"/>
          </w:r>
          <w:r>
            <w:t>4</w:t>
          </w:r>
          <w:r>
            <w:fldChar w:fldCharType="end"/>
          </w:r>
          <w:r>
            <w:rPr>
              <w:rFonts w:ascii="黑体" w:hAnsi="黑体" w:eastAsia="黑体" w:cs="黑体"/>
              <w:bCs/>
              <w:szCs w:val="28"/>
            </w:rPr>
            <w:fldChar w:fldCharType="end"/>
          </w:r>
        </w:p>
        <w:p w14:paraId="23622A72">
          <w:pPr>
            <w:pStyle w:val="9"/>
            <w:tabs>
              <w:tab w:val="right" w:leader="dot" w:pos="8810"/>
            </w:tabs>
            <w:spacing w:line="720" w:lineRule="auto"/>
          </w:pPr>
          <w:r>
            <w:rPr>
              <w:rFonts w:ascii="黑体" w:hAnsi="黑体" w:eastAsia="黑体" w:cs="黑体"/>
              <w:bCs/>
              <w:szCs w:val="28"/>
            </w:rPr>
            <w:fldChar w:fldCharType="begin"/>
          </w:r>
          <w:r>
            <w:rPr>
              <w:rFonts w:ascii="黑体" w:hAnsi="黑体" w:eastAsia="黑体" w:cs="黑体"/>
              <w:bCs/>
              <w:szCs w:val="28"/>
            </w:rPr>
            <w:instrText xml:space="preserve"> HYPERLINK \l _Toc32288 </w:instrText>
          </w:r>
          <w:r>
            <w:rPr>
              <w:rFonts w:ascii="黑体" w:hAnsi="黑体" w:eastAsia="黑体" w:cs="黑体"/>
              <w:bCs/>
              <w:szCs w:val="28"/>
            </w:rPr>
            <w:fldChar w:fldCharType="separate"/>
          </w:r>
          <w:r>
            <w:t>四、标准编制的主要原则</w:t>
          </w:r>
          <w:r>
            <w:tab/>
          </w:r>
          <w:r>
            <w:fldChar w:fldCharType="begin"/>
          </w:r>
          <w:r>
            <w:instrText xml:space="preserve"> PAGEREF _Toc32288 \h </w:instrText>
          </w:r>
          <w:r>
            <w:fldChar w:fldCharType="separate"/>
          </w:r>
          <w:r>
            <w:t>6</w:t>
          </w:r>
          <w:r>
            <w:fldChar w:fldCharType="end"/>
          </w:r>
          <w:r>
            <w:rPr>
              <w:rFonts w:ascii="黑体" w:hAnsi="黑体" w:eastAsia="黑体" w:cs="黑体"/>
              <w:bCs/>
              <w:szCs w:val="28"/>
            </w:rPr>
            <w:fldChar w:fldCharType="end"/>
          </w:r>
        </w:p>
        <w:p w14:paraId="0829288A">
          <w:pPr>
            <w:pStyle w:val="9"/>
            <w:tabs>
              <w:tab w:val="right" w:leader="dot" w:pos="8810"/>
            </w:tabs>
            <w:spacing w:line="720" w:lineRule="auto"/>
          </w:pPr>
          <w:r>
            <w:rPr>
              <w:rFonts w:ascii="黑体" w:hAnsi="黑体" w:eastAsia="黑体" w:cs="黑体"/>
              <w:bCs/>
              <w:szCs w:val="28"/>
            </w:rPr>
            <w:fldChar w:fldCharType="begin"/>
          </w:r>
          <w:r>
            <w:rPr>
              <w:rFonts w:ascii="黑体" w:hAnsi="黑体" w:eastAsia="黑体" w:cs="黑体"/>
              <w:bCs/>
              <w:szCs w:val="28"/>
            </w:rPr>
            <w:instrText xml:space="preserve"> HYPERLINK \l _Toc1155 </w:instrText>
          </w:r>
          <w:r>
            <w:rPr>
              <w:rFonts w:ascii="黑体" w:hAnsi="黑体" w:eastAsia="黑体" w:cs="黑体"/>
              <w:bCs/>
              <w:szCs w:val="28"/>
            </w:rPr>
            <w:fldChar w:fldCharType="separate"/>
          </w:r>
          <w:r>
            <w:t>五、技术内容的确定方法与依据</w:t>
          </w:r>
          <w:r>
            <w:tab/>
          </w:r>
          <w:r>
            <w:fldChar w:fldCharType="begin"/>
          </w:r>
          <w:r>
            <w:instrText xml:space="preserve"> PAGEREF _Toc1155 \h </w:instrText>
          </w:r>
          <w:r>
            <w:fldChar w:fldCharType="separate"/>
          </w:r>
          <w:r>
            <w:t>7</w:t>
          </w:r>
          <w:r>
            <w:fldChar w:fldCharType="end"/>
          </w:r>
          <w:r>
            <w:rPr>
              <w:rFonts w:ascii="黑体" w:hAnsi="黑体" w:eastAsia="黑体" w:cs="黑体"/>
              <w:bCs/>
              <w:szCs w:val="28"/>
            </w:rPr>
            <w:fldChar w:fldCharType="end"/>
          </w:r>
        </w:p>
        <w:p w14:paraId="2B77176F">
          <w:pPr>
            <w:pStyle w:val="9"/>
            <w:tabs>
              <w:tab w:val="right" w:leader="dot" w:pos="8810"/>
            </w:tabs>
            <w:spacing w:line="720" w:lineRule="auto"/>
          </w:pPr>
          <w:r>
            <w:rPr>
              <w:rFonts w:ascii="黑体" w:hAnsi="黑体" w:eastAsia="黑体" w:cs="黑体"/>
              <w:bCs/>
              <w:szCs w:val="28"/>
            </w:rPr>
            <w:fldChar w:fldCharType="begin"/>
          </w:r>
          <w:r>
            <w:rPr>
              <w:rFonts w:ascii="黑体" w:hAnsi="黑体" w:eastAsia="黑体" w:cs="黑体"/>
              <w:bCs/>
              <w:szCs w:val="28"/>
            </w:rPr>
            <w:instrText xml:space="preserve"> HYPERLINK \l _Toc28696 </w:instrText>
          </w:r>
          <w:r>
            <w:rPr>
              <w:rFonts w:ascii="黑体" w:hAnsi="黑体" w:eastAsia="黑体" w:cs="黑体"/>
              <w:bCs/>
              <w:szCs w:val="28"/>
            </w:rPr>
            <w:fldChar w:fldCharType="separate"/>
          </w:r>
          <w:r>
            <w:t>六、重大分歧意见的处理经过和依据</w:t>
          </w:r>
          <w:r>
            <w:tab/>
          </w:r>
          <w:r>
            <w:fldChar w:fldCharType="begin"/>
          </w:r>
          <w:r>
            <w:instrText xml:space="preserve"> PAGEREF _Toc28696 \h </w:instrText>
          </w:r>
          <w:r>
            <w:fldChar w:fldCharType="separate"/>
          </w:r>
          <w:r>
            <w:t>12</w:t>
          </w:r>
          <w:r>
            <w:fldChar w:fldCharType="end"/>
          </w:r>
          <w:r>
            <w:rPr>
              <w:rFonts w:ascii="黑体" w:hAnsi="黑体" w:eastAsia="黑体" w:cs="黑体"/>
              <w:bCs/>
              <w:szCs w:val="28"/>
            </w:rPr>
            <w:fldChar w:fldCharType="end"/>
          </w:r>
        </w:p>
        <w:p w14:paraId="11B2D413">
          <w:pPr>
            <w:pStyle w:val="9"/>
            <w:tabs>
              <w:tab w:val="right" w:leader="dot" w:pos="8810"/>
            </w:tabs>
            <w:spacing w:line="720" w:lineRule="auto"/>
          </w:pPr>
          <w:r>
            <w:rPr>
              <w:rFonts w:ascii="黑体" w:hAnsi="黑体" w:eastAsia="黑体" w:cs="黑体"/>
              <w:bCs/>
              <w:szCs w:val="28"/>
            </w:rPr>
            <w:fldChar w:fldCharType="begin"/>
          </w:r>
          <w:r>
            <w:rPr>
              <w:rFonts w:ascii="黑体" w:hAnsi="黑体" w:eastAsia="黑体" w:cs="黑体"/>
              <w:bCs/>
              <w:szCs w:val="28"/>
            </w:rPr>
            <w:instrText xml:space="preserve"> HYPERLINK \l _Toc11854 </w:instrText>
          </w:r>
          <w:r>
            <w:rPr>
              <w:rFonts w:ascii="黑体" w:hAnsi="黑体" w:eastAsia="黑体" w:cs="黑体"/>
              <w:bCs/>
              <w:szCs w:val="28"/>
            </w:rPr>
            <w:fldChar w:fldCharType="separate"/>
          </w:r>
          <w:r>
            <w:t>七、其他需要说明的事项</w:t>
          </w:r>
          <w:r>
            <w:tab/>
          </w:r>
          <w:r>
            <w:fldChar w:fldCharType="begin"/>
          </w:r>
          <w:r>
            <w:instrText xml:space="preserve"> PAGEREF _Toc11854 \h </w:instrText>
          </w:r>
          <w:r>
            <w:fldChar w:fldCharType="separate"/>
          </w:r>
          <w:r>
            <w:t>13</w:t>
          </w:r>
          <w:r>
            <w:fldChar w:fldCharType="end"/>
          </w:r>
          <w:r>
            <w:rPr>
              <w:rFonts w:ascii="黑体" w:hAnsi="黑体" w:eastAsia="黑体" w:cs="黑体"/>
              <w:bCs/>
              <w:szCs w:val="28"/>
            </w:rPr>
            <w:fldChar w:fldCharType="end"/>
          </w:r>
        </w:p>
        <w:p w14:paraId="7FF92F3E">
          <w:pPr>
            <w:spacing w:before="60" w:after="60" w:line="720" w:lineRule="auto"/>
            <w:rPr>
              <w:rFonts w:ascii="黑体" w:hAnsi="黑体" w:eastAsia="黑体" w:cs="黑体"/>
              <w:bCs/>
              <w:sz w:val="24"/>
              <w:szCs w:val="28"/>
            </w:rPr>
          </w:pPr>
          <w:r>
            <w:rPr>
              <w:rFonts w:ascii="黑体" w:hAnsi="黑体" w:eastAsia="黑体" w:cs="黑体"/>
              <w:bCs/>
              <w:szCs w:val="28"/>
            </w:rPr>
            <w:fldChar w:fldCharType="end"/>
          </w:r>
        </w:p>
      </w:sdtContent>
    </w:sdt>
    <w:p w14:paraId="0761F140">
      <w:pPr>
        <w:spacing w:before="60" w:after="60" w:line="360" w:lineRule="auto"/>
        <w:rPr>
          <w:rFonts w:ascii="黑体" w:hAnsi="黑体" w:eastAsia="黑体" w:cs="黑体"/>
          <w:bCs/>
          <w:sz w:val="24"/>
          <w:szCs w:val="28"/>
        </w:rPr>
      </w:pPr>
    </w:p>
    <w:p w14:paraId="61B6A92A">
      <w:pPr>
        <w:pageBreakBefore/>
        <w:spacing w:line="360" w:lineRule="auto"/>
      </w:pPr>
    </w:p>
    <w:p>
      <w:pPr>
        <w:pStyle w:val="2"/>
      </w:pPr>
      <w:r>
        <w:rPr>
          <w:rFonts w:ascii="黑体" w:hAnsi="黑体" w:eastAsia="黑体" w:cs="黑体"/>
          <w:b/>
        </w:rPr>
        <w:t>一、编制目的</w:t>
      </w:r>
    </w:p>
    <w:p>
      <w:pPr/>
      <w:r>
        <w:rPr>
          <w:rFonts w:ascii="仿宋_GB2312" w:hAnsi="仿宋_GB2312" w:eastAsia="仿宋_GB2312" w:cs="仿宋_GB2312"/>
          <w:sz w:val="24"/>
        </w:rPr>
        <w:t>为统一全省多模态中医药人工智能模型的评价依据，规范智慧中医智能产品的研发、测试、验收与临床应用流程，解决当前行业评测标准缺失、评价尺度不一、应用监管无据可依等现实问题，助推陕西省数字中医药产业标准化、规范化、高质量发展，特制定本地方标准。</w:t>
      </w:r>
    </w:p>
    <w:p>
      <w:pPr/>
      <w:r>
        <w:rPr>
          <w:rFonts w:ascii="仿宋_GB2312" w:hAnsi="仿宋_GB2312" w:eastAsia="仿宋_GB2312" w:cs="仿宋_GB2312"/>
          <w:sz w:val="24"/>
        </w:rPr>
        <w:t>中医药诊断以望、闻、问、切四诊合参为核心，具有鲜明的多模态信息采集与融合特征。随着人工智能技术快速发展，融合舌象图像、脉象信号、面象、声象、问诊文本、中药材图像、医学影像等多源异构数据的中医药人工智能模型不断涌现，而现行通用人工智能评测标准难以充分覆盖中医药多模态数据的专业内涵与技术特性。本文件即面向上述处理单一或多种模态数据的中医药人工智能模型，为其质量评测提供统一、可量化、可执行的依据。</w:t>
      </w:r>
    </w:p>
    <w:p>
      <w:pPr/>
      <w:r>
        <w:rPr>
          <w:rFonts w:ascii="仿宋_GB2312" w:hAnsi="仿宋_GB2312" w:eastAsia="仿宋_GB2312" w:cs="仿宋_GB2312"/>
          <w:sz w:val="24"/>
        </w:rPr>
        <w:t>本文件属推荐性地方标准（标准号拟定为DB61/T XXXXX—XXXX）。</w:t>
      </w:r>
    </w:p>
    <w:p>
      <w:pPr>
        <w:pStyle w:val="2"/>
      </w:pPr>
      <w:r>
        <w:rPr>
          <w:rFonts w:ascii="黑体" w:hAnsi="黑体" w:eastAsia="黑体" w:cs="黑体"/>
          <w:b/>
        </w:rPr>
        <w:t>二、编制依据</w:t>
      </w:r>
    </w:p>
    <w:p>
      <w:pPr/>
      <w:r>
        <w:rPr>
          <w:rFonts w:ascii="仿宋_GB2312" w:hAnsi="仿宋_GB2312" w:eastAsia="仿宋_GB2312" w:cs="仿宋_GB2312"/>
          <w:sz w:val="24"/>
        </w:rPr>
        <w:t>依据《中华人民共和国中医药法》《陕西省中医药发展条例》、陕西省地方标准管理办法以及智慧医疗、人工智能相关产业政策，结合省内中医医疗机构实际应用现状编制。</w:t>
      </w:r>
    </w:p>
    <w:p>
      <w:pPr/>
      <w:r>
        <w:rPr>
          <w:rFonts w:ascii="仿宋_GB2312" w:hAnsi="仿宋_GB2312" w:eastAsia="仿宋_GB2312" w:cs="仿宋_GB2312"/>
          <w:sz w:val="24"/>
        </w:rPr>
        <w:t>本文件在技术层面引用并衔接下列现行标准，以保证与国家标准体系协调一致：</w:t>
      </w:r>
    </w:p>
    <w:p>
      <w:pPr/>
      <w:r>
        <w:rPr>
          <w:rFonts w:ascii="仿宋_GB2312" w:hAnsi="仿宋_GB2312" w:eastAsia="仿宋_GB2312" w:cs="仿宋_GB2312"/>
          <w:sz w:val="24"/>
        </w:rPr>
        <w:t>（1）标准化与人工智能通用标准：GB/T 1.1—2020《标准化工作导则 第1部分：标准化文件的结构和起草规则》、GB/T 45288.2—2025《人工智能 大模型 第2部分：评测指标与方法》、GB/T 41867—2022《信息技术 人工智能 术语》、GB/T 42755—2023《人工智能 面向机器学习的数据标注规程》、GB/T 45654—2025《网络安全技术 生成式人工智能服务安全基本要求》；</w:t>
      </w:r>
    </w:p>
    <w:p>
      <w:pPr/>
      <w:r>
        <w:rPr>
          <w:rFonts w:ascii="仿宋_GB2312" w:hAnsi="仿宋_GB2312" w:eastAsia="仿宋_GB2312" w:cs="仿宋_GB2312"/>
          <w:sz w:val="24"/>
        </w:rPr>
        <w:t>（2）中医药基础标准：GB/T 15657—2021《中医病证分类与代码》、GB/T 16751系列《中医临床诊疗术语》、GB/T 40665系列《中医四诊操作规范》、YY/T 1657—2019《舌象信息采集设备》等。</w:t>
      </w:r>
    </w:p>
    <w:p>
      <w:pPr>
        <w:pStyle w:val="2"/>
      </w:pPr>
      <w:r>
        <w:rPr>
          <w:rFonts w:ascii="黑体" w:hAnsi="黑体" w:eastAsia="黑体" w:cs="黑体"/>
          <w:b/>
        </w:rPr>
        <w:t>三、编制工作简要过程</w:t>
      </w:r>
    </w:p>
    <w:p>
      <w:pPr/>
      <w:r>
        <w:rPr>
          <w:rFonts w:ascii="仿宋_GB2312" w:hAnsi="仿宋_GB2312" w:eastAsia="仿宋_GB2312" w:cs="仿宋_GB2312"/>
          <w:sz w:val="24"/>
        </w:rPr>
        <w:t>本标准由牵头单位组建专项标准起草组，整合中医临床、中医药理论、人工智能算法、标准化研究等领域专业人员组成编制团队。前期完成行业现状调研、市场应用摸排、相关标准文献检索、技术指标梳理等基础工作，调研充分，编制条件成熟。主要工作过程如下。</w:t>
      </w:r>
    </w:p>
    <w:p>
      <w:pPr>
        <w:pStyle w:val="3"/>
      </w:pPr>
      <w:r>
        <w:rPr>
          <w:rFonts w:ascii="黑体" w:hAnsi="黑体" w:eastAsia="黑体" w:cs="黑体"/>
          <w:b/>
        </w:rPr>
        <w:t>（一）立项与调研</w:t>
      </w:r>
    </w:p>
    <w:p>
      <w:pPr/>
      <w:r>
        <w:rPr>
          <w:rFonts w:ascii="仿宋_GB2312" w:hAnsi="仿宋_GB2312" w:eastAsia="仿宋_GB2312" w:cs="仿宋_GB2312"/>
          <w:sz w:val="24"/>
        </w:rPr>
        <w:t>起草组在深入调研中医药人工智能模型研发现状与评测需求的基础上，收集国内外相关文献、标准及研究成果，重点梳理现行人工智能评测标准、中医药行业基础标准以及舌象分析、脉象识别、辨证论治辅助决策等方向的研究进展，形成立项建议并完成立项论证。</w:t>
      </w:r>
    </w:p>
    <w:p>
      <w:pPr>
        <w:pStyle w:val="3"/>
      </w:pPr>
      <w:r>
        <w:rPr>
          <w:rFonts w:ascii="黑体" w:hAnsi="黑体" w:eastAsia="黑体" w:cs="黑体"/>
          <w:b/>
        </w:rPr>
        <w:t>（二）框架设计与初稿起草</w:t>
      </w:r>
    </w:p>
    <w:p>
      <w:pPr/>
      <w:r>
        <w:rPr>
          <w:rFonts w:ascii="仿宋_GB2312" w:hAnsi="仿宋_GB2312" w:eastAsia="仿宋_GB2312" w:cs="仿宋_GB2312"/>
          <w:sz w:val="24"/>
        </w:rPr>
        <w:t>起草组经多次专题研讨，确定本文件涵盖评测框架、评测指标、评测数据集要求、评测方法与评测流程等核心板块，构建“理解能力、生成能力、中医药专业能力、安全可控能力、服务能力”五维评测框架，分工起草各章节，并完成附录A（各模态评测数据集技术要求）、附录B（评测指标计算方法）的编写，形成工作组讨论稿。</w:t>
      </w:r>
    </w:p>
    <w:p>
      <w:pPr>
        <w:pStyle w:val="3"/>
      </w:pPr>
      <w:r>
        <w:rPr>
          <w:rFonts w:ascii="黑体" w:hAnsi="黑体" w:eastAsia="黑体" w:cs="黑体"/>
          <w:b/>
        </w:rPr>
        <w:t>（三）征求意见与修改完善</w:t>
      </w:r>
    </w:p>
    <w:p>
      <w:pPr/>
      <w:r>
        <w:rPr>
          <w:rFonts w:ascii="仿宋_GB2312" w:hAnsi="仿宋_GB2312" w:eastAsia="仿宋_GB2312" w:cs="仿宋_GB2312"/>
          <w:sz w:val="24"/>
        </w:rPr>
        <w:t>起草组向中医药临床专家、信息技术专家、标准化专家及相关企业征求意见，对反馈意见逐条整理处理，形成意见汇总处理表，并据此对标准文本及本编制说明进行修改完善，形成送审稿。</w:t>
      </w:r>
    </w:p>
    <w:p>
      <w:pPr>
        <w:pStyle w:val="2"/>
      </w:pPr>
      <w:r>
        <w:rPr>
          <w:rFonts w:ascii="黑体" w:hAnsi="黑体" w:eastAsia="黑体" w:cs="黑体"/>
          <w:b/>
        </w:rPr>
        <w:t>四、确定主要技术内容的原则</w:t>
      </w:r>
    </w:p>
    <w:p>
      <w:pPr/>
      <w:r>
        <w:rPr>
          <w:rFonts w:ascii="仿宋_GB2312" w:hAnsi="仿宋_GB2312" w:eastAsia="仿宋_GB2312" w:cs="仿宋_GB2312"/>
          <w:sz w:val="24"/>
        </w:rPr>
        <w:t>1. 坚守中医药理论为本，保证标准的中医属性与临床实用性；</w:t>
      </w:r>
    </w:p>
    <w:p>
      <w:pPr/>
      <w:r>
        <w:rPr>
          <w:rFonts w:ascii="仿宋_GB2312" w:hAnsi="仿宋_GB2312" w:eastAsia="仿宋_GB2312" w:cs="仿宋_GB2312"/>
          <w:sz w:val="24"/>
        </w:rPr>
        <w:t>2. 立足陕西本地应用实际，贴合基层智慧中医推广需求；</w:t>
      </w:r>
    </w:p>
    <w:p>
      <w:pPr/>
      <w:r>
        <w:rPr>
          <w:rFonts w:ascii="仿宋_GB2312" w:hAnsi="仿宋_GB2312" w:eastAsia="仿宋_GB2312" w:cs="仿宋_GB2312"/>
          <w:sz w:val="24"/>
        </w:rPr>
        <w:t>3. 兼顾技术科学性与落地可操作性，指标简洁明确、便于执行；</w:t>
      </w:r>
    </w:p>
    <w:p>
      <w:pPr/>
      <w:r>
        <w:rPr>
          <w:rFonts w:ascii="仿宋_GB2312" w:hAnsi="仿宋_GB2312" w:eastAsia="仿宋_GB2312" w:cs="仿宋_GB2312"/>
          <w:sz w:val="24"/>
        </w:rPr>
        <w:t>4. 严守医疗数据安全底线，强化行业应用风险管控。</w:t>
      </w:r>
    </w:p>
    <w:p>
      <w:pPr>
        <w:pStyle w:val="3"/>
      </w:pPr>
      <w:r>
        <w:rPr>
          <w:rFonts w:ascii="黑体" w:hAnsi="黑体" w:eastAsia="黑体" w:cs="黑体"/>
          <w:b/>
        </w:rPr>
        <w:t>（一）主要技术内容概述</w:t>
      </w:r>
    </w:p>
    <w:p>
      <w:pPr/>
      <w:r>
        <w:rPr>
          <w:rFonts w:ascii="仿宋_GB2312" w:hAnsi="仿宋_GB2312" w:eastAsia="仿宋_GB2312" w:cs="仿宋_GB2312"/>
          <w:sz w:val="24"/>
        </w:rPr>
        <w:t>为使本编制说明与标准草案相对应，现将主要技术内容概述如下。本文件共包括七章主体内容及两个附录。</w:t>
      </w:r>
    </w:p>
    <w:p>
      <w:pPr/>
      <w:r>
        <w:rPr>
          <w:rFonts w:ascii="仿宋_GB2312" w:hAnsi="仿宋_GB2312" w:eastAsia="仿宋_GB2312" w:cs="仿宋_GB2312"/>
          <w:sz w:val="24"/>
        </w:rPr>
        <w:t>——第1章（范围）：界定适用对象，即处理舌象、脉象、面象、声象、问诊文本、中药材图像、医学影像等单一或多种模态数据的中医药人工智能模型；</w:t>
      </w:r>
    </w:p>
    <w:p>
      <w:pPr/>
      <w:r>
        <w:rPr>
          <w:rFonts w:ascii="仿宋_GB2312" w:hAnsi="仿宋_GB2312" w:eastAsia="仿宋_GB2312" w:cs="仿宋_GB2312"/>
          <w:sz w:val="24"/>
        </w:rPr>
        <w:t>——第2章（规范性引用文件）、第3章（术语和定义，分为中医药基础术语、中医药多模态数据术语、评测相关术语三类）、第4章（缩略语）；</w:t>
      </w:r>
    </w:p>
    <w:p>
      <w:pPr/>
      <w:r>
        <w:rPr>
          <w:rFonts w:ascii="仿宋_GB2312" w:hAnsi="仿宋_GB2312" w:eastAsia="仿宋_GB2312" w:cs="仿宋_GB2312"/>
          <w:sz w:val="24"/>
        </w:rPr>
        <w:t>——第5章（评测框架）：提出“三个层次（基础能力层、专业能力层、应用能力层）和五个维度（理解能力、生成能力、中医药专业能力、安全可控能力、服务能力）”的评测体系；</w:t>
      </w:r>
    </w:p>
    <w:p>
      <w:pPr/>
      <w:r>
        <w:rPr>
          <w:rFonts w:ascii="仿宋_GB2312" w:hAnsi="仿宋_GB2312" w:eastAsia="仿宋_GB2312" w:cs="仿宋_GB2312"/>
          <w:sz w:val="24"/>
        </w:rPr>
        <w:t>——第6章（评测指标）：按五个维度规定舌象、脉象、面象、声象、问诊文本、中药材图像等各模态的理解与生成能力指标，以及多模态融合、中医药专业能力、安全可控能力、服务能力指标，并给出推荐阈值；</w:t>
      </w:r>
    </w:p>
    <w:p>
      <w:pPr/>
      <w:r>
        <w:rPr>
          <w:rFonts w:ascii="仿宋_GB2312" w:hAnsi="仿宋_GB2312" w:eastAsia="仿宋_GB2312" w:cs="仿宋_GB2312"/>
          <w:sz w:val="24"/>
        </w:rPr>
        <w:t>——第7章（评测方法）：规定评测方法分类、评测数据集要求、评测环境、评测工具、评测实施与评测结果报告；</w:t>
      </w:r>
    </w:p>
    <w:p>
      <w:pPr/>
      <w:r>
        <w:rPr>
          <w:rFonts w:ascii="仿宋_GB2312" w:hAnsi="仿宋_GB2312" w:eastAsia="仿宋_GB2312" w:cs="仿宋_GB2312"/>
          <w:sz w:val="24"/>
        </w:rPr>
        <w:t>——附录A（规范性）规定舌象、脉象、面象、声象、问诊文本、中药材图像及多模态配对等各模态评测数据集的技术要求；附录B（资料性）给出客观评测与主观评测指标的计算方法。</w:t>
      </w:r>
    </w:p>
    <w:p>
      <w:pPr>
        <w:pStyle w:val="3"/>
      </w:pPr>
      <w:r>
        <w:rPr>
          <w:rFonts w:ascii="黑体" w:hAnsi="黑体" w:eastAsia="黑体" w:cs="黑体"/>
          <w:b/>
        </w:rPr>
        <w:t>（二）主要技术内容的确定依据</w:t>
      </w:r>
    </w:p>
    <w:p>
      <w:pPr/>
      <w:r>
        <w:rPr>
          <w:rFonts w:ascii="仿宋_GB2312" w:hAnsi="仿宋_GB2312" w:eastAsia="仿宋_GB2312" w:cs="仿宋_GB2312"/>
          <w:sz w:val="24"/>
        </w:rPr>
        <w:t>（1）评测框架：在GB/T 45288.2—2025“理解能力—生成能力”二维框架基础上，扩展中医药专业能力、安全可控能力、服务能力三个维度，形成契合中医辨证论治规律与临床应用特点的五维框架。</w:t>
      </w:r>
    </w:p>
    <w:p>
      <w:pPr/>
      <w:r>
        <w:rPr>
          <w:rFonts w:ascii="仿宋_GB2312" w:hAnsi="仿宋_GB2312" w:eastAsia="仿宋_GB2312" w:cs="仿宋_GB2312"/>
          <w:sz w:val="24"/>
        </w:rPr>
        <w:t>（2）中医药特色模态指标：舌象、面象指标依据GB/T 40665.1—2021（望诊）及YY/T 1657—2019确定；脉象指标依据GB/T 40665.4—2021（切诊）规定的二十八脉及脉位、脉率、脉力、脉形、脉势等参数确定；声象指标参照GB/T 40665.2—2021（闻诊）；并设置预警舌象识别等临床风险管控相关指标。</w:t>
      </w:r>
    </w:p>
    <w:p>
      <w:pPr/>
      <w:r>
        <w:rPr>
          <w:rFonts w:ascii="仿宋_GB2312" w:hAnsi="仿宋_GB2312" w:eastAsia="仿宋_GB2312" w:cs="仿宋_GB2312"/>
          <w:sz w:val="24"/>
        </w:rPr>
        <w:t>（3）多模态融合指标：围绕四诊合参核心原则，设置舌脉联合、四诊合参、图文对齐等评测任务，其中多模态信息增益指标用于定量评价融合的实际效果（计算方法见附录B）。</w:t>
      </w:r>
    </w:p>
    <w:p>
      <w:pPr/>
      <w:r>
        <w:rPr>
          <w:rFonts w:ascii="仿宋_GB2312" w:hAnsi="仿宋_GB2312" w:eastAsia="仿宋_GB2312" w:cs="仿宋_GB2312"/>
          <w:sz w:val="24"/>
        </w:rPr>
        <w:t>（4）中医药专业能力：辨证、方药推荐、临床动态诊疗等任务依据GB/T 16751.2—2021（证候）及中医辨证论治原则确定，强调“十八反十九畏”等配伍禁忌的识别，以及孕妇、儿童、危重症等特殊人群的用药安全。</w:t>
      </w:r>
    </w:p>
    <w:p>
      <w:pPr/>
      <w:r>
        <w:rPr>
          <w:rFonts w:ascii="仿宋_GB2312" w:hAnsi="仿宋_GB2312" w:eastAsia="仿宋_GB2312" w:cs="仿宋_GB2312"/>
          <w:sz w:val="24"/>
        </w:rPr>
        <w:t>（5）安全可控与服务能力：设置有害医疗建议过滤、错误信息识别、毒性中药警示、特殊人群保护等安全评测，以及响应速度、输出格式规范性、多轮一致性等服务能力评测。</w:t>
      </w:r>
    </w:p>
    <w:p>
      <w:pPr/>
      <w:r>
        <w:rPr>
          <w:rFonts w:ascii="仿宋_GB2312" w:hAnsi="仿宋_GB2312" w:eastAsia="仿宋_GB2312" w:cs="仿宋_GB2312"/>
          <w:sz w:val="24"/>
        </w:rPr>
        <w:t>（6）评测数据集与方法：数据集要求参考GB/T 42755—2023并结合中医药多模态数据特点，规定数据合规性、标注资质、标注一致性、数据隔离与动态更新；难以量化的专业能力采用基于MOS分的主观评测，并制定五级评分细则，确保结果的可重复性与可比性。</w:t>
      </w:r>
    </w:p>
    <w:p>
      <w:pPr>
        <w:pStyle w:val="3"/>
      </w:pPr>
      <w:r>
        <w:rPr>
          <w:rFonts w:ascii="黑体" w:hAnsi="黑体" w:eastAsia="黑体" w:cs="黑体"/>
          <w:b/>
        </w:rPr>
        <w:t>（三）与现行标准的协调关系</w:t>
      </w:r>
    </w:p>
    <w:p>
      <w:pPr/>
      <w:r>
        <w:rPr>
          <w:rFonts w:ascii="仿宋_GB2312" w:hAnsi="仿宋_GB2312" w:eastAsia="仿宋_GB2312" w:cs="仿宋_GB2312"/>
          <w:sz w:val="24"/>
        </w:rPr>
        <w:t>本文件是GB/T 45288.2—2025在中医药领域的专业化扩展，术语与四诊指标以GB/T 40665、GB/T 16751、GB/T 15657系列为技术依据，安全可控评测与GB/T 45654—2025相协调，整体与现行国家标准、行业标准保持衔接，不存在冲突。</w:t>
      </w:r>
    </w:p>
    <w:p>
      <w:pPr>
        <w:pStyle w:val="2"/>
      </w:pPr>
      <w:r>
        <w:rPr>
          <w:rFonts w:ascii="黑体" w:hAnsi="黑体" w:eastAsia="黑体" w:cs="黑体"/>
          <w:b/>
        </w:rPr>
        <w:t>五、贯彻实施建议</w:t>
      </w:r>
    </w:p>
    <w:p>
      <w:pPr/>
      <w:r>
        <w:rPr>
          <w:rFonts w:ascii="仿宋_GB2312" w:hAnsi="仿宋_GB2312" w:eastAsia="仿宋_GB2312" w:cs="仿宋_GB2312"/>
          <w:sz w:val="24"/>
        </w:rPr>
        <w:t>1. 标准正式发布后，面向全省中医医疗机构、中医药科研单位、人工智能科技企业开展标准宣贯培训；</w:t>
      </w:r>
    </w:p>
    <w:p>
      <w:pPr/>
      <w:r>
        <w:rPr>
          <w:rFonts w:ascii="仿宋_GB2312" w:hAnsi="仿宋_GB2312" w:eastAsia="仿宋_GB2312" w:cs="仿宋_GB2312"/>
          <w:sz w:val="24"/>
        </w:rPr>
        <w:t>2. 将本标准作为省内中医药人工智能项目验收、产品准入、技术评测的统一执行依据；</w:t>
      </w:r>
    </w:p>
    <w:p>
      <w:pPr/>
      <w:r>
        <w:rPr>
          <w:rFonts w:ascii="仿宋_GB2312" w:hAnsi="仿宋_GB2312" w:eastAsia="仿宋_GB2312" w:cs="仿宋_GB2312"/>
          <w:sz w:val="24"/>
        </w:rPr>
        <w:t>3. 鼓励行业主体参照本标准开展模型优化升级，提升智慧中医诊疗服务整体水平。</w:t>
      </w:r>
    </w:p>
    <w:p>
      <w:pPr>
        <w:pStyle w:val="2"/>
      </w:pPr>
      <w:r>
        <w:rPr>
          <w:rFonts w:ascii="黑体" w:hAnsi="黑体" w:eastAsia="黑体" w:cs="黑体"/>
          <w:b/>
        </w:rPr>
        <w:t>六、其他说明</w:t>
      </w:r>
    </w:p>
    <w:p>
      <w:pPr/>
      <w:r>
        <w:rPr>
          <w:rFonts w:ascii="仿宋_GB2312" w:hAnsi="仿宋_GB2312" w:eastAsia="仿宋_GB2312" w:cs="仿宋_GB2312"/>
          <w:sz w:val="24"/>
        </w:rPr>
        <w:t>1. 本标准编制过程无重大技术分歧、无行业重大争议，内容完整合理，符合省级地方标准立项及发布全部条件。</w:t>
      </w:r>
    </w:p>
    <w:p>
      <w:pPr/>
      <w:r>
        <w:rPr>
          <w:rFonts w:ascii="仿宋_GB2312" w:hAnsi="仿宋_GB2312" w:eastAsia="仿宋_GB2312" w:cs="仿宋_GB2312"/>
          <w:sz w:val="24"/>
        </w:rPr>
        <w:t>2. 关于评测数据集：本文件规定评测数据集的质量与技术要求（详见附录A），但不指定具体公开或商业数据集；鉴于中医药多模态评测数据集尚处建设初期，建议有关部门与研究机构积极推动标准评测数据集研建，以支撑本文件有效实施。</w:t>
      </w:r>
    </w:p>
    <w:p>
      <w:pPr/>
      <w:r>
        <w:rPr>
          <w:rFonts w:ascii="仿宋_GB2312" w:hAnsi="仿宋_GB2312" w:eastAsia="仿宋_GB2312" w:cs="仿宋_GB2312"/>
          <w:sz w:val="24"/>
        </w:rPr>
        <w:t>3. 关于适用范围：本文件适用于以中医药诊疗为核心应用场景的多模态人工智能模型，包括但不限于辅助诊断系统、健康管理平台、中药鉴定系统等；以知识问答、科普教育为主而不涉及临床辅助诊疗的模型可参照使用本文件相关条款。</w:t>
      </w:r>
    </w:p>
    <w:p>
      <w:pPr/>
      <w:r>
        <w:rPr>
          <w:rFonts w:ascii="仿宋_GB2312" w:hAnsi="仿宋_GB2312" w:eastAsia="仿宋_GB2312" w:cs="仿宋_GB2312"/>
          <w:sz w:val="24"/>
        </w:rPr>
        <w:t>4. 关于持续维护：鉴于中医药人工智能技术处于快速发展阶段，建议本文件发布实施后2—3年内根据技术发展及实施反馈启动修订，重点关注新型模态数据纳入、评测方法精细化及与新发布国家标准的衔接。</w:t>
      </w:r>
    </w:p>
    <w:p>
      <w:pPr/>
      <w:r>
        <w:rPr>
          <w:rFonts w:ascii="仿宋_GB2312" w:hAnsi="仿宋_GB2312" w:eastAsia="仿宋_GB2312" w:cs="仿宋_GB2312"/>
          <w:sz w:val="24"/>
        </w:rPr>
        <w:t>5. 知识产权声明：本文件起草单位与起草人员承诺，不就本文件所涉知识产权向使用方主张权利。</w:t>
      </w:r>
    </w:p>
    <w:p>
      <w:pPr>
        <w:jc w:val="right"/>
      </w:pPr>
      <w:r>
        <w:rPr>
          <w:rFonts w:ascii="仿宋_GB2312" w:hAnsi="仿宋_GB2312" w:eastAsia="仿宋_GB2312" w:cs="仿宋_GB2312"/>
          <w:sz w:val="24"/>
        </w:rPr>
        <w:t>（编制工作组）</w:t>
      </w:r>
    </w:p>
    <w:p>
      <w:pPr>
        <w:jc w:val="right"/>
      </w:pPr>
      <w:r>
        <w:rPr>
          <w:rFonts w:ascii="仿宋_GB2312" w:hAnsi="仿宋_GB2312" w:eastAsia="仿宋_GB2312" w:cs="仿宋_GB2312"/>
          <w:sz w:val="24"/>
        </w:rPr>
        <w:t>2025年5月</w:t>
      </w:r>
    </w:p>
    <w:sectPr>
      <w:pgSz w:w="11906" w:h="16838"/>
      <w:pgMar w:top="1440" w:right="1296" w:bottom="1440" w:left="180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88"/>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auto"/>
    <w:pitch w:val="default"/>
    <w:sig w:usb0="800002BF" w:usb1="38CF7CFA" w:usb2="00000016" w:usb3="00000000" w:csb0="00040001" w:csb1="00000000"/>
  </w:font>
  <w:font w:name="Calibri Light">
    <w:panose1 w:val="020F0302020204030204"/>
    <w:charset w:val="00"/>
    <w:family w:val="auto"/>
    <w:pitch w:val="default"/>
    <w:sig w:usb0="E4002EFF" w:usb1="C200247B" w:usb2="00000009" w:usb3="00000000" w:csb0="200001FF" w:csb1="00000000"/>
  </w:font>
  <w:font w:name="仿宋_GB2312">
    <w:altName w:val="仿宋"/>
    <w:panose1 w:val="00000000000000000000"/>
    <w:charset w:val="86"/>
    <w:family w:val="auto"/>
    <w:pitch w:val="default"/>
    <w:sig w:usb0="00000000" w:usb1="00000000" w:usb2="00000000" w:usb3="00000000" w:csb0="00000000" w:csb1="00000000"/>
  </w:font>
  <w:font w:name="KSOFE44F9426">
    <w:panose1 w:val="02010609060101010101"/>
    <w:charset w:val="86"/>
    <w:family w:val="auto"/>
    <w:pitch w:val="default"/>
    <w:sig w:usb0="00000001" w:usb1="00000000" w:usb2="00000000" w:usb3="00000000" w:csb0="00040001" w:csb1="00000000"/>
  </w:font>
  <w:font w:name="Cambria">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KSOFE4507CE4">
    <w:panose1 w:val="02010609060101010101"/>
    <w:charset w:val="86"/>
    <w:family w:val="auto"/>
    <w:pitch w:val="default"/>
    <w:sig w:usb0="00000001" w:usb1="00000000" w:usb2="00000000" w:usb3="00000000" w:csb0="00040001" w:csb1="00000000"/>
  </w:font>
  <w:font w:name="仿宋_GB2312">
    <w:altName w:val="仿宋"/>
    <w:panose1 w:val="00000000000000000000"/>
    <w:charset w:val="00"/>
    <w:family w:val="auto"/>
    <w:pitch w:val="default"/>
    <w:sig w:usb0="00000000" w:usb1="00000000" w:usb2="00000000" w:usb3="00000000" w:csb0="00000000" w:csb1="00000000"/>
  </w:font>
  <w:font w:name="KSOFE4500885">
    <w:panose1 w:val="02010609060101010101"/>
    <w:charset w:val="86"/>
    <w:family w:val="auto"/>
    <w:pitch w:val="default"/>
    <w:sig w:usb0="00000001" w:usb1="00000000" w:usb2="00000000" w:usb3="00000000" w:csb0="00040001" w:csb1="00000000"/>
  </w:font>
  <w:font w:name="华文仿宋">
    <w:panose1 w:val="02010600040101010101"/>
    <w:charset w:val="86"/>
    <w:family w:val="auto"/>
    <w:pitch w:val="default"/>
    <w:sig w:usb0="00000287" w:usb1="080F0000" w:usb2="00000000" w:usb3="00000000" w:csb0="0004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displayBackgroundShape w:val="1"/>
  <w:documentProtection w:enforcement="0"/>
  <w:footnotePr>
    <w:footnote w:id="0"/>
    <w:footnote w:id="1"/>
  </w:footnotePr>
  <w:endnotePr>
    <w:endnote w:id="0"/>
    <w:endnote w:id="1"/>
  </w:endnotePr>
  <w:compat>
    <w:useFELayout/>
    <w:compatSetting w:name="compatibilityMode" w:uri="http://schemas.microsoft.com/office/word" w:val="15"/>
  </w:compat>
  <w:rsids>
    <w:rsidRoot w:val="00000000"/>
    <w:rsid w:val="2FFD3C0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仿宋_GB2312" w:hAnsi="仿宋_GB2312" w:eastAsia="仿宋_GB2312" w:cs="仿宋_GB2312"/>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autoSpaceDN/>
      <w:spacing w:line="360" w:lineRule="auto"/>
      <w:ind w:firstLine="0"/>
    </w:pPr>
    <w:rPr>
      <w:rFonts w:ascii="仿宋_GB2312" w:hAnsi="仿宋_GB2312" w:eastAsia="仿宋_GB2312" w:cs="仿宋_GB2312"/>
      <w:sz w:val="24"/>
      <w:szCs w:val="24"/>
    </w:rPr>
  </w:style>
  <w:style w:type="paragraph" w:styleId="2">
    <w:name w:val="heading 1"/>
    <w:next w:val="1"/>
    <w:qFormat/>
    <w:uiPriority w:val="0"/>
    <w:pPr>
      <w:outlineLvl w:val="0"/>
    </w:pPr>
    <w:rPr>
      <w:rFonts w:ascii="仿宋_GB2312" w:hAnsi="仿宋_GB2312" w:eastAsia="仿宋_GB2312" w:cs="仿宋_GB2312"/>
      <w:color w:val="000000" w:themeColor="text1"/>
      <w:sz w:val="32"/>
      <w:szCs w:val="32"/>
      <w14:textFill>
        <w14:solidFill>
          <w14:schemeClr w14:val="tx1"/>
        </w14:solidFill>
      </w14:textFill>
    </w:rPr>
  </w:style>
  <w:style w:type="paragraph" w:styleId="3">
    <w:name w:val="heading 2"/>
    <w:next w:val="1"/>
    <w:qFormat/>
    <w:uiPriority w:val="0"/>
    <w:pPr>
      <w:outlineLvl w:val="1"/>
    </w:pPr>
    <w:rPr>
      <w:rFonts w:ascii="仿宋_GB2312" w:hAnsi="仿宋_GB2312" w:eastAsia="仿宋_GB2312" w:cs="仿宋_GB2312"/>
      <w:color w:val="000000" w:themeColor="text1"/>
      <w:sz w:val="26"/>
      <w:szCs w:val="26"/>
      <w14:textFill>
        <w14:solidFill>
          <w14:schemeClr w14:val="tx1"/>
        </w14:solidFill>
      </w14:textFill>
    </w:rPr>
  </w:style>
  <w:style w:type="paragraph" w:styleId="4">
    <w:name w:val="heading 3"/>
    <w:next w:val="1"/>
    <w:qFormat/>
    <w:uiPriority w:val="0"/>
    <w:pPr>
      <w:outlineLvl w:val="2"/>
    </w:pPr>
    <w:rPr>
      <w:rFonts w:ascii="仿宋_GB2312" w:hAnsi="仿宋_GB2312" w:eastAsia="仿宋_GB2312" w:cs="仿宋_GB2312"/>
      <w:color w:val="000000" w:themeColor="text1"/>
      <w:sz w:val="24"/>
      <w:szCs w:val="24"/>
      <w14:textFill>
        <w14:solidFill>
          <w14:schemeClr w14:val="tx1"/>
        </w14:solidFill>
      </w14:textFill>
    </w:rPr>
  </w:style>
  <w:style w:type="paragraph" w:styleId="5">
    <w:name w:val="heading 4"/>
    <w:next w:val="1"/>
    <w:qFormat/>
    <w:uiPriority w:val="0"/>
    <w:rPr>
      <w:rFonts w:ascii="仿宋_GB2312" w:hAnsi="仿宋_GB2312" w:eastAsia="仿宋_GB2312" w:cs="仿宋_GB2312"/>
      <w:i/>
      <w:iCs/>
      <w:color w:val="2E74B5"/>
      <w:sz w:val="24"/>
      <w:szCs w:val="24"/>
    </w:rPr>
  </w:style>
  <w:style w:type="paragraph" w:styleId="6">
    <w:name w:val="heading 5"/>
    <w:next w:val="1"/>
    <w:qFormat/>
    <w:uiPriority w:val="0"/>
    <w:rPr>
      <w:rFonts w:ascii="仿宋_GB2312" w:hAnsi="仿宋_GB2312" w:eastAsia="仿宋_GB2312" w:cs="仿宋_GB2312"/>
      <w:color w:val="2E74B5"/>
      <w:sz w:val="24"/>
      <w:szCs w:val="24"/>
    </w:rPr>
  </w:style>
  <w:style w:type="paragraph" w:styleId="7">
    <w:name w:val="heading 6"/>
    <w:next w:val="1"/>
    <w:qFormat/>
    <w:uiPriority w:val="0"/>
    <w:rPr>
      <w:rFonts w:ascii="仿宋_GB2312" w:hAnsi="仿宋_GB2312" w:eastAsia="仿宋_GB2312" w:cs="仿宋_GB2312"/>
      <w:color w:val="1F4D78"/>
      <w:sz w:val="24"/>
      <w:szCs w:val="24"/>
    </w:rPr>
  </w:style>
  <w:style w:type="character" w:default="1" w:styleId="13">
    <w:name w:val="Default Paragraph Font"/>
    <w:semiHidden/>
    <w:unhideWhenUsed/>
    <w:qFormat/>
    <w:uiPriority w:val="1"/>
  </w:style>
  <w:style w:type="table" w:default="1" w:styleId="12">
    <w:name w:val="Normal Table"/>
    <w:semiHidden/>
    <w:qFormat/>
    <w:uiPriority w:val="0"/>
    <w:tblPr>
      <w:tblCellMar>
        <w:top w:w="0" w:type="dxa"/>
        <w:left w:w="108" w:type="dxa"/>
        <w:bottom w:w="0" w:type="dxa"/>
        <w:right w:w="108" w:type="dxa"/>
      </w:tblCellMar>
    </w:tblPr>
  </w:style>
  <w:style w:type="paragraph" w:styleId="8">
    <w:name w:val="endnote text"/>
    <w:link w:val="19"/>
    <w:semiHidden/>
    <w:unhideWhenUsed/>
    <w:uiPriority w:val="99"/>
    <w:pPr>
      <w:spacing w:after="0" w:line="240" w:lineRule="auto"/>
    </w:pPr>
    <w:rPr>
      <w:rFonts w:ascii="仿宋_GB2312" w:hAnsi="仿宋_GB2312" w:eastAsia="仿宋_GB2312" w:cs="仿宋_GB2312"/>
      <w:sz w:val="20"/>
      <w:szCs w:val="20"/>
    </w:rPr>
  </w:style>
  <w:style w:type="paragraph" w:styleId="9">
    <w:name w:val="toc 1"/>
    <w:basedOn w:val="1"/>
    <w:next w:val="1"/>
    <w:uiPriority w:val="0"/>
  </w:style>
  <w:style w:type="paragraph" w:styleId="10">
    <w:name w:val="footnote text"/>
    <w:link w:val="18"/>
    <w:semiHidden/>
    <w:unhideWhenUsed/>
    <w:uiPriority w:val="99"/>
    <w:pPr>
      <w:spacing w:after="0" w:line="240" w:lineRule="auto"/>
    </w:pPr>
    <w:rPr>
      <w:rFonts w:ascii="仿宋_GB2312" w:hAnsi="仿宋_GB2312" w:eastAsia="仿宋_GB2312" w:cs="仿宋_GB2312"/>
      <w:sz w:val="20"/>
      <w:szCs w:val="20"/>
    </w:rPr>
  </w:style>
  <w:style w:type="paragraph" w:styleId="11">
    <w:name w:val="Title"/>
    <w:qFormat/>
    <w:uiPriority w:val="0"/>
    <w:rPr>
      <w:rFonts w:ascii="仿宋_GB2312" w:hAnsi="仿宋_GB2312" w:eastAsia="仿宋_GB2312" w:cs="仿宋_GB2312"/>
      <w:sz w:val="56"/>
      <w:szCs w:val="56"/>
    </w:rPr>
  </w:style>
  <w:style w:type="character" w:styleId="14">
    <w:name w:val="endnote reference"/>
    <w:semiHidden/>
    <w:unhideWhenUsed/>
    <w:uiPriority w:val="99"/>
    <w:rPr>
      <w:vertAlign w:val="superscript"/>
    </w:rPr>
  </w:style>
  <w:style w:type="character" w:styleId="15">
    <w:name w:val="Hyperlink"/>
    <w:unhideWhenUsed/>
    <w:uiPriority w:val="99"/>
    <w:rPr>
      <w:color w:val="0563C1"/>
      <w:u w:val="single"/>
    </w:rPr>
  </w:style>
  <w:style w:type="character" w:styleId="16">
    <w:name w:val="footnote reference"/>
    <w:semiHidden/>
    <w:unhideWhenUsed/>
    <w:uiPriority w:val="99"/>
    <w:rPr>
      <w:vertAlign w:val="superscript"/>
    </w:rPr>
  </w:style>
  <w:style w:type="paragraph" w:styleId="17">
    <w:name w:val="List Paragraph"/>
    <w:qFormat/>
    <w:uiPriority w:val="0"/>
    <w:rPr>
      <w:rFonts w:ascii="仿宋_GB2312" w:hAnsi="仿宋_GB2312" w:eastAsia="仿宋_GB2312" w:cs="仿宋_GB2312"/>
      <w:sz w:val="24"/>
      <w:szCs w:val="24"/>
    </w:rPr>
  </w:style>
  <w:style w:type="character" w:customStyle="1" w:styleId="18">
    <w:name w:val="Footnote Text Char"/>
    <w:link w:val="10"/>
    <w:semiHidden/>
    <w:unhideWhenUsed/>
    <w:uiPriority w:val="99"/>
    <w:rPr>
      <w:sz w:val="20"/>
      <w:szCs w:val="20"/>
    </w:rPr>
  </w:style>
  <w:style w:type="character" w:customStyle="1" w:styleId="19">
    <w:name w:val="Endnote Text Char"/>
    <w:link w:val="8"/>
    <w:semiHidden/>
    <w:unhideWhenUsed/>
    <w:qFormat/>
    <w:uiPriority w:val="99"/>
    <w:rPr>
      <w:sz w:val="20"/>
      <w:szCs w:val="20"/>
    </w:rPr>
  </w:style>
  <w:style w:type="paragraph" w:customStyle="1" w:styleId="20">
    <w:name w:val="列出段落1"/>
    <w:basedOn w:val="1"/>
    <w:qFormat/>
    <w:uiPriority w:val="34"/>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Pages>
  <Words>6845</Words>
  <Characters>7250</Characters>
  <TotalTime>1</TotalTime>
  <ScaleCrop>false</ScaleCrop>
  <LinksUpToDate>false</LinksUpToDate>
  <CharactersWithSpaces>7319</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2026-06-09T02:54:00Z</dcterms:created>
  <dc:creator>Un-named</dc:creator>
  <cp:lastModifiedBy>zhuzhu</cp:lastModifiedBy>
  <dcterms:modified xsi:type="dcterms:W3CDTF">2026-06-09T03:30:13Z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eyJoZGlkIjoiZThiMjczMWFlOTBlMmU1M2QxMjJjNTA2OGU1MDMyZDEiLCJ1c2VySWQiOiIzMDA4NTg3MjIifQ==</vt:lpwstr>
  </property>
  <property fmtid="{D5CDD505-2E9C-101B-9397-08002B2CF9AE}" pid="3" name="KSOProductBuildVer">
    <vt:lpwstr>2052-12.1.0.26895</vt:lpwstr>
  </property>
  <property fmtid="{D5CDD505-2E9C-101B-9397-08002B2CF9AE}" pid="4" name="ICV">
    <vt:lpwstr>531E5B8D16E84B969FDC6BF02D85F9DF_13</vt:lpwstr>
  </property>
</Properties>
</file>