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中医药科研前沿季度分析报告（2026年第二季度）</w:t>
      </w:r>
    </w:p>
    <w:p>
      <w:r>
        <w:rPr>
          <w:i/>
          <w:sz w:val="18"/>
        </w:rPr>
        <w:t>数据来源：第二季度.xlsx（共765条文献，729条含摘要）。本报告以新颖性为导向，优先呈现具有突破性、代表性或趋势预示意义的研究；对同质化较高的方向择其精华简述。文中方括号[N]为文献角标，对应文末参考文献。</w:t>
      </w:r>
    </w:p>
    <w:p>
      <w:pPr>
        <w:pStyle w:val="Heading1"/>
      </w:pPr>
      <w:r>
        <w:t>一、核心内容总览</w:t>
      </w:r>
    </w:p>
    <w:p>
      <w:pPr>
        <w:pStyle w:val="Heading2"/>
      </w:pPr>
      <w:r>
        <w:t>（一）季度研究特征</w:t>
      </w:r>
    </w:p>
    <w:p>
      <w:pPr>
        <w:pStyle w:val="Heading3"/>
      </w:pPr>
      <w:r>
        <w:t>1. 临床证据迈向"国际顶刊 + 硬终点"</w:t>
      </w:r>
    </w:p>
    <w:p>
      <w:r>
        <w:t>本季度针灸与中成药研究的显著特征，是临床证据在发表平台与终点层级上的双重抬升。研究不再满足于自评量表式的主观改善，而是转向影像结构、客观生物标志物等"硬终点"：膝骨关节炎电针试验以多中心、假针对照方式评估关节"结构性获益"[324]，麝香保心丸完成IV期多中心双盲安慰剂对照试验并报告合并肾功能下降人群的亚组结果[675]，益气复脉冻干粉针则以B型利钠肽（BNP）这一客观指标作为急性心衰疗效的判读依据[253]。与此同时，纳入15家医院、1282例的真实世界前瞻队列开始补足随机试验难以覆盖的长期、整合用药场景[469]。这表明中医药临床研究正逐步以现代循证医学的话语体系参与国际对话。更重要的是，这些试验多由国内团队主导、在中国人群中完成，意味着中医药正以"本土证据"而非"舶来验证"的姿态进入高影响力期刊，其示范意义已超出单个病种本身，开始重塑国际学界对针灸与中成药的证据预期。</w:t>
      </w:r>
    </w:p>
    <w:p>
      <w:pPr>
        <w:pStyle w:val="Heading3"/>
      </w:pPr>
      <w:r>
        <w:t>2. 评价工具从"硅基推断"转向"人源模型"</w:t>
      </w:r>
    </w:p>
    <w:p>
      <w:r>
        <w:t>另一条主线是研究工具的更替。过去高度依赖的计算推断（如成分-靶点网络）正被更贴近人体生理的实验系统补充甚至替代：人源诱导多能干细胞（iPSC）肝类器官被用于药效与抗细胞死亡评价[673]，转基因荧光斑马鱼被用作可视化中药作用过程的活体平台[112]，斑马鱼胚胎模型则承担高通量毒性筛查[54]。这类"人源化/活体化"工具直接回应了纯计算预测"只见关联、难证因果"的固有短板，也使中药"多成分协同"的复杂性第一次有了相对可控的实验观测窗口。</w:t>
      </w:r>
    </w:p>
    <w:p>
      <w:pPr>
        <w:pStyle w:val="Heading3"/>
      </w:pPr>
      <w:r>
        <w:t>3. 安全性与证候的"可测量化"成为新议题</w:t>
      </w:r>
    </w:p>
    <w:p>
      <w:r>
        <w:t>本季度还浮现出两类强调"可量化"的研究。其一是中药定量安全科学，研究者用基于生理的药代动力学（PBPK）反向剂量学构建从体外到体内的毒性外推框架[55]，并以斑马鱼模型对药食两用植物做定量心脏/发育毒性评估[54]。其二是证候客观化，借助血浆细胞外囊泡DNA的5-羟甲基胞嘧啶（5hmC）表观遗传特征，对"气阴两虚证"进行分子层面的刻画[97]。两者共同把过去依赖经验描述的"毒"与"证"，推向可测量、可重复的方向。</w:t>
      </w:r>
    </w:p>
    <w:p>
      <w:pPr>
        <w:pStyle w:val="Heading2"/>
      </w:pPr>
      <w:r>
        <w:t>（二）主要进展亮点</w:t>
      </w:r>
    </w:p>
    <w:p>
      <w:pPr>
        <w:pStyle w:val="Heading3"/>
      </w:pPr>
      <w:r>
        <w:t>1. 顶刊级针灸与中成药循证成果集中产出</w:t>
      </w:r>
    </w:p>
    <w:p>
      <w:r>
        <w:t>本季度针灸研究实现了发表平台的实质跃升：电针治疗难治性带状疱疹后神经痛的随机假电针对照试验发表于JAMA Neurology[375]；电针治疗膝骨关节炎的多中心试验不仅评估症状，更探查关节结构性获益[324]；针刺对急性无先兆偏头痛的即时镇痛亦获单盲假针对照随机试验验证[171]。中成药与中西医结合方面，麝香保心丸IV期亚组分析[675]、益气复脉注射剂多中心随机试验[253]、中西医结合治疗临界冠脉病变的真实世界队列[469]，以及经皮冠状动脉介入（PCI）术后中成药的网状Meta分析[387]，共同构成了一批高级别、可被国际同行检视的临床证据。</w:t>
      </w:r>
    </w:p>
    <w:p>
      <w:pPr>
        <w:pStyle w:val="Heading3"/>
      </w:pPr>
      <w:r>
        <w:t>2. 肠道菌群从"伴随现象"上升为可干预治疗靶点</w:t>
      </w:r>
    </w:p>
    <w:p>
      <w:r>
        <w:t>菌群研究的重心正从"观察到菌群变化"转向"以菌群为靶点实现治疗"。医用植物异黄酮及其菌群代谢物S-equol可改善射血分数保留型心衰的舒张功能与代谢紊乱[38]，黄芩汤通过重建菌群稳态缓解结肠炎[669]，双氢青蒿素靶向巨噬细胞代谢、促进炎症性肠病黏膜愈合[659]，人参活性成分则作为"肠-脑轴"调节剂干预多因素疾病[205]，并已出现菌群与临床结局关联的循证综合[330]。值得注意的是，这些工作大多给出了具体的功能性代谢物或信号通路线索（如S-equol及相关代谢轴），而非泛泛的"菌群紊乱被纠正"，使"调菌群"从模糊概念转化为具备明确分子抓手的可操作干预策略。</w:t>
      </w:r>
    </w:p>
    <w:p>
      <w:pPr>
        <w:pStyle w:val="Heading3"/>
      </w:pPr>
      <w:r>
        <w:t>3. 中药定量安全科学与人源模型平台兴起</w:t>
      </w:r>
    </w:p>
    <w:p>
      <w:r>
        <w:t>研究不再默认"天然即安全"：锦灯笼果与宿萼提取物的发育、心脏毒性在斑马鱼模型中被定量并锁定关键毒性成分[54]，千里光宁的肝毒性以PBPK反向剂量学建立定量预测[55]。与此同时，人源iPSC肝类器官提示五味子乙素经GPX4轴抑制对乙酰氨基酚所致铁死亡[673]，为现有解毒手段之外的中药来源肝保护候选提供了人源证据。</w:t>
      </w:r>
    </w:p>
    <w:p>
      <w:pPr>
        <w:pStyle w:val="Heading3"/>
      </w:pPr>
      <w:r>
        <w:t>4. 证候客观化与人工智能方法升级</w:t>
      </w:r>
    </w:p>
    <w:p>
      <w:r>
        <w:t>表观遗传标志物首次用于中医证候的精准刻画[97]，回应了"证候难以测量"的长期质疑；人工智能也从单一体征客观化升级为异质图学习驱动的中药小分子优先级排序[96]，并延伸至中药材种植与质控全链条[64]。</w:t>
      </w:r>
    </w:p>
    <w:p>
      <w:pPr>
        <w:pStyle w:val="Heading2"/>
      </w:pPr>
      <w:r>
        <w:t>（三）存在的问题与挑战</w:t>
      </w:r>
    </w:p>
    <w:p>
      <w:pPr>
        <w:pStyle w:val="Heading3"/>
      </w:pPr>
      <w:r>
        <w:t>1. 高质量临床证据仍稀缺，且质量分层明显</w:t>
      </w:r>
    </w:p>
    <w:p>
      <w:r>
        <w:t>顶刊级原始随机对照试验数量有限，更多研究为系统评价与网状Meta分析。后者结论高度依赖纳入研究的质量，存在把"汇总证据"误读为"高质量证据"的风险[387][617][415]，亟需更多设计严谨、大样本、多中心的原始试验。</w:t>
      </w:r>
    </w:p>
    <w:p>
      <w:pPr>
        <w:pStyle w:val="Heading3"/>
      </w:pPr>
      <w:r>
        <w:t>2. 机制研究同质化，因果验证与转化不足</w:t>
      </w:r>
    </w:p>
    <w:p>
      <w:r>
        <w:t>本季度约106篇属网络药理学、分子对接、分子动力学等常规机制研究（约占有效文献的14%），多停留于关联性预测，缺乏人源模型与体内因果验证，向临床实践或新产品的转化路径仍不通畅。</w:t>
      </w:r>
    </w:p>
    <w:p>
      <w:pPr>
        <w:pStyle w:val="Heading3"/>
      </w:pPr>
      <w:r>
        <w:t>3. 新范式尚处早期，标准化与可重复性待解</w:t>
      </w:r>
    </w:p>
    <w:p>
      <w:r>
        <w:t>证候分子客观化[97]、人源类器官与器官芯片[673]等具有范式潜力的方向仍属个案与试点，缺乏统一标准、规模化样本与跨中心可重复性验证，距离形成可推广的方法学体系尚有距离。</w:t>
      </w:r>
    </w:p>
    <w:p>
      <w:pPr>
        <w:pStyle w:val="Heading1"/>
      </w:pPr>
      <w:r>
        <w:t>二、最新研究动态</w:t>
      </w:r>
    </w:p>
    <w:p>
      <w:pPr>
        <w:pStyle w:val="Heading2"/>
      </w:pPr>
      <w:r>
        <w:t>（一）基础研究领域</w:t>
      </w:r>
    </w:p>
    <w:p>
      <w:r>
        <w:t>本季度基础研究紧扣心脑血管、肿瘤、代谢与自身免疫等重大需求，呈现"机制研究向人源验证迁移、单体与菌群并重、资源端发力"的态势。</w:t>
      </w:r>
    </w:p>
    <w:p>
      <w:pPr>
        <w:pStyle w:val="Heading3"/>
      </w:pPr>
      <w:r>
        <w:t>1. 铁死亡作为可成药"汇聚靶点"的多病种验证</w:t>
      </w:r>
    </w:p>
    <w:p>
      <w:r>
        <w:t>铁死亡是本季度最具汇聚性的可成药节点，在多个互不相关的病种中被反复验证。研究系统梳理了中药靶向铁死亡干预肝癌的信号通路[100]，并综述其在脑缺血再灌注损伤中的神经保护价值[93]；在骨科领域，六味地黄汤经抑制TRPA1介导的软骨终板铁死亡延缓椎间盘退变[128]，当归拈痛汤则通过诱导自噬减轻髓核细胞衰老与凋亡[115]；在变态反应领域，消风宣窍汤经抑制中性粒细胞胞外陷阱（NETs）缓解过敏性鼻炎[129]。铁死亡正成为连接"清热解毒""活血化瘀""补肾填精"等不同治则的统一分子语言。这种"同一机制、多个适应症"的格局具有重要的研发含义：未来或可围绕铁死亡这一共同节点，对多个中医优势病种实施平台化、模块化的药物开发与复方优化，从而把分散的单病种研究整合为可复用的机制框架。</w:t>
      </w:r>
    </w:p>
    <w:p>
      <w:pPr>
        <w:pStyle w:val="Heading3"/>
      </w:pPr>
      <w:r>
        <w:t>2. 活性单体的"老分子、新机制"再发掘</w:t>
      </w:r>
    </w:p>
    <w:p>
      <w:r>
        <w:t>与复方研究并行，单一活性分子的机制再发掘明显升温，且趋向高分辨的靶点级证据。从堇菜分离的环肽Vdif A经调控CKS2抑制非小细胞肺癌[84]，桦木酸（betulinic acid）的抗炎与抗肿瘤应用被系统梳理[81]，环烯醚萜类在肝病中的分子机制[24]、萜类化合物干预代谢相关脂肪性肝病（MASLD）的多靶点路径[29]亦被深入归纳。这类研究的价值在于把"粗提物有效"细化到"特定分子—特定靶点"，为新药转化提供更清晰的起点。这一趋势也意味着，中药研究正在同时沿"复方整体调节"与"单体精准成药"两条路径并行推进，后者更易对接现代药物研发与知识产权体系。</w:t>
      </w:r>
    </w:p>
    <w:p>
      <w:pPr>
        <w:pStyle w:val="Heading3"/>
      </w:pPr>
      <w:r>
        <w:t>3. 肠道菌群作为可干预治疗靶点的机制深描</w:t>
      </w:r>
    </w:p>
    <w:p>
      <w:r>
        <w:t>菌群研究从结构描述走向功能干预。异黄酮/S-equol改善心衰[38]、黄芩汤重塑菌群缓解结肠炎[669]、双氢青蒿素经代谢重编程促肠黏膜愈合[659]、人参经肠-脑轴发挥作用[205]之外，多糖类成分的"结构—菌群"构效关系受到关注，如肉苁蓉多糖的结构、菌群调节与炮制特性被系统归纳[37]，白蚕花水提物经肠黏膜菌群介导通路缓解放射性肠炎[18]，石斛多糖的提取与生物活性亦被综述[52]。菌群由此从"伴随现象"转变为可设计、可干预的治疗节点。多糖类成分在其中尤其值得关注——它们分子量大、难以被传统"成分-靶点"框架直接解释，却可经肠道菌群发酵转化为具活性的小分子代谢物，正成为连接"药材—菌群—宿主"三者的关键物质载体，也为长期被视为"机制不清"的补益类药材提供了新的解释路径。</w:t>
      </w:r>
    </w:p>
    <w:p>
      <w:pPr>
        <w:pStyle w:val="Heading3"/>
      </w:pPr>
      <w:r>
        <w:t>4. 植物源囊泡与工程化载体重塑给药范式</w:t>
      </w:r>
    </w:p>
    <w:p>
      <w:r>
        <w:t>递送研究向"植物源生物载体 + 精准靶向"升级。工程化枸杞源细胞外囊泡样纳米粒可递送miR167a-5p、调控线粒体动力学以缓解骨质疏松[70]；面向脑部疾病的中药活性成分纳米递送策略被系统梳理[109]；药用植物源纳米囊泡被用于皮肤递送[5]；分级结构的植物源中药水凝胶贴片则用于促进创面愈合[110]。中药制剂正从"溶解度增效"迈向"病理机制导向的智能递送"。</w:t>
      </w:r>
    </w:p>
    <w:p>
      <w:pPr>
        <w:pStyle w:val="Heading3"/>
      </w:pPr>
      <w:r>
        <w:t>5. 合成生物学与分子育种保障稀缺药材"可持续供给"</w:t>
      </w:r>
    </w:p>
    <w:p>
      <w:r>
        <w:t>资源端研究从田间延伸到基因与细胞工厂。药用植物分子育种取得进展[1]，面向增强生物制造的合成生物学受到关注[3]，发酵（炮制）的精准调控被系统总结[9]，并出现以合成生物学拯救濒危药用兰科、实现活性成分异源生产的探索[50]。同时，抗逆与品质协同的分子机制被解析，如丹参SmGA2ox4基因可同时改善耐盐性与丹参酮积累[14]；逆境转录组[6]与根际菌群-水分调控提升药材产量的农艺策略[11]，共同指向"稳产、稳质"的可持续供给。</w:t>
      </w:r>
    </w:p>
    <w:p>
      <w:pPr>
        <w:pStyle w:val="Heading3"/>
      </w:pPr>
      <w:r>
        <w:t>6. 中药毒性研究进入"定量、可预测"时代</w:t>
      </w:r>
    </w:p>
    <w:p>
      <w:r>
        <w:t>安全研究出现方法学跃升：千里光宁的肝毒性经线粒体凋亡机制阐明，并以PBPK反向剂量学建立从体外到体内的定量风险预测框架[55]；锦灯笼提取物的发育与心脏毒性在斑马鱼模型中被定量评估并定位关键毒性成分[54]。毒理学由此从经验性的定性描述，走向剂量—机制—暴露一体化的定量预测。</w:t>
      </w:r>
    </w:p>
    <w:p>
      <w:pPr>
        <w:pStyle w:val="Heading3"/>
      </w:pPr>
      <w:r>
        <w:t>7. 主要瓶颈与待解问题</w:t>
      </w:r>
    </w:p>
    <w:p>
      <w:r>
        <w:t>系统生物学海量数据与中医整体性理论的深度融合仍不充分；多数机制结论局限于细胞与动物模型，向临床转化的可靠性有待大规模验证；菌群领域的因果确认、关键菌株与代谢物鉴定仍存技术瓶颈；人源模型虽具前景，但通量、成本与标准化仍需突破。</w:t>
      </w:r>
    </w:p>
    <w:p>
      <w:pPr>
        <w:pStyle w:val="Heading2"/>
      </w:pPr>
      <w:r>
        <w:t>（二）临床研究领域</w:t>
      </w:r>
    </w:p>
    <w:p>
      <w:r>
        <w:t>本季度临床研究覆盖神经痛、骨关节、心血管、睡眠与精神、肿瘤早筛及消化系统等专科，整体呈现"终点更硬、设计更严、数据来源更多元"的特点。</w:t>
      </w:r>
    </w:p>
    <w:p>
      <w:pPr>
        <w:pStyle w:val="Heading3"/>
      </w:pPr>
      <w:r>
        <w:t>1. 针刺研究的终点正在"升级"：从止痛到结构与功能改善</w:t>
      </w:r>
    </w:p>
    <w:p>
      <w:r>
        <w:t>针刺临床研究的举证标准明显抬高。膝骨关节炎的多中心随机假针对照试验不止评估疼痛与功能评分，更尝试回答"是否带来关节结构性获益"这一更高层级的问题[324]；急性无先兆偏头痛研究聚焦"即时镇痛"这一可被严格设计验证的窗口[171]；耳穴疗法治疗失眠则提供了含随访的随机对照安全性与疗效数据[616]。其共同趋势是把针刺从"对症缓解"推向"功能与结构改善"的可验证终点。这一"终点升级"同时对研究设计提出更高要求：需要影像、客观生物标志物等可量化测量以及更长的随访周期，门槛虽高，却也使针刺疗效更易获得国际同行的认可与复核。</w:t>
      </w:r>
    </w:p>
    <w:p>
      <w:pPr>
        <w:pStyle w:val="Heading3"/>
      </w:pPr>
      <w:r>
        <w:t>2. 中成药大型注册试验与真实世界数据双线推进</w:t>
      </w:r>
    </w:p>
    <w:p>
      <w:r>
        <w:t>中成药证据呈"注册试验 + 真实世界"双线推进。注册试验端，麝香保心丸在合并估算肾小球滤过率下降的稳定型冠心病人群完成IV期多中心双盲安慰剂对照试验亚组分析[675]，益气复脉冻干粉针以BNP为客观终点完成急性失代偿缺血性心衰的多中心、盲终点试验[253]。真实世界端，纳入15家医院、1282例的多中心前瞻队列比较了中西医结合与单纯西医治疗临界冠脉病变的有效性与安全性[469]，弥补了随机试验在长期、整合场景下的证据缺口。</w:t>
      </w:r>
    </w:p>
    <w:p>
      <w:pPr>
        <w:pStyle w:val="Heading3"/>
      </w:pPr>
      <w:r>
        <w:t>3. 整合医学在心血管与肿瘤早筛中的证据落点</w:t>
      </w:r>
    </w:p>
    <w:p>
      <w:r>
        <w:t>中西医结合的临床价值在具体场景中被进一步锚定。心血管领域，PCI术后多种中成药的相对效力经网状Meta分析获得系统比较与排序[387]，为术后二级预防的用药选择提供依据；肿瘤早筛领域，基于中医临床症状联合影像特征构建的肺部磨玻璃结节进展风险模型，体现了"辨证 + 影像"的整合分层思路，指向更精细的早期干预决策[101]。这类模型的意义在于把"辨证"从主观经验转化为可量化、可复核的风险分层依据，从而有望嵌入现有的肺结节早筛随访流程，让中医的整体判断在现代诊疗路径中获得可操作的落点。</w:t>
      </w:r>
    </w:p>
    <w:p>
      <w:pPr>
        <w:pStyle w:val="Heading3"/>
      </w:pPr>
      <w:r>
        <w:t>4. 网状Meta分析为"非药物疗法"提供横向效力排序</w:t>
      </w:r>
    </w:p>
    <w:p>
      <w:r>
        <w:t>针对非药物疗法效力不清的现状，多项网状Meta分析给出横向比较：包括非药物干预（含针灸）在2型糖尿病共病抑郁中的相对效力[617]、在物质使用障碍人群焦虑抑郁与生活质量上的效果[415]，以及中草药/天然产物对接受质子泵抑制剂方案患者菌群与临床结局的影响[330]。这类综合为临床决策提供了"谁更优"的排序参考，但结论可靠性仍受纳入研究质量制约。</w:t>
      </w:r>
    </w:p>
    <w:p>
      <w:pPr>
        <w:pStyle w:val="Heading3"/>
      </w:pPr>
      <w:r>
        <w:t>5. 临床证据的薄弱环节</w:t>
      </w:r>
    </w:p>
    <w:p>
      <w:r>
        <w:t>研究方法学规范性仍参差，部分研究存在偏倚风险，需要更多严谨的大样本、多中心原始试验；机制发现与辨证论治、方证对应的有机结合尚浅；针灸罕见不良事件与中药潜在相互作用的上市后监测体系有待加强；国际化所需的标准与高水平合作研究仍需推进。</w:t>
      </w:r>
    </w:p>
    <w:p>
      <w:pPr>
        <w:pStyle w:val="Heading2"/>
      </w:pPr>
      <w:r>
        <w:t>（三）前沿技术与方法学</w:t>
      </w:r>
    </w:p>
    <w:p>
      <w:r>
        <w:t>本季度方法学呈现"常规计算范式仍占多数、人源模型与AI决策快速崛起"的双线格局。</w:t>
      </w:r>
    </w:p>
    <w:p>
      <w:pPr>
        <w:pStyle w:val="Heading3"/>
      </w:pPr>
      <w:r>
        <w:t>1. 人工智能：从"看图识证"转向"决策与产业链优化"</w:t>
      </w:r>
    </w:p>
    <w:p>
      <w:r>
        <w:t>人工智能的应用层级明显上移。在研发决策端，异质图学习（Metapath2vec结合注意力机制）被用于胃癌中药小分子的优先级排序，从简单的"成分—靶点"映射转向更复杂的候选筛选决策[96]；在产业端，AI驱动技术被系统性引入中药材种植与质量控制全链条[64]；在临床端，机器学习与影像、症状特征融合用于肺部磨玻璃结节的风险分层[101]。AI正从"客观化单一体征"扩展为贯穿研发—生产—诊疗的决策工具。</w:t>
      </w:r>
    </w:p>
    <w:p>
      <w:pPr>
        <w:pStyle w:val="Heading3"/>
      </w:pPr>
      <w:r>
        <w:t>2. 多组学整合：仍是主流，但价值正从"关联"转向"因果"</w:t>
      </w:r>
    </w:p>
    <w:p>
      <w:r>
        <w:t>"成分—靶点—通路—疾病"的多维整合仍是阐释复方机制的核心范式（本季度此类研究约106篇），并广泛与转录组、代谢组、菌群组联用，如靶向铁死亡的肝癌机制解析[100]。但该范式高产而同质，其下一步价值取决于能否从"相关性预测"走向"因果性确证"，这也正是人源模型介入的切入点。换言之，多组学不再被期待"独立给出答案"，而是更多承担假设生成器的角色，与人源类器官、基因编辑、活体成像等验证手段组成"预测—验证"闭环，唯有如此才能把海量关联收敛为少数可信的关键靶点与通路。</w:t>
      </w:r>
    </w:p>
    <w:p>
      <w:pPr>
        <w:pStyle w:val="Heading3"/>
      </w:pPr>
      <w:r>
        <w:t>3. 网状Meta分析推动疗效证据的标准化排序</w:t>
      </w:r>
    </w:p>
    <w:p>
      <w:r>
        <w:t>循证方法持续深化，网状Meta分析被用于比较中成药降低PCI术后不良事件的效力谱[387]、非药物干预在精神共病[617]与物质使用障碍[415]中的相对效力，以及中草药对菌群与临床结局的影响[330]，推动疗效评价从"单点验证"走向"横向排序"的标准化。</w:t>
      </w:r>
    </w:p>
    <w:p>
      <w:pPr>
        <w:pStyle w:val="Heading3"/>
      </w:pPr>
      <w:r>
        <w:t>4. 分析技术走向空间分辨、原位与风险预警</w:t>
      </w:r>
    </w:p>
    <w:p>
      <w:r>
        <w:t>质量与分析技术向"空间化、原位化、预警化"演进。解吸电喷雾电离质谱成像（DESI-MSI）实现天然药物的原位空间生物分子分析[17]；多技术集成策略用于药食两用植物的真菌毒素风险评估与早期预警[16]；面向产品端，速溶颗粒的风味与溶解度被纳入统一的仪器分析框架[31]。中药质控正从"指纹图谱"迈向"空间与智能感知"，并越来越强调对真菌毒素、重金属等外源性风险的前置预警，而非仅做事后检测。</w:t>
      </w:r>
    </w:p>
    <w:p>
      <w:pPr>
        <w:pStyle w:val="Heading3"/>
      </w:pPr>
      <w:r>
        <w:t>5. 人源类器官与表观遗传：评价范式的"换基座"</w:t>
      </w:r>
    </w:p>
    <w:p>
      <w:r>
        <w:t>最具前瞻性的变化是评价基座的更替。人源iPSC肝类器官被用于中药肝保护与抗铁死亡评价[673]，转基因荧光斑马鱼被用于照亮中药作用"黑箱"[112]，PBPK反向剂量学建立体外到体内的定量毒性预测[55]，基于细胞外囊泡DNA表观遗传标志物的证候精准诊断[97]亦初现端倪。这些工具共同预示着对纯计算范式的逐步补充与替代。若这些人源平台能在通量与标准化上取得突破，中医药的药效与安全评价有望摆脱对动物模型与计算预测的单一依赖，转而建立更接近临床真实、且可跨实验室复现的证据链——这或将成为继多组学整合之后，方法学层面最值得期待的下一步。</w:t>
      </w:r>
    </w:p>
    <w:p>
      <w:pPr>
        <w:pStyle w:val="Heading3"/>
      </w:pPr>
      <w:r>
        <w:t>6. 方法学层面的关键制约</w:t>
      </w:r>
    </w:p>
    <w:p>
      <w:r>
        <w:t>数据异构与术语、标准缺失制约着AI模型的泛化与可靠性；多组学研究的因果推断仍困难、验证不足；人源模型的通量、成本与标准化待解；先进检测与分析技术的成本和操作复杂度，也限制了其在基层与产业一线的推广普及。</w:t>
      </w:r>
    </w:p>
    <w:p>
      <w:pPr>
        <w:pStyle w:val="Heading1"/>
      </w:pPr>
      <w:r>
        <w:t>参考文献（共49篇）</w:t>
      </w:r>
    </w:p>
    <w:p>
      <w:r>
        <w:t>[1] Advances in molecular breeding of medicinal plants. Wang, YQ 等. 2026. Molecular Horticulture.</w:t>
      </w:r>
    </w:p>
    <w:p>
      <w:r>
        <w:t>[3] Editorial: Biofabrication and synthetic biology for enhanced medicinal plant bioproduction. Ahmad, Z 等. 2026. Frontiers In Plant Science.</w:t>
      </w:r>
    </w:p>
    <w:p>
      <w:r>
        <w:t>[5] Medicinal plant-derived nanovesicles for skin delivery: A natural biovector for therapeutics and cosmetics. Coeurvolan, A 等. 2026. Journal Of Controlled Release.</w:t>
      </w:r>
    </w:p>
    <w:p>
      <w:r>
        <w:t>[6] Integrated transcriptomic analysis reveals transcriptional changes associated with begomovirus infection in the medicinal plant Emilia sonchifolia. Wang, DD 等. 2026. Frontiers In Plant Science.</w:t>
      </w:r>
    </w:p>
    <w:p>
      <w:r>
        <w:t>[9] Fermentation of medicinal plant materials: Typical styles, precise controls, and new opportunities for phytomedicine development. Zhao, WY 等. 2026. Industrial Crops And Products.</w:t>
      </w:r>
    </w:p>
    <w:p>
      <w:r>
        <w:t>[11] Rhizobacteria-induced soil biochemical and hydrological modifications improve medicinal plant productivity under water deficit and elevated CO2. Yan, WH 等. 2026. Agricultural Water Management.</w:t>
      </w:r>
    </w:p>
    <w:p>
      <w:r>
        <w:t>[14] SmGA2ox4 plays a positive role in improving the salt tolerance and tanshinone accumulation of Salvia miltiorrhiza. Zeng, SJ 等. 2026. Horticulture Research.</w:t>
      </w:r>
    </w:p>
    <w:p>
      <w:r>
        <w:t>[16] A collaborative strategy of multi-technology integration for mycotoxin risk assessment and early warning in edible and medicinal plants. Fang, L 等. 2026. Phytomedicine.</w:t>
      </w:r>
    </w:p>
    <w:p>
      <w:r>
        <w:t>[17] DESI-MSI applications for direct (spatial) biomolecular analysis of South African natural medicinal products. Mohlamonyane, KN 等. 2026. Frontiers In Plant Science.</w:t>
      </w:r>
    </w:p>
    <w:p>
      <w:r>
        <w:t>[18] Altered intestinal mucosal microbiota mediated pathways in cancer signaling pathway provide new insight in Bai Canhua aqueous extract for radiation-induced enteritis. Liu, TH 等. 2026. Chemical And Biological Technologies In Agriculture.</w:t>
      </w:r>
    </w:p>
    <w:p>
      <w:r>
        <w:t>[24] Iridoids in liver diseases: Mechanistic insights and molecular mechanism. Dogra, SS 等. 2026. Journal Of Integrative Medicine-Jim.</w:t>
      </w:r>
    </w:p>
    <w:p>
      <w:r>
        <w:t>[29] Terpenoids in the management of MASLD: Multi-target mechanisms, therapeutic potential, and future perspectives. Huang, CZ 等. 2026. Pharmacological Research.</w:t>
      </w:r>
    </w:p>
    <w:p>
      <w:r>
        <w:t>[31] A Comprehensive Instrumental Analysis Framework for Assessing the Dissolvability and Taste Properties of Plant Extract Instant Granules. Ma, X 等. 2026. Foods.</w:t>
      </w:r>
    </w:p>
    <w:p>
      <w:r>
        <w:t>[37] Comprehensive review on Cistanche polysaccharides: Structure, gut microbiota and processing characteristics. Fan, J 等. 2026. International Journal Of Biological Macromolecules.</w:t>
      </w:r>
    </w:p>
    <w:p>
      <w:r>
        <w:t>[38] Reconstitution of gut microbiota by medicinal plant isoflavones ameliorates heart failure with preserved ejection fraction. Lin, JH 等. 2026. Pharmacological Research.</w:t>
      </w:r>
    </w:p>
    <w:p>
      <w:r>
        <w:t>[50] Synthetic biology as a game-changer for endangered medicinal orchids: biosynthesis, engineering and conservation. Qiu, L 等. 2026. Natural Product Reports.</w:t>
      </w:r>
    </w:p>
    <w:p>
      <w:r>
        <w:t>[52] A Review of Extraction, Structural Properties, Biological Activities of Dendrobium chrysotoxum Polysaccharides. Zhang, XS 等. 2026. Food Science &amp; Nutrition.</w:t>
      </w:r>
    </w:p>
    <w:p>
      <w:r>
        <w:t>[54] Acute developmental toxicity and cardiotoxicity of Physalis alkekengi L. fruit and calyx extracts based on zebrafish (Danio rerio) model. Zhou, ZS 等. 2026. Journal Of Ethnopharmacology.</w:t>
      </w:r>
    </w:p>
    <w:p>
      <w:r>
        <w:t>[55] Seneciphylline induces hepatotoxicity through mitochondrial apoptosis: mechanistic elucidation and in vitro-to-in vivo prediction via physiologically based pharmacokinetic modeling-facilitated reverse dosimetry. Lu, YS 等. 2026. Chemico-Biological Interactions.</w:t>
      </w:r>
    </w:p>
    <w:p>
      <w:r>
        <w:t>[64] Empowering Chinese medicinal agriculture through AI-driven technologies: A comprehensive review. Zhang, TT 等. 2026. Artificial Intelligence In Agriculture.</w:t>
      </w:r>
    </w:p>
    <w:p>
      <w:r>
        <w:t>[70] Engineered bone-targeting Lycium barbarum L.-derived extracellular vesicle-like nanoparticles deliver miR167a-5p to regulate mitochondrial dynamics and metabolic reprogramming in alleviating osteoporosis. Chen, S 等. 2026. Materials Today Bio.</w:t>
      </w:r>
    </w:p>
    <w:p>
      <w:r>
        <w:t>[81] Research advances in the application of betulinic acid for anti-inflammatory and anti-tumour therapy. Chu, ZW 等. 2026. Chinese Medicine.</w:t>
      </w:r>
    </w:p>
    <w:p>
      <w:r>
        <w:t>[84] Characterization of cyclotide Vdif A from Viola diffusa inhibits non-small cell lung cancer cells via regulation of CKS2. He, FW 等. 2026. Phytomedicine.</w:t>
      </w:r>
    </w:p>
    <w:p>
      <w:r>
        <w:t>[93] Progress of Traditional Chinese Medicine in Targeting Ferroptosis to Combat Cerebral Ischemia-Reperfusion Injury. Li, JH 等. 2026. American Journal Of Chinese Medicine.</w:t>
      </w:r>
    </w:p>
    <w:p>
      <w:r>
        <w:t>[96] Metapath2vec and attention-driven heterogeneous graph learning for prioritizing TCM-derived small molecules in gastric cancer. Sheng, NQ 等. 2026. Chinese Medicine.</w:t>
      </w:r>
    </w:p>
    <w:p>
      <w:r>
        <w:t>[97] Epigenetic precision diagnostics of traditional Chinese medicine (TCM) syndrome differentiation: a pilot study of atrial fibrillation with qi-yin deficiency syndrome based on 5-hydroxymethylcytosine signatures in extracellular vesicle DNA from plasma. Fan, SW 等. 2026. Chinese Medicine.</w:t>
      </w:r>
    </w:p>
    <w:p>
      <w:r>
        <w:t>[100] Role of traditional Chinese medicine in ferroptosis of liver cancer: Focus on signaling pathways. Yang, X 等. 2026. Phytomedicine.</w:t>
      </w:r>
    </w:p>
    <w:p>
      <w:r>
        <w:t>[101] A progression risk assessment model for pulmonary ground-glass nodules based on traditional Chinese medicine clinical symptoms combined with imaging. Maolan, A 等. 2026. Journal Of Integrative Medicine-Jim.</w:t>
      </w:r>
    </w:p>
    <w:p>
      <w:r>
        <w:t>[109] Nanotechnology for efficient delivery of TCM active ingredients in treating brain diseases. Yang, YT 等. 2026. Materials Today Bio.</w:t>
      </w:r>
    </w:p>
    <w:p>
      <w:r>
        <w:t>[110] Hierarchical Plant-Derived Chinese Herbal Hydrogel Patches for Wound Healing. Zhu, XY 等. 2026. Advanced Healthcare Materials.</w:t>
      </w:r>
    </w:p>
    <w:p>
      <w:r>
        <w:t>[112] Illuminating the black box of traditional Chinese medicine: The pivotal role of transgenic fluorescent zebrafish. Yu, HC 等. 2026. Journal Of Ethnopharmacology.</w:t>
      </w:r>
    </w:p>
    <w:p>
      <w:r>
        <w:t>[115] DangGui NianTong Decoction attenuates intervertebral disc degeneration by mitigating nucleus pulposus cell senescence and apoptosis through autophagy induction. Yan, X 等. 2026. Phytomedicine.</w:t>
      </w:r>
    </w:p>
    <w:p>
      <w:r>
        <w:t>[128] Liuwei dihuang decoction attenuates intervertebral disc degeneration by inhibiting TRPA1-Mediated ferroptosis in endplate chondrocytes. Xu, R 等. 2026. Frontiers In Cell And Developmental Biology.</w:t>
      </w:r>
    </w:p>
    <w:p>
      <w:r>
        <w:t>[129] Xiao-Feng Xuan-Qiao decoction alleviates allergic rhinitis by inhibiting neutrophil extracellular trap formation. Li, T 等. 2026. Phytomedicine.</w:t>
      </w:r>
    </w:p>
    <w:p>
      <w:r>
        <w:t>[171] Acupuncture for acute treatment of migraine without aura: A randomized clinical trial. Deng, YZ 等. 2026. Headache.</w:t>
      </w:r>
    </w:p>
    <w:p>
      <w:r>
        <w:t>[205] Ginseng Bioactive Components as Gut-Brain Axis-Targeted Modulators: Therapeutic Potential and Mechanisms in Multifactorial Diseases. Liu, SL 等. 2026. Nutrients.</w:t>
      </w:r>
    </w:p>
    <w:p>
      <w:r>
        <w:t>[253] Effect of Yiqi Fumai lyophilized injection on B-type natriuretic peptide levels in patients with acute decompensated ischemic heart failure: a multicenter, open-label, blinded-outcome, randomized controlled trial. Wang, XL 等. 2026. Phytomedicine.</w:t>
      </w:r>
    </w:p>
    <w:p>
      <w:r>
        <w:t>[324] Electroacupuncture for knee osteoarthritis: a multicentre randomised controlled trial assessing symptomatic and structural. Hang, MH 等. 2026. Eclinicalmedicine.</w:t>
      </w:r>
    </w:p>
    <w:p>
      <w:r>
        <w:t>[330] Effects of Herbal and Natural Product Interventions on Gut Microbiota and Clinical Outcomes in Patients Receiving PPI-Containing Therapy: A Systematic Review and Meta-Analysis. Hwang, JH 等. 2026. Nutrients.</w:t>
      </w:r>
    </w:p>
    <w:p>
      <w:r>
        <w:t>[375] Effect of Electroacupuncture on Postherpetic Neuralgia A Randomized Clinical Trial. Chen, L 等. 2026. Jama Neurology.</w:t>
      </w:r>
    </w:p>
    <w:p>
      <w:r>
        <w:t>[387] Comparative efficacy and safety of Chinese patent medicines in coronary heart disease patients after percutaneous coronary intervention: A systematic review and network meta-analysis. Wang, AL 等. 2026. Journal Of Ethnopharmacology.</w:t>
      </w:r>
    </w:p>
    <w:p>
      <w:r>
        <w:t>[415] Comparative effects of non-pharmacological interventions on anxiety, depression and quality of life in individuals with substance use disorders: A systematic review and network meta-analysis. Luo, HR 等. 2026. Journal Of Affective Disorders.</w:t>
      </w:r>
    </w:p>
    <w:p>
      <w:r>
        <w:t>[469] Real-world applications of integrated traditional Chinese and Western medicine in patients with intermediate coronary lesions: Insights from a multicenter observational cohort study. Wang, XY 等. 2026. Phytomedicine.</w:t>
      </w:r>
    </w:p>
    <w:p>
      <w:r>
        <w:t>[616] Efficacy and safety of auriculotherapy for insomnia disorder: A randomized controlled trial. Chen, H 等. 2026. Journal Of Integrative Medicine-Jim.</w:t>
      </w:r>
    </w:p>
    <w:p>
      <w:r>
        <w:t>[617] Efficacy of non-pharmacological therapies on depression, anxiety, and glycemic control in type 2 diabetes: A systematic review and network meta-analysis. Zheng, MY 等. 2026. General Hospital Psychiatry.</w:t>
      </w:r>
    </w:p>
    <w:p>
      <w:r>
        <w:t>[659] Dihydroartemisinin facilitates intestinal mucosal healing in inflammatory bowel disease by targeting 11βHSD-1 to reprogram macrophage metabolism. Du, Xinke 等. 2026. Phytomedicine.</w:t>
      </w:r>
    </w:p>
    <w:p>
      <w:r>
        <w:t>[669] Restoring gut microbiota homeostasis to ameliorate colitis via Huangqin decoction. Pan, Yehua 等. 2026. Phytomedicine.</w:t>
      </w:r>
    </w:p>
    <w:p>
      <w:r>
        <w:t>[673] Schisandrin B alleviates APAP-induced hepatocyte ferroptosis via the GPX4 axis: Insights from human iPSC-derived hepatic organoids and rat models. Tang, Zhuqian 等. 2026. Phytomedicine.</w:t>
      </w:r>
    </w:p>
    <w:p>
      <w:r>
        <w:t>[675] Shexiang Baoxin pill in patients with stable coronary artery disease and reduced eGFR: Subgroup analysis of phase IV randomized trial. Zhou, Jingmin 等. 2026. Phytomedicine.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