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7BD478">
      <w:pPr>
        <w:spacing w:before="120" w:after="120"/>
        <w:jc w:val="center"/>
      </w:pPr>
      <w:r>
        <w:rPr>
          <w:rFonts w:ascii="宋体" w:hAnsi="宋体" w:eastAsia="宋体"/>
          <w:b/>
          <w:sz w:val="32"/>
        </w:rPr>
        <w:t>中医药领域大语言模型评测研究：基准构建、能力评价与未来发展</w:t>
      </w:r>
    </w:p>
    <w:p w14:paraId="7CAC912C">
      <w:pPr>
        <w:spacing w:before="40" w:after="40"/>
        <w:ind w:firstLine="0"/>
        <w:jc w:val="both"/>
      </w:pPr>
      <w:r>
        <w:rPr>
          <w:rFonts w:ascii="宋体" w:hAnsi="宋体" w:eastAsia="宋体"/>
          <w:b/>
          <w:sz w:val="24"/>
        </w:rPr>
        <w:t>摘要：随着大语言模型（large language models，LLMs）在医疗健康领域的应用不断扩展，其在中医药领域的评测研究已成为人工智能与医学交叉的活跃方向。方法上，本文检索Web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14:paraId="3BAA800E">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14:paraId="120D7A88">
      <w:pPr>
        <w:spacing w:before="120" w:after="60"/>
      </w:pPr>
      <w:r>
        <w:rPr>
          <w:rFonts w:ascii="宋体" w:hAnsi="宋体" w:eastAsia="宋体"/>
          <w:b/>
          <w:sz w:val="28"/>
        </w:rPr>
        <w:t>1. 引言</w:t>
      </w:r>
    </w:p>
    <w:p w14:paraId="76FC5F5D">
      <w:pPr>
        <w:spacing w:before="20" w:after="20"/>
        <w:ind w:firstLine="425"/>
        <w:jc w:val="both"/>
      </w:pPr>
      <w:r>
        <w:rPr>
          <w:rFonts w:ascii="宋体" w:hAnsi="宋体" w:eastAsia="宋体"/>
          <w:b w:val="0"/>
          <w:sz w:val="24"/>
        </w:rPr>
        <w:t>大语言模型具备较强的自然语言理解、生成与推理能力，已在医疗健康领域的咨询、辅助决策与知识获取中得到应用。中医药学根植于中国古代哲学，辨证论治讲求望闻问切、四诊合参，思维方式偏重整体与经验，与以循证为主导的现代西医诊断逻辑差异明显。在此背景下，大语言模型能否真正掌握中医药知识、能否依循中医逻辑完成推理，并在临床辅助与教育场景中安全有效地使用，是亟待回答的科学问题。</w:t>
      </w:r>
    </w:p>
    <w:p w14:paraId="7A0DA471">
      <w:pPr>
        <w:spacing w:before="20" w:after="20"/>
        <w:ind w:firstLine="425"/>
        <w:jc w:val="both"/>
      </w:pPr>
      <w:r>
        <w:rPr>
          <w:rFonts w:ascii="宋体" w:hAnsi="宋体" w:eastAsia="宋体"/>
          <w:b w:val="0"/>
          <w:sz w:val="24"/>
        </w:rPr>
        <w:t>近年的相关研究大致沿三条路径展开：一是构建贴合中医药特点的评测基准与数据集，二是评估并比较各类大语言模型在中医药任务上的表现，三是开发面向具体中医场景的专用系统并检验其效果。已有综述多侧重大语言模型在中医药领域的调优技术与应用概览[1]，或着眼于中西医结合的宏观判断[2]，对评测研究这一环节仍缺乏系统梳理。</w:t>
      </w:r>
    </w:p>
    <w:p w14:paraId="369C4C24">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14:paraId="63C12477">
      <w:r>
        <w:t>2. 资料与方法</w:t>
      </w:r>
    </w:p>
    <w:p w14:paraId="7367340E">
      <w:r>
        <w:t>2.1 文献检索策略</w:t>
      </w:r>
    </w:p>
    <w:p w14:paraId="06B51559">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14:paraId="235C675F">
      <w:r>
        <w:t>2.2 文献筛选与纳入</w:t>
      </w:r>
    </w:p>
    <w:p w14:paraId="015725D8">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此外，引言与讨论部分另引用了少量奠基性文献与相关标准用于背景铺垫和方法学论证，此类叙述性引用不属于上述检索与筛选范围，亦不计入图1的流程统计。</w:t>
      </w:r>
    </w:p>
    <w:p w14:paraId="5387D1E2">
      <w:pPr>
        <w:jc w:val="center"/>
      </w:pPr>
      <w:r>
        <w:rPr>
          <w:b/>
        </w:rPr>
        <w:drawing>
          <wp:inline distT="0" distB="0" distL="114300" distR="114300">
            <wp:extent cx="5578475" cy="4751070"/>
            <wp:effectExtent l="0" t="0" r="3175" b="11430"/>
            <wp:docPr id="1" name="图片 1" descr="未命名绘图-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未命名绘图-图1 PRISMA"/>
                    <pic:cNvPicPr>
                      <a:picLocks noChangeAspect="1"/>
                    </pic:cNvPicPr>
                  </pic:nvPicPr>
                  <pic:blipFill>
                    <a:blip r:embed="rId6"/>
                    <a:stretch>
                      <a:fillRect/>
                    </a:stretch>
                  </pic:blipFill>
                  <pic:spPr>
                    <a:xfrm>
                      <a:off x="0" y="0"/>
                      <a:ext cx="5578475" cy="4751070"/>
                    </a:xfrm>
                    <a:prstGeom prst="rect">
                      <a:avLst/>
                    </a:prstGeom>
                  </pic:spPr>
                </pic:pic>
              </a:graphicData>
            </a:graphic>
          </wp:inline>
        </w:drawing>
      </w:r>
      <w:r>
        <w:rPr>
          <w:b/>
        </w:rPr>
        <w:t>图1　文献检索与筛选流程（PRISMA）</w:t>
      </w:r>
    </w:p>
    <w:p w14:paraId="54B14227">
      <w:pPr>
        <w:spacing w:before="120" w:after="60"/>
      </w:pPr>
      <w:r>
        <w:rPr>
          <w:rFonts w:ascii="宋体" w:hAnsi="宋体" w:eastAsia="宋体"/>
          <w:b/>
          <w:sz w:val="28"/>
        </w:rPr>
        <w:t>3. 中医药领域大语言模型评测研究现状</w:t>
      </w:r>
    </w:p>
    <w:p w14:paraId="3F743A1B">
      <w:pPr>
        <w:spacing w:before="80" w:after="40"/>
      </w:pPr>
      <w:r>
        <w:rPr>
          <w:rFonts w:ascii="宋体" w:hAnsi="宋体" w:eastAsia="宋体"/>
          <w:b/>
          <w:sz w:val="26"/>
        </w:rPr>
        <w:t>3.1 评测基准的构建进展</w:t>
      </w:r>
    </w:p>
    <w:p w14:paraId="3DAC76E9">
      <w:pPr>
        <w:spacing w:before="20" w:after="20"/>
        <w:ind w:firstLine="425"/>
        <w:jc w:val="both"/>
        <w:rPr>
          <w:rFonts w:hint="eastAsia" w:ascii="宋体" w:hAnsi="宋体" w:eastAsia="宋体"/>
          <w:b w:val="0"/>
          <w:sz w:val="24"/>
          <w:lang w:eastAsia="zh-CN"/>
        </w:rPr>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w:t>
      </w:r>
      <w:r>
        <w:rPr>
          <w:rFonts w:hint="eastAsia" w:ascii="宋体" w:hAnsi="宋体" w:eastAsia="宋体"/>
          <w:b w:val="0"/>
          <w:sz w:val="24"/>
          <w:lang w:eastAsia="zh-CN"/>
        </w:rPr>
        <w:t>。</w:t>
      </w:r>
    </w:p>
    <w:p w14:paraId="762C511A">
      <w:pPr>
        <w:spacing w:before="20" w:after="20"/>
        <w:ind w:firstLine="425"/>
        <w:jc w:val="both"/>
        <w:rPr>
          <w:rFonts w:hint="eastAsia" w:ascii="宋体" w:hAnsi="宋体" w:eastAsia="宋体"/>
          <w:b w:val="0"/>
          <w:sz w:val="24"/>
          <w:lang w:eastAsia="zh-CN"/>
        </w:rPr>
      </w:pPr>
      <w:r>
        <w:rPr>
          <w:b/>
        </w:rPr>
        <w:t>表1　中医药大语言模型评测基准分类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6644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279AB0D6">
            <w:pPr>
              <w:spacing w:after="0" w:line="240" w:lineRule="auto"/>
            </w:pPr>
            <w:r>
              <w:rPr>
                <w:b/>
                <w:sz w:val="21"/>
              </w:rPr>
              <w:t>类别</w:t>
            </w:r>
          </w:p>
        </w:tc>
        <w:tc>
          <w:tcPr>
            <w:tcW w:w="2929" w:type="dxa"/>
          </w:tcPr>
          <w:p w14:paraId="04F2F50E">
            <w:pPr>
              <w:spacing w:after="0" w:line="240" w:lineRule="auto"/>
            </w:pPr>
            <w:r>
              <w:rPr>
                <w:b/>
                <w:sz w:val="21"/>
              </w:rPr>
              <w:t>代表性数据集/基准</w:t>
            </w:r>
          </w:p>
        </w:tc>
        <w:tc>
          <w:tcPr>
            <w:tcW w:w="2929" w:type="dxa"/>
          </w:tcPr>
          <w:p w14:paraId="6C54B7FB">
            <w:pPr>
              <w:spacing w:after="0" w:line="240" w:lineRule="auto"/>
            </w:pPr>
            <w:r>
              <w:rPr>
                <w:b/>
                <w:sz w:val="21"/>
              </w:rPr>
              <w:t>主要评测对象</w:t>
            </w:r>
          </w:p>
        </w:tc>
      </w:tr>
      <w:tr w14:paraId="657F1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1D065958">
            <w:pPr>
              <w:spacing w:after="0" w:line="240" w:lineRule="auto"/>
            </w:pPr>
            <w:r>
              <w:rPr>
                <w:sz w:val="21"/>
              </w:rPr>
              <w:t>考试类</w:t>
            </w:r>
          </w:p>
        </w:tc>
        <w:tc>
          <w:tcPr>
            <w:tcW w:w="2929" w:type="dxa"/>
          </w:tcPr>
          <w:p w14:paraId="633F739B">
            <w:pPr>
              <w:spacing w:after="0" w:line="240" w:lineRule="auto"/>
            </w:pPr>
            <w:r>
              <w:rPr>
                <w:sz w:val="21"/>
              </w:rPr>
              <w:t>中医执业医师、研究生入学考试题（CPE-TCM 等）</w:t>
            </w:r>
          </w:p>
        </w:tc>
        <w:tc>
          <w:tcPr>
            <w:tcW w:w="2929" w:type="dxa"/>
          </w:tcPr>
          <w:p w14:paraId="5FC75FF7">
            <w:pPr>
              <w:spacing w:after="0" w:line="240" w:lineRule="auto"/>
            </w:pPr>
            <w:r>
              <w:rPr>
                <w:sz w:val="21"/>
              </w:rPr>
              <w:t>知识记忆与基础能力</w:t>
            </w:r>
          </w:p>
        </w:tc>
      </w:tr>
      <w:tr w14:paraId="2AB6C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67079E4F">
            <w:pPr>
              <w:spacing w:after="0" w:line="240" w:lineRule="auto"/>
            </w:pPr>
            <w:r>
              <w:rPr>
                <w:sz w:val="21"/>
              </w:rPr>
              <w:t>辨证推理类</w:t>
            </w:r>
          </w:p>
        </w:tc>
        <w:tc>
          <w:tcPr>
            <w:tcW w:w="2929" w:type="dxa"/>
          </w:tcPr>
          <w:p w14:paraId="4905E897">
            <w:pPr>
              <w:spacing w:after="0" w:line="240" w:lineRule="auto"/>
            </w:pPr>
            <w:r>
              <w:rPr>
                <w:sz w:val="21"/>
              </w:rPr>
              <w:t>辨证思维数据集、DCB、ATCMD-Bench</w:t>
            </w:r>
          </w:p>
        </w:tc>
        <w:tc>
          <w:tcPr>
            <w:tcW w:w="2929" w:type="dxa"/>
          </w:tcPr>
          <w:p w14:paraId="6D45919D">
            <w:pPr>
              <w:spacing w:after="0" w:line="240" w:lineRule="auto"/>
            </w:pPr>
            <w:r>
              <w:rPr>
                <w:sz w:val="21"/>
              </w:rPr>
              <w:t>临床推理与辨证思维</w:t>
            </w:r>
          </w:p>
        </w:tc>
      </w:tr>
      <w:tr w14:paraId="381EF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1B0241EB">
            <w:pPr>
              <w:spacing w:after="0" w:line="240" w:lineRule="auto"/>
            </w:pPr>
            <w:r>
              <w:rPr>
                <w:sz w:val="21"/>
              </w:rPr>
              <w:t>安全类</w:t>
            </w:r>
          </w:p>
        </w:tc>
        <w:tc>
          <w:tcPr>
            <w:tcW w:w="2929" w:type="dxa"/>
          </w:tcPr>
          <w:p w14:paraId="1B716F33">
            <w:pPr>
              <w:spacing w:after="0" w:line="240" w:lineRule="auto"/>
            </w:pPr>
            <w:r>
              <w:rPr>
                <w:sz w:val="21"/>
              </w:rPr>
              <w:t>TCMEval-PA、错误信息检测框架</w:t>
            </w:r>
          </w:p>
        </w:tc>
        <w:tc>
          <w:tcPr>
            <w:tcW w:w="2929" w:type="dxa"/>
          </w:tcPr>
          <w:p w14:paraId="0D4A1248">
            <w:pPr>
              <w:spacing w:after="0" w:line="240" w:lineRule="auto"/>
            </w:pPr>
            <w:r>
              <w:rPr>
                <w:sz w:val="21"/>
              </w:rPr>
              <w:t>用药安全与风险识别</w:t>
            </w:r>
          </w:p>
        </w:tc>
      </w:tr>
      <w:tr w14:paraId="12C6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60C92657">
            <w:pPr>
              <w:spacing w:after="0" w:line="240" w:lineRule="auto"/>
            </w:pPr>
            <w:r>
              <w:rPr>
                <w:sz w:val="21"/>
              </w:rPr>
              <w:t>古籍类</w:t>
            </w:r>
          </w:p>
        </w:tc>
        <w:tc>
          <w:tcPr>
            <w:tcW w:w="2929" w:type="dxa"/>
          </w:tcPr>
          <w:p w14:paraId="0F331A77">
            <w:pPr>
              <w:spacing w:after="0" w:line="240" w:lineRule="auto"/>
            </w:pPr>
            <w:r>
              <w:rPr>
                <w:sz w:val="21"/>
              </w:rPr>
              <w:t>负屃</w:t>
            </w:r>
          </w:p>
        </w:tc>
        <w:tc>
          <w:tcPr>
            <w:tcW w:w="2929" w:type="dxa"/>
          </w:tcPr>
          <w:p w14:paraId="38E89C72">
            <w:pPr>
              <w:spacing w:after="0" w:line="240" w:lineRule="auto"/>
            </w:pPr>
            <w:r>
              <w:rPr>
                <w:sz w:val="21"/>
              </w:rPr>
              <w:t>古汉语理解能力</w:t>
            </w:r>
          </w:p>
        </w:tc>
      </w:tr>
      <w:tr w14:paraId="38ACF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Pr>
          <w:p w14:paraId="4F4DD285">
            <w:pPr>
              <w:spacing w:after="0" w:line="240" w:lineRule="auto"/>
            </w:pPr>
            <w:r>
              <w:rPr>
                <w:sz w:val="21"/>
              </w:rPr>
              <w:t>多模态类</w:t>
            </w:r>
          </w:p>
        </w:tc>
        <w:tc>
          <w:tcPr>
            <w:tcW w:w="2929" w:type="dxa"/>
          </w:tcPr>
          <w:p w14:paraId="175D8A38">
            <w:pPr>
              <w:spacing w:after="0" w:line="240" w:lineRule="auto"/>
            </w:pPr>
            <w:r>
              <w:rPr>
                <w:sz w:val="21"/>
              </w:rPr>
              <w:t>TongueVLM、舌象数据集</w:t>
            </w:r>
          </w:p>
        </w:tc>
        <w:tc>
          <w:tcPr>
            <w:tcW w:w="2929" w:type="dxa"/>
          </w:tcPr>
          <w:p w14:paraId="5717558E">
            <w:pPr>
              <w:spacing w:after="0" w:line="240" w:lineRule="auto"/>
            </w:pPr>
            <w:r>
              <w:rPr>
                <w:sz w:val="21"/>
              </w:rPr>
              <w:t>多模态感知与四诊合参</w:t>
            </w:r>
          </w:p>
        </w:tc>
      </w:tr>
    </w:tbl>
    <w:p w14:paraId="018C892E">
      <w:pPr>
        <w:spacing w:before="20" w:after="20"/>
        <w:ind w:firstLine="425"/>
        <w:jc w:val="both"/>
      </w:pPr>
      <w:r>
        <w:rPr>
          <w:rFonts w:ascii="宋体" w:hAnsi="宋体" w:eastAsia="宋体"/>
          <w:b w:val="0"/>
          <w:sz w:val="24"/>
        </w:rPr>
        <w:t>评测体系的总体演化路径见图2。</w:t>
      </w:r>
    </w:p>
    <w:p w14:paraId="343A83A2">
      <w:pPr>
        <w:jc w:val="center"/>
      </w:pPr>
    </w:p>
    <w:p w14:paraId="1340C6A9">
      <w:pPr>
        <w:pBdr>
          <w:top w:val="single" w:color="000000" w:sz="6" w:space="4"/>
          <w:left w:val="single" w:color="000000" w:sz="6" w:space="4"/>
          <w:bottom w:val="single" w:color="000000" w:sz="6" w:space="4"/>
          <w:right w:val="single" w:color="000000" w:sz="6" w:space="4"/>
        </w:pBdr>
        <w:jc w:val="center"/>
      </w:pPr>
      <w:r>
        <w:t>考试评测</w:t>
      </w:r>
    </w:p>
    <w:p w14:paraId="103B444C">
      <w:pPr>
        <w:jc w:val="center"/>
      </w:pPr>
      <w:r>
        <w:t>↓</w:t>
      </w:r>
    </w:p>
    <w:p w14:paraId="7248F663">
      <w:pPr>
        <w:pBdr>
          <w:top w:val="single" w:color="000000" w:sz="6" w:space="4"/>
          <w:left w:val="single" w:color="000000" w:sz="6" w:space="4"/>
          <w:bottom w:val="single" w:color="000000" w:sz="6" w:space="4"/>
          <w:right w:val="single" w:color="000000" w:sz="6" w:space="4"/>
        </w:pBdr>
        <w:jc w:val="center"/>
      </w:pPr>
      <w:r>
        <w:t>知识评测</w:t>
      </w:r>
    </w:p>
    <w:p w14:paraId="1D926CB4">
      <w:pPr>
        <w:jc w:val="center"/>
      </w:pPr>
      <w:r>
        <w:t>↓</w:t>
      </w:r>
    </w:p>
    <w:p w14:paraId="05CA8B64">
      <w:pPr>
        <w:pBdr>
          <w:top w:val="single" w:color="000000" w:sz="6" w:space="4"/>
          <w:left w:val="single" w:color="000000" w:sz="6" w:space="4"/>
          <w:bottom w:val="single" w:color="000000" w:sz="6" w:space="4"/>
          <w:right w:val="single" w:color="000000" w:sz="6" w:space="4"/>
        </w:pBdr>
        <w:jc w:val="center"/>
      </w:pPr>
      <w:r>
        <w:t>推理评测</w:t>
      </w:r>
    </w:p>
    <w:p w14:paraId="37C497B9">
      <w:pPr>
        <w:jc w:val="center"/>
      </w:pPr>
      <w:r>
        <w:t>↓</w:t>
      </w:r>
    </w:p>
    <w:p w14:paraId="3EF16373">
      <w:pPr>
        <w:pBdr>
          <w:top w:val="single" w:color="000000" w:sz="6" w:space="4"/>
          <w:left w:val="single" w:color="000000" w:sz="6" w:space="4"/>
          <w:bottom w:val="single" w:color="000000" w:sz="6" w:space="4"/>
          <w:right w:val="single" w:color="000000" w:sz="6" w:space="4"/>
        </w:pBdr>
        <w:jc w:val="center"/>
      </w:pPr>
      <w:r>
        <w:t>多模态评测</w:t>
      </w:r>
    </w:p>
    <w:p w14:paraId="6A85B629">
      <w:pPr>
        <w:jc w:val="center"/>
      </w:pPr>
      <w:r>
        <w:t>↓</w:t>
      </w:r>
    </w:p>
    <w:p w14:paraId="28535D69">
      <w:pPr>
        <w:pBdr>
          <w:top w:val="single" w:color="000000" w:sz="6" w:space="4"/>
          <w:left w:val="single" w:color="000000" w:sz="6" w:space="4"/>
          <w:bottom w:val="single" w:color="000000" w:sz="6" w:space="4"/>
          <w:right w:val="single" w:color="000000" w:sz="6" w:space="4"/>
        </w:pBdr>
        <w:jc w:val="center"/>
      </w:pPr>
      <w:r>
        <w:t>真实世界评测</w:t>
      </w:r>
    </w:p>
    <w:p w14:paraId="645742FA">
      <w:pPr>
        <w:jc w:val="center"/>
      </w:pPr>
      <w:r>
        <w:rPr>
          <w:b/>
        </w:rPr>
        <w:t>图2　中医药大语言模型评测体系演化路径</w:t>
      </w:r>
    </w:p>
    <w:p w14:paraId="3D039971">
      <w:pPr>
        <w:spacing w:before="40" w:after="20"/>
        <w:ind w:firstLine="425"/>
        <w:jc w:val="both"/>
      </w:pPr>
      <w:r>
        <w:rPr>
          <w:rFonts w:ascii="宋体" w:hAnsi="宋体" w:eastAsia="宋体"/>
          <w:b/>
          <w:sz w:val="24"/>
        </w:rPr>
        <w:t>（1）标准化考试与教材知识基准</w:t>
      </w:r>
    </w:p>
    <w:p w14:paraId="752CFFEF">
      <w:pPr>
        <w:spacing w:before="20" w:after="20"/>
        <w:ind w:firstLine="425"/>
        <w:jc w:val="both"/>
      </w:pPr>
      <w:r>
        <w:rPr>
          <w:rFonts w:ascii="宋体" w:hAnsi="宋体" w:eastAsia="宋体"/>
          <w:b w:val="0"/>
          <w:sz w:val="24"/>
        </w:rPr>
        <w:t>早期评测多直接采用或改编中医药标准化考试题目，因其权威性与客观性较高而便于复用，常见做法是以中医执业医师资格考试、研究生入学考试（CPE-TCM）等真题构建测试集[3]。这类研究的结论并不一致：在韩国国家韩医师执照考试（K-NLEKMD）上，GPT-4可以达到及格线，但在本土化程度较高的科目上明显偏弱[4]；而在覆盖13个学科、近3万道题的大规模中文测评中，受测模型选择题准确率普遍不足60%[5]。差异背后既有题库语言与本土化程度的不同，也反映出通用模型直接应对中医专业问题的困难。总体而言，考试类基准擅长考查事实性知识的记忆与简单应用，却难以刻画中医辨证论治的思维过程。</w:t>
      </w:r>
    </w:p>
    <w:p w14:paraId="2CCC304A">
      <w:pPr>
        <w:spacing w:before="40" w:after="20"/>
        <w:ind w:firstLine="425"/>
        <w:jc w:val="both"/>
      </w:pPr>
      <w:r>
        <w:rPr>
          <w:rFonts w:ascii="宋体" w:hAnsi="宋体" w:eastAsia="宋体"/>
          <w:b/>
          <w:sz w:val="24"/>
        </w:rPr>
        <w:t>（2）辨证思维与临床推理专项基准</w:t>
      </w:r>
    </w:p>
    <w:p w14:paraId="110EE716">
      <w:pPr>
        <w:spacing w:before="20" w:after="20"/>
        <w:ind w:firstLine="425"/>
        <w:jc w:val="both"/>
      </w:pPr>
      <w:r>
        <w:rPr>
          <w:rFonts w:ascii="宋体" w:hAnsi="宋体" w:eastAsia="宋体"/>
          <w:b w:val="0"/>
          <w:sz w:val="24"/>
        </w:rPr>
        <w:t>为考查模型的中医临床思维，研究者构建了结构更复杂的数据集，核心思路是把辨证论治拆解为可评估的推理环节。代表性工作将辨证过程形式化为识别抽取、病机推断、证候推断与解释总结的思维链，并配套900例标注病案与四维量化评估体系[6]；与之相近的方案把辨证归纳为病机推断、证候推断与诊疗建议三项核心任务分别评估[7]，或在诊断选择的基础上引入排除推理以提高准确性[8]。近期评测进一步从静态病案转向动态交互场景：有研究借助多智能体模拟搭建动态诊断环境[9]，也有研究覆盖问诊、辨证、处方、分析的完整流程并加入扰动以贴近真实接诊[10]。</w:t>
      </w:r>
      <w:bookmarkStart w:id="0" w:name="_GoBack"/>
      <w:bookmarkEnd w:id="0"/>
      <w:r>
        <w:rPr>
          <w:rFonts w:ascii="宋体" w:hAnsi="宋体" w:eastAsia="宋体"/>
          <w:b w:val="0"/>
          <w:sz w:val="24"/>
        </w:rPr>
      </w:r>
    </w:p>
    <w:p w14:paraId="6974989F">
      <w:pPr>
        <w:spacing w:before="40" w:after="20"/>
        <w:ind w:firstLine="425"/>
        <w:jc w:val="both"/>
      </w:pPr>
      <w:r>
        <w:rPr>
          <w:rFonts w:ascii="宋体" w:hAnsi="宋体" w:eastAsia="宋体"/>
          <w:b/>
          <w:sz w:val="24"/>
        </w:rPr>
        <w:t>（3）安全与特定任务专项基准</w:t>
      </w:r>
    </w:p>
    <w:p w14:paraId="0DF93B92">
      <w:pPr>
        <w:spacing w:before="20" w:after="20"/>
        <w:ind w:firstLine="425"/>
        <w:jc w:val="both"/>
      </w:pPr>
      <w:r>
        <w:rPr>
          <w:rFonts w:ascii="宋体" w:hAnsi="宋体" w:eastAsia="宋体"/>
          <w:b w:val="0"/>
          <w:sz w:val="24"/>
        </w:rPr>
        <w:t>随着安全问题受到重视，针对特定风险的专项基准陆续出现。一类工作聚焦模型的“正负向能力鸿沟”，即模型善于选出正确答案、却难以识别错误信息，并据此设计了标准题、错误选项、误导性引导与虚构实体四种测试范式[11]。另一类工作面向高风险的中药处方审核，从处方规范性与适宜性等维度构建了专门的安全评测基准[12]。还有研究将关注点放在教育应用，自动生成与课程大纲对齐的多项选择题，并设计含源一致性准确度在内的多项指标[13]。</w:t>
      </w:r>
    </w:p>
    <w:p w14:paraId="51141721">
      <w:pPr>
        <w:spacing w:before="40" w:after="20"/>
        <w:ind w:firstLine="425"/>
        <w:jc w:val="both"/>
      </w:pPr>
      <w:r>
        <w:rPr>
          <w:rFonts w:ascii="宋体" w:hAnsi="宋体" w:eastAsia="宋体"/>
          <w:b/>
          <w:sz w:val="24"/>
        </w:rPr>
        <w:t>（4）古汉语理解与多模态探索基准</w:t>
      </w:r>
    </w:p>
    <w:p w14:paraId="199D6CFF">
      <w:pPr>
        <w:spacing w:before="20" w:after="20"/>
        <w:ind w:firstLine="425"/>
        <w:jc w:val="both"/>
      </w:pPr>
      <w:r>
        <w:rPr>
          <w:rFonts w:ascii="宋体" w:hAnsi="宋体" w:eastAsia="宋体"/>
          <w:b w:val="0"/>
          <w:sz w:val="24"/>
        </w:rPr>
        <w:t>大量中医药知识以文言文形式保存在古籍中，能否读懂古文直接关系到模型挖掘古籍的潜力。负屃基准针对这一问题评估了模型在古汉语文本理解与生成上的表现，发现一旦任务需要专业知识与文化背景，生成质量便明显下降[14]。多模态评测尚处起步阶段，已有尝试多集中于舌诊：或结合舌象与临床数据用于儿童过敏性鼻炎的寒热辨证[15]，或将视觉编码与语言模型结合以生成舌象描述并推理体质[16]，或借助上下文多任务学习缓解舌诊标注样本不足的问题[17]。总体来看，现有评测仍以文本模态为主，多模态基准在数量与规模上都明显不足。</w:t>
      </w:r>
    </w:p>
    <w:p w14:paraId="250B3BE7">
      <w:pPr>
        <w:spacing w:before="80" w:after="40"/>
      </w:pPr>
      <w:r>
        <w:rPr>
          <w:rFonts w:ascii="宋体" w:hAnsi="宋体" w:eastAsia="宋体"/>
          <w:b/>
          <w:sz w:val="26"/>
        </w:rPr>
        <w:t>3.2 不同类型LLMs的性能评测比较</w:t>
      </w:r>
    </w:p>
    <w:p w14:paraId="1B62B2A6">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14:paraId="12EBAC4E">
      <w:pPr>
        <w:spacing w:before="40" w:after="20"/>
        <w:ind w:firstLine="425"/>
        <w:jc w:val="both"/>
      </w:pPr>
      <w:r>
        <w:rPr>
          <w:rFonts w:ascii="宋体" w:hAnsi="宋体" w:eastAsia="宋体"/>
          <w:b/>
          <w:sz w:val="24"/>
        </w:rPr>
        <w:t>（1）知识回忆能力</w:t>
      </w:r>
    </w:p>
    <w:p w14:paraId="6991751F">
      <w:pPr>
        <w:spacing w:before="20" w:after="20"/>
        <w:ind w:firstLine="425"/>
        <w:jc w:val="both"/>
      </w:pPr>
      <w:r>
        <w:rPr>
          <w:rFonts w:ascii="宋体" w:hAnsi="宋体" w:eastAsia="宋体"/>
          <w:b w:val="0"/>
          <w:sz w:val="24"/>
        </w:rPr>
        <w:t>通用大语言模型（如GPT-4、ChatGLM、Baichuan、Qwen系列）在中医药基础知识问答与标准化考试中表现出一定的零样本、少样本学习能力，但不同研究的结论差异很大。一项对11个模型、801道教材题的评测显示，大规模模型单选题准确率为69.01%~90.92%、判断题为52.34%~59.38%，而多选题准确率大幅下滑[3]；另一项覆盖13个学科、近3万道考试与教材题的评测则发现，所有模型选择题准确率均不足60%，Baichuan单选题甚至只有36.07%[5]。两者数字相去甚远，却并不矛盾，差异主要有三个来源：其一是模型代际与规模，后者测试的多为2023年前后的GPT-3.5、ChatGLM3及中文医疗小模型，前者纳入了GPT-4、Qwen等更新更大的模型，90.92%正出自大规模模型；其二是题型与计分口径，单选题的难度与评分都宽于多选题（多选多需全部选对才得分），将一方的多选结果与另一方的单选结果直接对比会放大差距；其三是数据集来源与评测设置，题库规模、学科覆盖、提示语言（中文提示通常更优）以及零样本或少样本设置都会左右结果。可见离开模型版本、题型与评测协议来谈准确率，跨研究的数字并不可比，这本身就说明当前中医药评测缺乏统一、可复现的协议。经过领域微调后，中医专用模型在知识回忆任务上往往能超过同规模的通用基础模型，TCMChat[19]、XuanHuGPT[20]、Qibo[21]即是如此；但规模并非决定因素，轻量级的Qwen3-1.7B在同一评测中反而超过了领域专用的TCMChat-7B，提示有效的领域优化可能比单纯增大模型更关键。</w:t>
      </w:r>
    </w:p>
    <w:p w14:paraId="16F1F264">
      <w:pPr>
        <w:spacing w:before="40" w:after="20"/>
        <w:ind w:firstLine="425"/>
        <w:jc w:val="both"/>
      </w:pPr>
      <w:r>
        <w:rPr>
          <w:rFonts w:ascii="宋体" w:hAnsi="宋体" w:eastAsia="宋体"/>
          <w:b/>
          <w:sz w:val="24"/>
        </w:rPr>
        <w:t>（2）临床推理能力</w:t>
      </w:r>
    </w:p>
    <w:p w14:paraId="55149761">
      <w:pPr>
        <w:spacing w:before="20" w:after="20"/>
        <w:ind w:firstLine="425"/>
        <w:jc w:val="both"/>
      </w:pPr>
      <w:r>
        <w:rPr>
          <w:rFonts w:ascii="宋体" w:hAnsi="宋体" w:eastAsia="宋体"/>
          <w:b w:val="0"/>
          <w:sz w:val="24"/>
        </w:rPr>
        <w:t>在需要综合运用知识的临床推理任务上，各类模型都明显吃力，其中症状诊断通常被视为最具挑战性的推理类别[3]。未经专门优化的通用模型与中医专用模型在病机推断、证候推断上准确率都比较有限；而引入开卷考试式指令微调，或借助外部知识库做迭代排除推理后，诊断的准确性与鲁棒性均有提升[7-8]。这说明单纯灌输知识不足以让模型掌握辨证思维，更关键的是用特定方法引导模型按照中医逻辑推理。</w:t>
      </w:r>
    </w:p>
    <w:p w14:paraId="06F21FF5">
      <w:pPr>
        <w:spacing w:before="40" w:after="20"/>
        <w:ind w:firstLine="425"/>
        <w:jc w:val="both"/>
      </w:pPr>
      <w:r>
        <w:rPr>
          <w:rFonts w:ascii="宋体" w:hAnsi="宋体" w:eastAsia="宋体"/>
          <w:b/>
          <w:sz w:val="24"/>
        </w:rPr>
        <w:t>（3）安全性评估</w:t>
      </w:r>
    </w:p>
    <w:p w14:paraId="5F27850C">
      <w:pPr>
        <w:spacing w:before="20" w:after="20"/>
        <w:ind w:firstLine="425"/>
        <w:jc w:val="both"/>
      </w:pPr>
      <w:r>
        <w:rPr>
          <w:rFonts w:ascii="宋体" w:hAnsi="宋体" w:eastAsia="宋体"/>
          <w:b w:val="0"/>
          <w:sz w:val="24"/>
        </w:rPr>
        <w:t>安全性评估揭示出能力与可靠性之间的落差。测试发现，一些在标准考试中表现良好的模型，在错误信息检测任务上准确率会跌到20%~39%，“会答题”与“能辨伪”明显不是一回事[11]。从临床实践指南符合度的角度评估八个模型也发现，它们在用药安全提示与指南一致性上参差不齐[22]；即便考试合格，其生成内容的内部逻辑、与外部知识的一致性及安全性仍需严格审查[23]。这些结果共同提示，未来评测应把安全性放在与准确性同等、甚至更重要的位置。</w:t>
      </w:r>
    </w:p>
    <w:p w14:paraId="094449A3">
      <w:pPr>
        <w:spacing w:before="40" w:after="20"/>
        <w:ind w:firstLine="425"/>
        <w:jc w:val="both"/>
      </w:pPr>
      <w:r>
        <w:rPr>
          <w:rFonts w:ascii="宋体" w:hAnsi="宋体" w:eastAsia="宋体"/>
          <w:b/>
          <w:sz w:val="24"/>
        </w:rPr>
        <w:t>（4）文化适应性</w:t>
      </w:r>
    </w:p>
    <w:p w14:paraId="0425E742">
      <w:pPr>
        <w:spacing w:before="20" w:after="20"/>
        <w:ind w:firstLine="425"/>
        <w:jc w:val="both"/>
      </w:pPr>
      <w:r>
        <w:rPr>
          <w:rFonts w:ascii="宋体" w:hAnsi="宋体" w:eastAsia="宋体"/>
          <w:b w:val="0"/>
          <w:sz w:val="24"/>
        </w:rPr>
        <w:t>语言与文化背景会明显影响模型表现。GPT-4在韩医考试中处理本土化医学知识时的吃力[4]，以及国产ERNIE-4.0在中国中医执业医师考试上以81.7%大幅领先GPT-4 turbo的50.7%、而在西医内科题上各模型差距很小[24]，都指向同一现象：模型在与其语言文化更接近的任务上更具优势。多数模型在中文提示下表现更好[3]，不同国家研发的模型在中医任务上存在系统性偏差[25]，进一步印证了这一点。要构建具备跨文化服务能力的中医药模型，评测数据需覆盖多语言、多地域。</w:t>
      </w:r>
    </w:p>
    <w:p w14:paraId="7E904054">
      <w:pPr>
        <w:spacing w:before="80" w:after="40"/>
      </w:pPr>
      <w:r>
        <w:rPr>
          <w:rFonts w:ascii="宋体" w:hAnsi="宋体" w:eastAsia="宋体"/>
          <w:b/>
          <w:sz w:val="26"/>
        </w:rPr>
        <w:t>3.3 中医药核心场景下的评测实践</w:t>
      </w:r>
    </w:p>
    <w:p w14:paraId="796447B3">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14:paraId="2E122161">
      <w:pPr>
        <w:spacing w:before="40" w:after="20"/>
        <w:ind w:firstLine="425"/>
        <w:jc w:val="both"/>
      </w:pPr>
      <w:r>
        <w:rPr>
          <w:rFonts w:ascii="宋体" w:hAnsi="宋体" w:eastAsia="宋体"/>
          <w:b/>
          <w:sz w:val="24"/>
        </w:rPr>
        <w:t>（1）知识增强型问答与辨证系统</w:t>
      </w:r>
    </w:p>
    <w:p w14:paraId="79760088">
      <w:pPr>
        <w:spacing w:before="20" w:after="20"/>
        <w:ind w:firstLine="425"/>
        <w:jc w:val="both"/>
      </w:pPr>
      <w:r>
        <w:rPr>
          <w:rFonts w:ascii="宋体" w:hAnsi="宋体" w:eastAsia="宋体"/>
          <w:b w:val="0"/>
          <w:sz w:val="24"/>
        </w:rPr>
        <w:t>为提升回答的准确性与可靠性，研究者多在模型之外引入知识库、知识图谱与检索增强。一类系统以高质量知识库支撑问答，如TCMChat[19]、Tianyi[26]、XuanHuGPT[20]；另一类用结构化的知识图谱约束生成、减少臆测，既有面向通用问答的，也有专门处理医案的[27-28]。在辨证与治疗方向，相关系统多把领域模型与知识图谱、检索机制结合，并辅以思维链推理，分别用于症状分析与中成药推荐[29]、排除式诊断[8]以及针灸治疗不孕症的辅助[30]。这类系统的评测不再只看准确率，而更看重推理逻辑是否成立、是否与专家意见一致。</w:t>
      </w:r>
    </w:p>
    <w:p w14:paraId="4E7A7336">
      <w:pPr>
        <w:spacing w:before="40" w:after="20"/>
        <w:ind w:firstLine="425"/>
        <w:jc w:val="both"/>
      </w:pPr>
      <w:r>
        <w:rPr>
          <w:rFonts w:ascii="宋体" w:hAnsi="宋体" w:eastAsia="宋体"/>
          <w:b/>
          <w:sz w:val="24"/>
        </w:rPr>
        <w:t>（2）处方审核与方剂应用</w:t>
      </w:r>
    </w:p>
    <w:p w14:paraId="2E8124F7">
      <w:pPr>
        <w:spacing w:before="20" w:after="20"/>
        <w:ind w:firstLine="425"/>
        <w:jc w:val="both"/>
      </w:pPr>
      <w:r>
        <w:rPr>
          <w:rFonts w:ascii="宋体" w:hAnsi="宋体" w:eastAsia="宋体"/>
          <w:b w:val="0"/>
          <w:sz w:val="24"/>
        </w:rPr>
        <w:t>在方剂与处方方向，评测覆盖分类、推荐与安全审核三类任务：通过加权投票集成多个微调模型可提高方剂分类准确性[31]，思维链方法在草药处方推荐上表现领先[29]，处方安全审核则由专门的基准来评估[12]。这些任务共同强调模型对中药配伍禁忌、证候与方药对应关系等复杂知识的掌握。</w:t>
      </w:r>
    </w:p>
    <w:p w14:paraId="247104B5">
      <w:pPr>
        <w:spacing w:before="40" w:after="20"/>
        <w:ind w:firstLine="425"/>
        <w:jc w:val="both"/>
      </w:pPr>
      <w:r>
        <w:rPr>
          <w:rFonts w:ascii="宋体" w:hAnsi="宋体" w:eastAsia="宋体"/>
          <w:b/>
          <w:sz w:val="24"/>
        </w:rPr>
        <w:t>（3）多模态与真实交互场景</w:t>
      </w:r>
    </w:p>
    <w:p w14:paraId="6EF5C4CC">
      <w:pPr>
        <w:spacing w:before="20" w:after="20"/>
        <w:ind w:firstLine="425"/>
        <w:jc w:val="both"/>
      </w:pPr>
      <w:r>
        <w:rPr>
          <w:rFonts w:ascii="宋体" w:hAnsi="宋体" w:eastAsia="宋体"/>
          <w:b w:val="0"/>
          <w:sz w:val="24"/>
        </w:rPr>
        <w:t>中医诊疗依赖望闻问切获取的多感官信息，相关系统与评测正向多模态、交互式延伸：有的面向舌象描述与体质推理，模拟医师依据舌象特征展开专业对话[16]；有的以医患对话形式还原接诊过程[10]。这类场景对模型提出了文本问答之外的新要求，即跨模态理解与多轮交互能力。</w:t>
      </w:r>
    </w:p>
    <w:p w14:paraId="37BB7E5C">
      <w:pPr>
        <w:spacing w:before="40" w:after="20"/>
        <w:ind w:firstLine="425"/>
        <w:jc w:val="both"/>
      </w:pPr>
      <w:r>
        <w:rPr>
          <w:rFonts w:ascii="宋体" w:hAnsi="宋体" w:eastAsia="宋体"/>
          <w:b/>
          <w:sz w:val="24"/>
        </w:rPr>
        <w:t>（4）教育与考试辅助</w:t>
      </w:r>
    </w:p>
    <w:p w14:paraId="296FC302">
      <w:pPr>
        <w:spacing w:before="20" w:after="20"/>
        <w:ind w:firstLine="425"/>
        <w:jc w:val="both"/>
      </w:pPr>
      <w:r>
        <w:rPr>
          <w:rFonts w:ascii="宋体" w:hAnsi="宋体" w:eastAsia="宋体"/>
          <w:b w:val="0"/>
          <w:sz w:val="24"/>
        </w:rPr>
        <w:t>在教育场景，已有工具可自动生成与课程大纲对齐的多项选择题，服务于教学与备考[13]。围绕中医研究生、执业医师考试的评测除统计答题正确率外，还分析模型的解题逻辑与信息使用方式，以判断其作为教育工具的可行性与潜在风险[23]。</w:t>
      </w:r>
    </w:p>
    <w:p w14:paraId="79B65A5A">
      <w:pPr>
        <w:spacing w:before="40" w:after="20"/>
        <w:ind w:firstLine="425"/>
        <w:jc w:val="both"/>
      </w:pPr>
      <w:r>
        <w:rPr>
          <w:rFonts w:ascii="宋体" w:hAnsi="宋体" w:eastAsia="宋体"/>
          <w:b/>
          <w:sz w:val="24"/>
        </w:rPr>
        <w:t>（5）科研与知识发现</w:t>
      </w:r>
    </w:p>
    <w:p w14:paraId="3ECC1A4A">
      <w:pPr>
        <w:spacing w:before="20" w:after="20"/>
        <w:ind w:firstLine="425"/>
        <w:jc w:val="both"/>
      </w:pPr>
      <w:r>
        <w:rPr>
          <w:rFonts w:ascii="宋体" w:hAnsi="宋体" w:eastAsia="宋体"/>
          <w:b w:val="0"/>
          <w:sz w:val="24"/>
        </w:rPr>
        <w:t>在科研与知识发现方向，有研究借助大语言模型嵌入与双向神经网络完成跨领域药物相互作用注释，展示了模型发现潜在药物相互作用的能力[32]；也有研究用字符级卷积循环交互网络从中医临床文本中联合抽取实体与关系，为构建知识图谱提供支持[33]。</w:t>
      </w:r>
    </w:p>
    <w:p w14:paraId="2BABBE2D">
      <w:pPr>
        <w:spacing w:before="120" w:after="60"/>
      </w:pPr>
      <w:r>
        <w:rPr>
          <w:rFonts w:ascii="宋体" w:hAnsi="宋体" w:eastAsia="宋体"/>
          <w:b/>
          <w:sz w:val="28"/>
        </w:rPr>
        <w:t>4. 现有评测体系的主要局限及方法学反思</w:t>
      </w:r>
    </w:p>
    <w:p w14:paraId="60981517">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14:paraId="7C55A824">
      <w:pPr>
        <w:spacing w:before="80" w:after="40"/>
      </w:pPr>
      <w:r>
        <w:rPr>
          <w:rFonts w:ascii="宋体" w:hAnsi="宋体" w:eastAsia="宋体"/>
          <w:b/>
          <w:sz w:val="26"/>
        </w:rPr>
        <w:t>4.1 文本封闭假设与多感官诊断范式的错位</w:t>
      </w:r>
    </w:p>
    <w:p w14:paraId="0553C4E0">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14:paraId="2A7DFB51">
      <w:pPr>
        <w:spacing w:before="20" w:after="20"/>
        <w:ind w:firstLine="425"/>
        <w:jc w:val="both"/>
      </w:pPr>
      <w:r>
        <w:rPr>
          <w:rFonts w:ascii="宋体" w:hAnsi="宋体" w:eastAsia="宋体"/>
          <w:b w:val="0"/>
          <w:sz w:val="24"/>
        </w:rPr>
        <w:t>换言之，文本任务上的良好成绩，可能掩盖了对多感官、具身、情境依赖这一类认知过程的评估缺失，进而高估模型的真实临床能力。</w:t>
      </w:r>
    </w:p>
    <w:p w14:paraId="49F4D26B">
      <w:pPr>
        <w:spacing w:before="80" w:after="40"/>
      </w:pPr>
      <w:r>
        <w:rPr>
          <w:rFonts w:ascii="宋体" w:hAnsi="宋体" w:eastAsia="宋体"/>
          <w:b/>
          <w:sz w:val="26"/>
        </w:rPr>
        <w:t>4.2 安全评价维度的覆盖不足</w:t>
      </w:r>
    </w:p>
    <w:p w14:paraId="56F93169">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14:paraId="07917C06">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14:paraId="6E716038">
      <w:pPr>
        <w:spacing w:before="80" w:after="40"/>
      </w:pPr>
      <w:r>
        <w:rPr>
          <w:rFonts w:ascii="宋体" w:hAnsi="宋体" w:eastAsia="宋体"/>
          <w:b/>
          <w:sz w:val="26"/>
        </w:rPr>
        <w:t>4.3 离线基准与真实临床场景的脱节</w:t>
      </w:r>
    </w:p>
    <w:p w14:paraId="34FE3858">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14:paraId="6B2F5005">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14:paraId="7E5C9D2A">
      <w:pPr>
        <w:spacing w:before="120" w:after="60"/>
      </w:pPr>
      <w:r>
        <w:rPr>
          <w:rFonts w:ascii="宋体" w:hAnsi="宋体" w:eastAsia="宋体"/>
          <w:b/>
          <w:sz w:val="28"/>
        </w:rPr>
        <w:t>5. 中医药大语言模型评测体系的未来发展方向</w:t>
      </w:r>
    </w:p>
    <w:p w14:paraId="42BD0D90">
      <w:r>
        <w:t>5.1 构建中医药知识驱动的分层评测体系</w:t>
      </w:r>
    </w:p>
    <w:p w14:paraId="523FA518">
      <w:r>
        <w:t>现有方向多与国际医学AI评测的通行思路一致，仍需进一步突出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所在。</w:t>
      </w:r>
    </w:p>
    <w:p w14:paraId="795CD980">
      <w:r>
        <w:t>需要强调的是，五层之间是逐层递进、下层为上层前提的条件依赖关系：辨证错误会使其后的治则与方药评测失去意义，因此应采用条件化评分（在上一层正确的前提下评估下一层），并报告误差沿链条的传导与放大；同时为各层设定准入阈值，未通过知识层与辨证层阈值者，其方药层、疗效层的高分不予采信。此外，疗效层有赖真实世界随访与前瞻性数据，目前仍属亟待建设的目标层，不宜视为已成熟的评测环节。各层与评测内容、代表指标及对应基准类别的对应关系见表2，整体框架见图3。</w:t>
      </w:r>
    </w:p>
    <w:p w14:paraId="3A230A2F">
      <w:pPr>
        <w:jc w:val="center"/>
      </w:pPr>
      <w:r>
        <w:rPr>
          <w:b/>
        </w:rPr>
        <w:t>表2　中医药知识驱动五层评测框架的层级映射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58C8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4B403B5C">
            <w:pPr>
              <w:spacing w:after="0" w:line="240" w:lineRule="auto"/>
            </w:pPr>
            <w:r>
              <w:rPr>
                <w:b/>
                <w:sz w:val="21"/>
              </w:rPr>
              <w:t>层级</w:t>
            </w:r>
          </w:p>
        </w:tc>
        <w:tc>
          <w:tcPr>
            <w:tcW w:w="2197" w:type="dxa"/>
          </w:tcPr>
          <w:p w14:paraId="5C6C25BD">
            <w:pPr>
              <w:spacing w:after="0" w:line="240" w:lineRule="auto"/>
            </w:pPr>
            <w:r>
              <w:rPr>
                <w:b/>
                <w:sz w:val="21"/>
              </w:rPr>
              <w:t>评测重点</w:t>
            </w:r>
          </w:p>
        </w:tc>
        <w:tc>
          <w:tcPr>
            <w:tcW w:w="2197" w:type="dxa"/>
          </w:tcPr>
          <w:p w14:paraId="07C41AA7">
            <w:pPr>
              <w:spacing w:after="0" w:line="240" w:lineRule="auto"/>
            </w:pPr>
            <w:r>
              <w:rPr>
                <w:b/>
                <w:sz w:val="21"/>
              </w:rPr>
              <w:t>代表指标</w:t>
            </w:r>
          </w:p>
        </w:tc>
        <w:tc>
          <w:tcPr>
            <w:tcW w:w="2197" w:type="dxa"/>
          </w:tcPr>
          <w:p w14:paraId="46258CF8">
            <w:pPr>
              <w:spacing w:after="0" w:line="240" w:lineRule="auto"/>
            </w:pPr>
            <w:r>
              <w:rPr>
                <w:b/>
                <w:sz w:val="21"/>
              </w:rPr>
              <w:t>对应基准类别</w:t>
            </w:r>
          </w:p>
        </w:tc>
      </w:tr>
      <w:tr w14:paraId="02622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7C26B358">
            <w:pPr>
              <w:spacing w:after="0" w:line="240" w:lineRule="auto"/>
            </w:pPr>
            <w:r>
              <w:rPr>
                <w:sz w:val="21"/>
              </w:rPr>
              <w:t>知识层</w:t>
            </w:r>
          </w:p>
        </w:tc>
        <w:tc>
          <w:tcPr>
            <w:tcW w:w="2197" w:type="dxa"/>
          </w:tcPr>
          <w:p w14:paraId="4BF6A43A">
            <w:pPr>
              <w:spacing w:after="0" w:line="240" w:lineRule="auto"/>
            </w:pPr>
            <w:r>
              <w:rPr>
                <w:sz w:val="21"/>
              </w:rPr>
              <w:t>中医理论、术语与中药知识</w:t>
            </w:r>
          </w:p>
        </w:tc>
        <w:tc>
          <w:tcPr>
            <w:tcW w:w="2197" w:type="dxa"/>
          </w:tcPr>
          <w:p w14:paraId="63207CD0">
            <w:pPr>
              <w:spacing w:after="0" w:line="240" w:lineRule="auto"/>
            </w:pPr>
            <w:r>
              <w:rPr>
                <w:sz w:val="21"/>
              </w:rPr>
              <w:t>准确率、术语规范率</w:t>
            </w:r>
          </w:p>
        </w:tc>
        <w:tc>
          <w:tcPr>
            <w:tcW w:w="2197" w:type="dxa"/>
          </w:tcPr>
          <w:p w14:paraId="08787DE1">
            <w:pPr>
              <w:spacing w:after="0" w:line="240" w:lineRule="auto"/>
            </w:pPr>
            <w:r>
              <w:rPr>
                <w:sz w:val="21"/>
              </w:rPr>
              <w:t>考试类</w:t>
            </w:r>
          </w:p>
        </w:tc>
      </w:tr>
      <w:tr w14:paraId="5DA5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35AD6A9C">
            <w:pPr>
              <w:spacing w:after="0" w:line="240" w:lineRule="auto"/>
            </w:pPr>
            <w:r>
              <w:rPr>
                <w:sz w:val="21"/>
              </w:rPr>
              <w:t>辨证层</w:t>
            </w:r>
          </w:p>
        </w:tc>
        <w:tc>
          <w:tcPr>
            <w:tcW w:w="2197" w:type="dxa"/>
          </w:tcPr>
          <w:p w14:paraId="659092A9">
            <w:pPr>
              <w:spacing w:after="0" w:line="240" w:lineRule="auto"/>
            </w:pPr>
            <w:r>
              <w:rPr>
                <w:sz w:val="21"/>
              </w:rPr>
              <w:t>四诊信息到证候、病机推断</w:t>
            </w:r>
          </w:p>
        </w:tc>
        <w:tc>
          <w:tcPr>
            <w:tcW w:w="2197" w:type="dxa"/>
          </w:tcPr>
          <w:p w14:paraId="07DBF670">
            <w:pPr>
              <w:spacing w:after="0" w:line="240" w:lineRule="auto"/>
            </w:pPr>
            <w:r>
              <w:rPr>
                <w:sz w:val="21"/>
              </w:rPr>
              <w:t>辨证准确率、推理思路评分</w:t>
            </w:r>
          </w:p>
        </w:tc>
        <w:tc>
          <w:tcPr>
            <w:tcW w:w="2197" w:type="dxa"/>
          </w:tcPr>
          <w:p w14:paraId="622083C3">
            <w:pPr>
              <w:spacing w:after="0" w:line="240" w:lineRule="auto"/>
            </w:pPr>
            <w:r>
              <w:rPr>
                <w:sz w:val="21"/>
              </w:rPr>
              <w:t>辨证推理类</w:t>
            </w:r>
          </w:p>
        </w:tc>
      </w:tr>
      <w:tr w14:paraId="747A6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512AC5B4">
            <w:pPr>
              <w:spacing w:after="0" w:line="240" w:lineRule="auto"/>
            </w:pPr>
            <w:r>
              <w:rPr>
                <w:sz w:val="21"/>
              </w:rPr>
              <w:t>治则层</w:t>
            </w:r>
          </w:p>
        </w:tc>
        <w:tc>
          <w:tcPr>
            <w:tcW w:w="2197" w:type="dxa"/>
          </w:tcPr>
          <w:p w14:paraId="63137E4C">
            <w:pPr>
              <w:spacing w:after="0" w:line="240" w:lineRule="auto"/>
            </w:pPr>
            <w:r>
              <w:rPr>
                <w:sz w:val="21"/>
              </w:rPr>
              <w:t>依证立法的合理性</w:t>
            </w:r>
          </w:p>
        </w:tc>
        <w:tc>
          <w:tcPr>
            <w:tcW w:w="2197" w:type="dxa"/>
          </w:tcPr>
          <w:p w14:paraId="4BBD4D0F">
            <w:pPr>
              <w:spacing w:after="0" w:line="240" w:lineRule="auto"/>
            </w:pPr>
            <w:r>
              <w:rPr>
                <w:sz w:val="21"/>
              </w:rPr>
              <w:t>治法推荐准确率、合理性评分</w:t>
            </w:r>
          </w:p>
        </w:tc>
        <w:tc>
          <w:tcPr>
            <w:tcW w:w="2197" w:type="dxa"/>
          </w:tcPr>
          <w:p w14:paraId="5B5CEB38">
            <w:pPr>
              <w:spacing w:after="0" w:line="240" w:lineRule="auto"/>
            </w:pPr>
            <w:r>
              <w:rPr>
                <w:sz w:val="21"/>
              </w:rPr>
              <w:t>辨证推理类（待加强）</w:t>
            </w:r>
          </w:p>
        </w:tc>
      </w:tr>
      <w:tr w14:paraId="2EE87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10CD8641">
            <w:pPr>
              <w:spacing w:after="0" w:line="240" w:lineRule="auto"/>
            </w:pPr>
            <w:r>
              <w:rPr>
                <w:sz w:val="21"/>
              </w:rPr>
              <w:t>方药层</w:t>
            </w:r>
          </w:p>
        </w:tc>
        <w:tc>
          <w:tcPr>
            <w:tcW w:w="2197" w:type="dxa"/>
          </w:tcPr>
          <w:p w14:paraId="23B9289B">
            <w:pPr>
              <w:spacing w:after="0" w:line="240" w:lineRule="auto"/>
            </w:pPr>
            <w:r>
              <w:rPr>
                <w:sz w:val="21"/>
              </w:rPr>
              <w:t>处方、配伍、剂量与禁忌</w:t>
            </w:r>
          </w:p>
        </w:tc>
        <w:tc>
          <w:tcPr>
            <w:tcW w:w="2197" w:type="dxa"/>
          </w:tcPr>
          <w:p w14:paraId="37BBC944">
            <w:pPr>
              <w:spacing w:after="0" w:line="240" w:lineRule="auto"/>
            </w:pPr>
            <w:r>
              <w:rPr>
                <w:sz w:val="21"/>
              </w:rPr>
              <w:t>方剂适配度、禁忌识别召回率</w:t>
            </w:r>
          </w:p>
        </w:tc>
        <w:tc>
          <w:tcPr>
            <w:tcW w:w="2197" w:type="dxa"/>
          </w:tcPr>
          <w:p w14:paraId="063CF68C">
            <w:pPr>
              <w:spacing w:after="0" w:line="240" w:lineRule="auto"/>
            </w:pPr>
            <w:r>
              <w:rPr>
                <w:sz w:val="21"/>
              </w:rPr>
              <w:t>安全/处方类</w:t>
            </w:r>
          </w:p>
        </w:tc>
      </w:tr>
      <w:tr w14:paraId="2591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Pr>
          <w:p w14:paraId="3BC462D1">
            <w:pPr>
              <w:spacing w:after="0" w:line="240" w:lineRule="auto"/>
            </w:pPr>
            <w:r>
              <w:rPr>
                <w:sz w:val="21"/>
              </w:rPr>
              <w:t>疗效层</w:t>
            </w:r>
          </w:p>
        </w:tc>
        <w:tc>
          <w:tcPr>
            <w:tcW w:w="2197" w:type="dxa"/>
          </w:tcPr>
          <w:p w14:paraId="11849E5B">
            <w:pPr>
              <w:spacing w:after="0" w:line="240" w:lineRule="auto"/>
            </w:pPr>
            <w:r>
              <w:rPr>
                <w:sz w:val="21"/>
              </w:rPr>
              <w:t>随访结局与复诊调方（目标层）</w:t>
            </w:r>
          </w:p>
        </w:tc>
        <w:tc>
          <w:tcPr>
            <w:tcW w:w="2197" w:type="dxa"/>
          </w:tcPr>
          <w:p w14:paraId="074CF6D5">
            <w:pPr>
              <w:spacing w:after="0" w:line="240" w:lineRule="auto"/>
            </w:pPr>
            <w:r>
              <w:rPr>
                <w:sz w:val="21"/>
              </w:rPr>
              <w:t>结局预测、加减合理性</w:t>
            </w:r>
          </w:p>
        </w:tc>
        <w:tc>
          <w:tcPr>
            <w:tcW w:w="2197" w:type="dxa"/>
          </w:tcPr>
          <w:p w14:paraId="592CC99A">
            <w:pPr>
              <w:spacing w:after="0" w:line="240" w:lineRule="auto"/>
            </w:pPr>
            <w:r>
              <w:rPr>
                <w:sz w:val="21"/>
              </w:rPr>
              <w:t>真实世界类（待建设）</w:t>
            </w:r>
          </w:p>
        </w:tc>
      </w:tr>
    </w:tbl>
    <w:p w14:paraId="77EBFDFB">
      <w:pPr>
        <w:spacing w:before="80" w:after="40"/>
      </w:pPr>
      <w:r>
        <w:rPr>
          <w:rFonts w:ascii="宋体" w:hAnsi="宋体" w:eastAsia="宋体"/>
          <w:b/>
          <w:sz w:val="26"/>
        </w:rPr>
        <w:t>5.2 加快推进多模态评测数据基础设施建设</w:t>
      </w:r>
    </w:p>
    <w:p w14:paraId="30D3BB5C">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14:paraId="405C2F66">
      <w:pPr>
        <w:spacing w:before="80" w:after="40"/>
      </w:pPr>
      <w:r>
        <w:rPr>
          <w:rFonts w:ascii="宋体" w:hAnsi="宋体" w:eastAsia="宋体"/>
          <w:b/>
          <w:sz w:val="26"/>
        </w:rPr>
        <w:t>5.3 构建分层递进的临床多模态能力评测标准体系</w:t>
      </w:r>
    </w:p>
    <w:p w14:paraId="57A6CB38">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14:paraId="7ED47818">
      <w:pPr>
        <w:spacing w:before="80" w:after="40"/>
      </w:pPr>
      <w:r>
        <w:rPr>
          <w:rFonts w:ascii="宋体" w:hAnsi="宋体" w:eastAsia="宋体"/>
          <w:b/>
          <w:sz w:val="26"/>
        </w:rPr>
        <w:t>5.4 发展面向中医认知特质的评测方法论创新</w:t>
      </w:r>
    </w:p>
    <w:p w14:paraId="30BF635F">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14:paraId="651FCC3C">
      <w:pPr>
        <w:spacing w:before="80" w:after="40"/>
      </w:pPr>
      <w:r>
        <w:rPr>
          <w:rFonts w:ascii="宋体" w:hAnsi="宋体" w:eastAsia="宋体"/>
          <w:b/>
          <w:sz w:val="26"/>
        </w:rPr>
        <w:t>5.5 推动真实世界临床验证与国际标准化协同推进</w:t>
      </w:r>
    </w:p>
    <w:p w14:paraId="10BF66C7">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14:paraId="370EC0CB">
      <w:pPr>
        <w:spacing w:before="120" w:after="60"/>
      </w:pPr>
      <w:r>
        <w:rPr>
          <w:rFonts w:ascii="宋体" w:hAnsi="宋体" w:eastAsia="宋体"/>
          <w:b/>
          <w:sz w:val="28"/>
        </w:rPr>
        <w:t>6. 小结</w:t>
      </w:r>
    </w:p>
    <w:p w14:paraId="04A6F33F">
      <w:pPr>
        <w:spacing w:before="20" w:after="20"/>
        <w:ind w:firstLine="425"/>
        <w:jc w:val="both"/>
      </w:pPr>
      <w:r>
        <w:rPr>
          <w:rFonts w:ascii="宋体" w:hAnsi="宋体" w:eastAsia="宋体"/>
          <w:b w:val="0"/>
          <w:sz w:val="24"/>
        </w:rPr>
        <w:t>目前中医药领域的大语言模型评测，已从标准化考试走向辨证思维、处方安全等深度专业能力的考查，但整体仍以文本单模态为主，存在能力评估虚高、安全评价缺位与临床效用偏估等系统性局限。要让模型在中医药领域从“可用”走向“可信、可靠”，关键是建立以临床多模态能力为核心、以患者结局为终点的新一代评测范式，这有赖于方法学创新与真实世界证据的长期积累。</w:t>
      </w:r>
    </w:p>
    <w:p w14:paraId="5E8A0C6F">
      <w:pPr>
        <w:spacing w:before="20" w:after="20"/>
        <w:ind w:firstLine="425"/>
        <w:jc w:val="both"/>
      </w:pPr>
      <w:r>
        <w:rPr>
          <w:rFonts w:ascii="宋体" w:hAnsi="宋体" w:eastAsia="宋体"/>
          <w:b w:val="0"/>
          <w:sz w:val="24"/>
        </w:rPr>
        <w:t>利益冲突声明：作者声明无利益冲突。</w:t>
      </w:r>
    </w:p>
    <w:p w14:paraId="4DDBC2D1">
      <w:pPr>
        <w:spacing w:before="120" w:after="60"/>
      </w:pPr>
      <w:r>
        <w:rPr>
          <w:rFonts w:ascii="宋体" w:hAnsi="宋体" w:eastAsia="宋体"/>
          <w:b/>
          <w:sz w:val="28"/>
        </w:rPr>
        <w:t>参考文献</w:t>
      </w:r>
    </w:p>
    <w:p w14:paraId="75832CEA">
      <w:pPr>
        <w:spacing w:before="20" w:after="20"/>
        <w:ind w:left="480" w:hanging="480"/>
        <w:jc w:val="both"/>
      </w:pPr>
      <w:r>
        <w:rPr>
          <w:rFonts w:ascii="宋体" w:hAnsi="宋体" w:eastAsia="宋体"/>
          <w:b w:val="0"/>
          <w:sz w:val="21"/>
        </w:rPr>
        <w:t>[1] HAN C X, YANG G Y, LI H T, et al. Tuning and clinical application of large language models in traditional Chinese medicine: scoping review[J]. Chinese Medicine, 2026, 21(1): 71.</w:t>
      </w:r>
    </w:p>
    <w:p w14:paraId="0C9064C8">
      <w:pPr>
        <w:spacing w:before="20" w:after="20"/>
        <w:ind w:left="480" w:hanging="480"/>
        <w:jc w:val="both"/>
      </w:pPr>
      <w:r>
        <w:rPr>
          <w:rFonts w:ascii="宋体" w:hAnsi="宋体" w:eastAsia="宋体"/>
          <w:b w:val="0"/>
          <w:sz w:val="21"/>
        </w:rPr>
        <w:t>[2] YIP H F, LI Z M, ZHANG L, et al. Large language models in integrative medicine: progress, challenges, and opportunities[J]. Journal of Evidence-Based Medicine, 2025, 18(2): e70031.</w:t>
      </w:r>
    </w:p>
    <w:p w14:paraId="71F6B05C">
      <w:pPr>
        <w:spacing w:before="20" w:after="20"/>
        <w:ind w:left="480" w:hanging="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 19(1): e70118.</w:t>
      </w:r>
    </w:p>
    <w:p w14:paraId="712D39FC">
      <w:pPr>
        <w:spacing w:before="20" w:after="20"/>
        <w:ind w:left="480" w:hanging="480"/>
        <w:jc w:val="both"/>
      </w:pPr>
      <w:r>
        <w:rPr>
          <w:rFonts w:ascii="宋体" w:hAnsi="宋体" w:eastAsia="宋体"/>
          <w:b w:val="0"/>
          <w:sz w:val="21"/>
        </w:rPr>
        <w:t>[4] JANG D Y, YUN T R, LEE C Y, et al. GPT-4 can pass the Korean National Licensing Examination for Korean Medicine Doctors[J]. PLOS Digital Health, 2023, 2(12): e0000416.</w:t>
      </w:r>
    </w:p>
    <w:p w14:paraId="2DF21668">
      <w:pPr>
        <w:spacing w:before="20" w:after="20"/>
        <w:ind w:left="480" w:hanging="480"/>
        <w:jc w:val="both"/>
      </w:pPr>
      <w:r>
        <w:rPr>
          <w:rFonts w:ascii="宋体" w:hAnsi="宋体" w:eastAsia="宋体"/>
          <w:b w:val="0"/>
          <w:sz w:val="21"/>
        </w:rPr>
        <w:t>[5] 曹露, 许林, 张宇洁, 等. 大语言模型在中医领域的标准化评估[J]. 南京中医药大学学报, 2024, 40(12): 1383-1392.</w:t>
      </w:r>
    </w:p>
    <w:p w14:paraId="356AC2A3">
      <w:pPr>
        <w:spacing w:before="20" w:after="20"/>
        <w:ind w:left="480" w:hanging="480"/>
        <w:jc w:val="both"/>
      </w:pPr>
      <w:r>
        <w:rPr>
          <w:rFonts w:ascii="宋体" w:hAnsi="宋体" w:eastAsia="宋体"/>
          <w:b w:val="0"/>
          <w:sz w:val="21"/>
        </w:rPr>
        <w:t>[6] 郝梦. 面向大语言模型的中医辨证思维测评数据集构建研究[D]. 北京: 中国中医科学院, 2025.</w:t>
      </w:r>
    </w:p>
    <w:p w14:paraId="377327EE">
      <w:pPr>
        <w:spacing w:before="20" w:after="20"/>
        <w:ind w:left="480" w:hanging="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 13: e75103.</w:t>
      </w:r>
    </w:p>
    <w:p w14:paraId="2E0D5CDD">
      <w:pPr>
        <w:spacing w:before="20" w:after="20"/>
        <w:ind w:left="480" w:hanging="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 37(5): 102.</w:t>
      </w:r>
    </w:p>
    <w:p w14:paraId="1F711D5D">
      <w:pPr>
        <w:spacing w:before="20" w:after="20"/>
        <w:ind w:left="480" w:hanging="480"/>
        <w:jc w:val="both"/>
      </w:pPr>
      <w:r>
        <w:rPr>
          <w:rFonts w:ascii="宋体" w:hAnsi="宋体" w:eastAsia="宋体"/>
          <w:b w:val="0"/>
          <w:sz w:val="21"/>
        </w:rPr>
        <w:t>[9] LIN J X, DAI G, PENG W J, et al. ATCMD-Bench: agentic traditional Chinese medicine diagnosis benchmark for large language models via multi-agent simulation[J]. Pattern Recognition, 2026, 179: 113679.</w:t>
      </w:r>
    </w:p>
    <w:p w14:paraId="2652F5E4">
      <w:pPr>
        <w:spacing w:before="20" w:after="20"/>
        <w:ind w:left="480" w:hanging="480"/>
        <w:jc w:val="both"/>
      </w:pPr>
      <w:r>
        <w:rPr>
          <w:rFonts w:ascii="宋体" w:hAnsi="宋体" w:eastAsia="宋体"/>
          <w:b w:val="0"/>
          <w:sz w:val="21"/>
        </w:rPr>
        <w:t>[10] SHI D S, YI X, LI Y, et al. Benchmarking large language models for end-to-end clinical support in traditional Chinese medicine[J]. Expert Systems with Applications, 2026, 325: 132267.</w:t>
      </w:r>
    </w:p>
    <w:p w14:paraId="6C42147B">
      <w:pPr>
        <w:spacing w:before="20" w:after="20"/>
        <w:ind w:left="480" w:hanging="480"/>
        <w:jc w:val="both"/>
      </w:pPr>
      <w:r>
        <w:rPr>
          <w:rFonts w:ascii="宋体" w:hAnsi="宋体" w:eastAsia="宋体"/>
          <w:b w:val="0"/>
          <w:sz w:val="21"/>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42A2F5F0">
      <w:pPr>
        <w:spacing w:before="20" w:after="20"/>
        <w:ind w:left="480" w:hanging="480"/>
        <w:jc w:val="both"/>
      </w:pPr>
      <w:r>
        <w:rPr>
          <w:rFonts w:ascii="宋体" w:hAnsi="宋体" w:eastAsia="宋体"/>
          <w:b w:val="0"/>
          <w:sz w:val="21"/>
        </w:rPr>
        <w:t>[12] WANG B F, LU Y W, WANG Z, et al. TCMEval-PA: a question-answering benchmark dataset for the prescription audit of traditional Chinese medicine[J]. Scientific Data, 2025, 12: 79.</w:t>
      </w:r>
    </w:p>
    <w:p w14:paraId="079C8228">
      <w:pPr>
        <w:spacing w:before="20" w:after="20"/>
        <w:ind w:left="480" w:hanging="480"/>
        <w:jc w:val="both"/>
      </w:pPr>
      <w:r>
        <w:rPr>
          <w:rFonts w:ascii="宋体" w:hAnsi="宋体" w:eastAsia="宋体"/>
          <w:b w:val="0"/>
          <w:sz w:val="21"/>
        </w:rPr>
        <w:t>[13] LU H M, LIU L, YUAN J L, et al. TCM-Align: curriculum-aligned MCQ generation for traditional Chinese medicine[C]// Companion of the 2025 ACM International Joint Conference on Pervasive and Ubiquitous Computing. New York: ACM, 2025: 1382-1387.</w:t>
      </w:r>
    </w:p>
    <w:p w14:paraId="072C555E">
      <w:pPr>
        <w:spacing w:before="20" w:after="20"/>
        <w:ind w:left="480" w:hanging="480"/>
        <w:jc w:val="both"/>
      </w:pPr>
      <w:r>
        <w:rPr>
          <w:rFonts w:ascii="宋体" w:hAnsi="宋体" w:eastAsia="宋体"/>
          <w:b w:val="0"/>
          <w:sz w:val="21"/>
        </w:rPr>
        <w:t>[14] 赵尚卿, 兰曼, 柏晓鹏, 等. 负屃：古汉语文本理解与生成能力评测基准[J]. 中文信息学报, 2026.</w:t>
      </w:r>
    </w:p>
    <w:p w14:paraId="68769BDA">
      <w:pPr>
        <w:spacing w:before="20" w:after="20"/>
        <w:ind w:left="480" w:hanging="480"/>
        <w:jc w:val="both"/>
      </w:pPr>
      <w:r>
        <w:rPr>
          <w:rFonts w:ascii="宋体" w:hAnsi="宋体" w:eastAsia="宋体"/>
          <w:b w:val="0"/>
          <w:sz w:val="21"/>
        </w:rPr>
        <w:t>[15] YU N, HUANG J, LIU J, et al. Development of a cold-heat syndrome classification model for children with allergic rhinitis based on multimodal data[J]. Translational Pediatrics, 2025, 14(12): 3375-3386.</w:t>
      </w:r>
    </w:p>
    <w:p w14:paraId="1FAD5EF8">
      <w:pPr>
        <w:spacing w:before="20" w:after="20"/>
        <w:ind w:left="480" w:hanging="480"/>
        <w:jc w:val="both"/>
      </w:pPr>
      <w:r>
        <w:rPr>
          <w:rFonts w:ascii="宋体" w:hAnsi="宋体" w:eastAsia="宋体"/>
          <w:b w:val="0"/>
          <w:sz w:val="21"/>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51F0A36E">
      <w:pPr>
        <w:spacing w:before="20" w:after="20"/>
        <w:ind w:left="480" w:hanging="480"/>
        <w:jc w:val="both"/>
      </w:pPr>
      <w:r>
        <w:rPr>
          <w:rFonts w:ascii="宋体" w:hAnsi="宋体" w:eastAsia="宋体"/>
          <w:b w:val="0"/>
          <w:sz w:val="21"/>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w:t>
      </w:r>
    </w:p>
    <w:p w14:paraId="1E9FE302">
      <w:pPr>
        <w:spacing w:before="20" w:after="20"/>
        <w:ind w:left="480" w:hanging="480"/>
        <w:jc w:val="both"/>
      </w:pPr>
      <w:r>
        <w:rPr>
          <w:rFonts w:ascii="宋体" w:hAnsi="宋体" w:eastAsia="宋体"/>
          <w:b w:val="0"/>
          <w:sz w:val="21"/>
        </w:rPr>
        <w:t>[18] 张童, 王一凡, 王若佳, 等. 面向中医药领域专业能力的生成式大语言模型对比研究[J]. 中华中医药学刊, 2025, 43(10): 19-27, 260.</w:t>
      </w:r>
    </w:p>
    <w:p w14:paraId="36DCE217">
      <w:pPr>
        <w:spacing w:before="20" w:after="20"/>
        <w:ind w:left="480" w:hanging="480"/>
        <w:jc w:val="both"/>
      </w:pPr>
      <w:r>
        <w:rPr>
          <w:rFonts w:ascii="宋体" w:hAnsi="宋体" w:eastAsia="宋体"/>
          <w:b w:val="0"/>
          <w:sz w:val="21"/>
        </w:rPr>
        <w:t>[19] DAI Y Z, SHAO X, ZHANG J L, et al. TCMChat: a generative large language model for traditional Chinese medicine[J]. Pharmacological Research, 2024, 210: 107530.</w:t>
      </w:r>
    </w:p>
    <w:p w14:paraId="123D2536">
      <w:pPr>
        <w:spacing w:before="20" w:after="20"/>
        <w:ind w:left="480" w:hanging="480"/>
        <w:jc w:val="both"/>
      </w:pPr>
      <w:r>
        <w:rPr>
          <w:rFonts w:ascii="宋体" w:hAnsi="宋体" w:eastAsia="宋体"/>
          <w:b w:val="0"/>
          <w:sz w:val="21"/>
        </w:rPr>
        <w:t>[20] TONG X M, DING X Z, JIA H R, et al. XuanHuGPT: parameter-efficient fine-tuning of large language model in the field of traditional Chinese medicine[J]. Chinese Medicine, 2025, 20(1): 204.</w:t>
      </w:r>
    </w:p>
    <w:p w14:paraId="7491DE76">
      <w:pPr>
        <w:spacing w:before="20" w:after="20"/>
        <w:ind w:left="480" w:hanging="480"/>
        <w:jc w:val="both"/>
      </w:pPr>
      <w:r>
        <w:rPr>
          <w:rFonts w:ascii="宋体" w:hAnsi="宋体" w:eastAsia="宋体"/>
          <w:b w:val="0"/>
          <w:sz w:val="21"/>
        </w:rPr>
        <w:t>[21] JIA Y Z, JI X Y, WANG X, et al. Qibo: a large language model for traditional Chinese medicine[J]. Expert Systems with Applications, 2025, 284: 127672.</w:t>
      </w:r>
    </w:p>
    <w:p w14:paraId="46EC66DC">
      <w:pPr>
        <w:spacing w:before="20" w:after="20"/>
        <w:ind w:left="480" w:hanging="480"/>
        <w:jc w:val="both"/>
      </w:pPr>
      <w:r>
        <w:rPr>
          <w:rFonts w:ascii="宋体" w:hAnsi="宋体" w:eastAsia="宋体"/>
          <w:b w:val="0"/>
          <w:sz w:val="21"/>
        </w:rPr>
        <w:t>[22] ZHAO W L, LAI H H, PAN B, et al. Assessing the adherence of large language models to clinical practice guidelines in Chinese medicine: a content analysis[J]. Frontiers in Pharmacology, 2025, 16: 1649041.</w:t>
      </w:r>
    </w:p>
    <w:p w14:paraId="164667C6">
      <w:pPr>
        <w:spacing w:before="20" w:after="20"/>
        <w:ind w:left="480" w:hanging="480"/>
        <w:jc w:val="both"/>
      </w:pPr>
      <w:r>
        <w:rPr>
          <w:rFonts w:ascii="宋体" w:hAnsi="宋体" w:eastAsia="宋体"/>
          <w:b w:val="0"/>
          <w:sz w:val="21"/>
        </w:rPr>
        <w:t>[23] WANG B F, ZHANG M W, WANG Z, et al. Supporting postgraduate exam preparation with large language models: implications for traditional Chinese medicine education[J]. Frontiers in Medicine, 2026, 12: 1667104.</w:t>
      </w:r>
    </w:p>
    <w:p w14:paraId="5BEBAE63">
      <w:pPr>
        <w:spacing w:before="20" w:after="20"/>
        <w:ind w:left="480" w:hanging="480"/>
        <w:jc w:val="both"/>
      </w:pPr>
      <w:r>
        <w:rPr>
          <w:rFonts w:ascii="宋体" w:hAnsi="宋体" w:eastAsia="宋体"/>
          <w:b w:val="0"/>
          <w:sz w:val="21"/>
        </w:rPr>
        <w:t>[24] GHANAD E, WEISS C, GAO H, et al. GPT versus ERNIE for national traditional Chinese medicine licensing examination: does cultural background matter?[J]. Journal of Integrative and Complementary Medicine, 2025, 31(9): 844-848.</w:t>
      </w:r>
    </w:p>
    <w:p w14:paraId="6F866D5A">
      <w:pPr>
        <w:spacing w:before="20" w:after="20"/>
        <w:ind w:left="480" w:hanging="480"/>
        <w:jc w:val="both"/>
      </w:pPr>
      <w:r>
        <w:rPr>
          <w:rFonts w:ascii="宋体" w:hAnsi="宋体" w:eastAsia="宋体"/>
          <w:b w:val="0"/>
          <w:sz w:val="21"/>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918B8CA">
      <w:pPr>
        <w:spacing w:before="20" w:after="20"/>
        <w:ind w:left="480" w:hanging="480"/>
        <w:jc w:val="both"/>
      </w:pPr>
      <w:r>
        <w:rPr>
          <w:rFonts w:ascii="宋体" w:hAnsi="宋体" w:eastAsia="宋体"/>
          <w:b w:val="0"/>
          <w:sz w:val="21"/>
        </w:rPr>
        <w:t>[26] LIU Z, YANG T, WANG J, et al. Tianyi: a traditional Chinese medicine all-rounder language model and its real-world clinical practice[J]. Information Fusion, 2026, 126: 103663.</w:t>
      </w:r>
    </w:p>
    <w:p w14:paraId="3A29072C">
      <w:pPr>
        <w:spacing w:before="20" w:after="20"/>
        <w:ind w:left="480" w:hanging="480"/>
        <w:jc w:val="both"/>
      </w:pPr>
      <w:r>
        <w:rPr>
          <w:rFonts w:ascii="宋体" w:hAnsi="宋体" w:eastAsia="宋体"/>
          <w:b w:val="0"/>
          <w:sz w:val="21"/>
        </w:rPr>
        <w:t>[27] YANG Q R, HAN J X, WANG H Z, et al. Knowledge graph enhanced large language models for traditional Chinese medicine question-answering[C]// 2026 IEEE International Conference on Big Data and Smart Computing (BigComp). Piscataway: IEEE, 2026: 96-103.</w:t>
      </w:r>
    </w:p>
    <w:p w14:paraId="7BEBD892">
      <w:pPr>
        <w:spacing w:before="20" w:after="20"/>
        <w:ind w:left="480" w:hanging="480"/>
        <w:jc w:val="both"/>
      </w:pPr>
      <w:r>
        <w:rPr>
          <w:rFonts w:ascii="宋体" w:hAnsi="宋体" w:eastAsia="宋体"/>
          <w:b w:val="0"/>
          <w:sz w:val="21"/>
        </w:rPr>
        <w:t>[28] DUAN Y C, ZHOU Q Q, LI Y, et al. Research on a traditional Chinese medicine case-based question-answering system integrating large language models and knowledge graphs[J]. Frontiers in Medicine, 2024, 11: 1512329.</w:t>
      </w:r>
    </w:p>
    <w:p w14:paraId="715737E0">
      <w:r>
        <w:t>[29] HUA R, DONG X, WEI Y, et al. Lingdan: enhancing encoding of traditional Chinese medicine knowledge for clinical reasoning tasks with large language models[J]. Journal of the American Medical Informatics Association, 2024, 31(9): 2019-2029.</w:t>
      </w:r>
    </w:p>
    <w:p w14:paraId="2645D137">
      <w:r>
        <w:t>[30] WEN J, LIU D D, XIE Y X, et al. AcuGPT-Agent: an LLM-powered intelligent system for acupuncture-based infertility treatment[J]. Neurocomputing, 2025, 652: 131116.</w:t>
      </w:r>
    </w:p>
    <w:p w14:paraId="1D14CBFD">
      <w:r>
        <w:t>[31] WANG Z, LI K Q, PENG S Y, et al. A weighted voting approach for traditional Chinese medicine formula classification using large language models: algorithm development and validation study[J]. JMIR Medical Informatics, 2025, 13: e69286.</w:t>
      </w:r>
    </w:p>
    <w:p w14:paraId="4B4084EE">
      <w:r>
        <w:t>[32] ZHANG R X, XIE W D, LIN Q Z, et al. When East meets West: cross-domain drug interaction annotations with large language models and bidirectional neural networks[J]. IEEE Journal of Biomedical and Health Informatics, 2025, 29(10): 7694-7703.</w:t>
      </w:r>
    </w:p>
    <w:p w14:paraId="236BA6D2">
      <w:r>
        <w:t>[33] XU Q, ZHAO Z H, LIU W W, et al. A character-level convolutional recurrent interaction network for joint traditional Chinese medicine clinical named entity recognition and relation extraction[J]. Artificial Intelligence in Medicine, 2026.</w:t>
      </w:r>
    </w:p>
    <w:p w14:paraId="30036A3A">
      <w:r>
        <w:t>[34] MOOR M, BANERJEE O, ABAD Z S H, et al. Foundation models for generalist medical artificial intelligence[J]. Nature, 2023, 616(7956): 259-265.</w:t>
      </w:r>
    </w:p>
    <w:p w14:paraId="12BECE31">
      <w:r>
        <w:t>[35] SINGHAL K, AZIZI S, TU T, et al. Large language models encode clinical knowledge[J]. Nature, 2023, 620(7972): 172-180.</w:t>
      </w:r>
    </w:p>
    <w:p w14:paraId="1073A324">
      <w:r>
        <w:t>[36] LIU Y, YUAN Y S, YAN K M, et al. Evaluating the role of large language models in traditional Chinese medicine diagnosis and treatment recommendations[J]. npj Digital Medicine, 2025, 8(1): 466.</w:t>
      </w:r>
    </w:p>
    <w:p w14:paraId="447FAA95">
      <w:r>
        <w:t>[37] TOPOL E J. High-performance medicine: the convergence of human and artificial intelligence[J]. Nature Medicine, 2019, 25(1): 44-56.</w:t>
      </w:r>
    </w:p>
    <w:p w14:paraId="0BD84470">
      <w:r>
        <w:t>[38] 全国信息技术标准化技术委员会. 人工智能 大模型 第2部分：评测指标与方法: GB/T 45288.2—2025[S]. 北京: 中国标准出版社, 2025.</w:t>
      </w:r>
    </w:p>
    <w:p w14:paraId="23B5D87B">
      <w:r>
        <w:t>[39] 中国中医科学院中医药信息研究所, 陕西中医药大学. 多模态中医药人工智能模型评测标准（征求意见稿）[S]. 北京: 国家中医药管理局, 2025.</w:t>
      </w:r>
    </w:p>
    <w:p w14:paraId="523B2A6A">
      <w:r>
        <w:t>[40] 王忆勤, 郭睿. 中医四诊信息采集规范化研究思路与方法[J]. 中医杂志, 2014, 55(8): 635-638.</w:t>
      </w:r>
    </w:p>
    <w:sectPr>
      <w:pgSz w:w="11906" w:h="16838"/>
      <w:pgMar w:top="1417" w:right="1417"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C07634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9276</Words>
  <Characters>15362</Characters>
  <Lines>0</Lines>
  <Paragraphs>0</Paragraphs>
  <TotalTime>1006</TotalTime>
  <ScaleCrop>false</ScaleCrop>
  <LinksUpToDate>false</LinksUpToDate>
  <CharactersWithSpaces>16484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2026-06-10T01:52:16Z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D1A29596F6E54C77BC5EEAF4DE30DB57_12</vt:lpwstr>
  </property>
</Properties>
</file>