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3BF49">
      <w:pPr>
        <w:pStyle w:val="3"/>
        <w:spacing w:after="240"/>
        <w:jc w:val="center"/>
      </w:pPr>
      <w:r>
        <w:rPr>
          <w:rFonts w:ascii="黑体" w:hAnsi="黑体" w:eastAsia="黑体"/>
          <w:b/>
          <w:sz w:val="44"/>
        </w:rPr>
        <w:t>第十章　中医药人工智能研究方法展望</w:t>
      </w:r>
    </w:p>
    <w:p w14:paraId="716916F4">
      <w:pPr>
        <w:pStyle w:val="4"/>
        <w:spacing w:after="160"/>
        <w:ind w:firstLine="562" w:firstLineChars="200"/>
        <w:jc w:val="left"/>
      </w:pPr>
      <w:r>
        <w:rPr>
          <w:rFonts w:ascii="Times New Roman" w:hAnsi="Times New Roman" w:eastAsia="宋体"/>
          <w:b/>
          <w:sz w:val="28"/>
        </w:rPr>
        <w:t>学习目标</w:t>
      </w:r>
    </w:p>
    <w:p w14:paraId="456784E7">
      <w:pPr>
        <w:pStyle w:val="5"/>
        <w:spacing w:after="80"/>
        <w:ind w:firstLine="482" w:firstLineChars="200"/>
        <w:jc w:val="left"/>
      </w:pPr>
      <w:r>
        <w:rPr>
          <w:rFonts w:ascii="Times New Roman" w:hAnsi="Times New Roman" w:eastAsia="黑体"/>
          <w:b/>
          <w:sz w:val="24"/>
        </w:rPr>
        <w:t>知识目标</w:t>
      </w:r>
    </w:p>
    <w:p w14:paraId="7C08D403">
      <w:pPr>
        <w:spacing w:after="80" w:line="360" w:lineRule="auto"/>
        <w:ind w:firstLine="480" w:firstLineChars="200"/>
        <w:jc w:val="both"/>
      </w:pPr>
      <w:r>
        <w:rPr>
          <w:rFonts w:ascii="Times New Roman" w:hAnsi="Times New Roman" w:eastAsia="宋体"/>
          <w:b w:val="0"/>
          <w:sz w:val="24"/>
        </w:rPr>
        <w:t>1. 理解生成式人工智能、大语言模型、多模态大模型、智能体、检索增强生成、知识图谱、参数高效微调等技术概念及其在中医药研究中的适配关系。</w:t>
      </w:r>
    </w:p>
    <w:p w14:paraId="45EFDCCE">
      <w:pPr>
        <w:spacing w:after="80" w:line="360" w:lineRule="auto"/>
        <w:ind w:firstLine="480" w:firstLineChars="200"/>
        <w:jc w:val="both"/>
      </w:pPr>
      <w:r>
        <w:rPr>
          <w:rFonts w:ascii="Times New Roman" w:hAnsi="Times New Roman" w:eastAsia="宋体"/>
          <w:b w:val="0"/>
          <w:sz w:val="24"/>
        </w:rPr>
        <w:t>2. 掌握可信人工智能的基本框架，能够说明可靠性、安全性、可解释性、公平性、隐私保护与可问责性之间的内在联系。</w:t>
      </w:r>
    </w:p>
    <w:p w14:paraId="0AC28022">
      <w:pPr>
        <w:spacing w:after="80" w:line="360" w:lineRule="auto"/>
        <w:ind w:firstLine="480" w:firstLineChars="200"/>
        <w:jc w:val="both"/>
      </w:pPr>
      <w:r>
        <w:rPr>
          <w:rFonts w:ascii="Times New Roman" w:hAnsi="Times New Roman" w:eastAsia="宋体"/>
          <w:b w:val="0"/>
          <w:sz w:val="24"/>
        </w:rPr>
        <w:t>3. 理解不确定性量化、鲁棒性评估、算法公平性度量的基本原理，并能结合中医药数据特征进行解释。</w:t>
      </w:r>
    </w:p>
    <w:p w14:paraId="3E61E5A9">
      <w:pPr>
        <w:pStyle w:val="5"/>
        <w:spacing w:after="80"/>
        <w:ind w:firstLine="482" w:firstLineChars="200"/>
        <w:jc w:val="left"/>
      </w:pPr>
      <w:r>
        <w:rPr>
          <w:rFonts w:ascii="Times New Roman" w:hAnsi="Times New Roman" w:eastAsia="黑体"/>
          <w:b/>
          <w:sz w:val="24"/>
        </w:rPr>
        <w:t>能力目标</w:t>
      </w:r>
    </w:p>
    <w:p w14:paraId="5185D68D">
      <w:pPr>
        <w:spacing w:after="80" w:line="360" w:lineRule="auto"/>
        <w:ind w:firstLine="480" w:firstLineChars="200"/>
        <w:jc w:val="both"/>
      </w:pPr>
      <w:r>
        <w:rPr>
          <w:rFonts w:ascii="Times New Roman" w:hAnsi="Times New Roman" w:eastAsia="宋体"/>
          <w:b w:val="0"/>
          <w:sz w:val="24"/>
        </w:rPr>
        <w:t>1. 能够针对中医药文本、图像、组学、临床真实世界数据和多模态数据，选择继续预训练、监督微调、参数高效微调、检索增强生成、知识图谱约束、智能体编排等适配路径。</w:t>
      </w:r>
    </w:p>
    <w:p w14:paraId="487A8D30">
      <w:pPr>
        <w:spacing w:after="80" w:line="360" w:lineRule="auto"/>
        <w:ind w:firstLine="480" w:firstLineChars="200"/>
        <w:jc w:val="both"/>
      </w:pPr>
      <w:r>
        <w:rPr>
          <w:rFonts w:ascii="Times New Roman" w:hAnsi="Times New Roman" w:eastAsia="宋体"/>
          <w:b w:val="0"/>
          <w:sz w:val="24"/>
        </w:rPr>
        <w:t>2. 能够设计面向中医药大模型的评测方案，将准确率、幻觉率、错误信息识别、置信度校准、分布外泛化、公平性分层评价纳入统一框架。</w:t>
      </w:r>
    </w:p>
    <w:p w14:paraId="5C6470A8">
      <w:pPr>
        <w:spacing w:after="80" w:line="360" w:lineRule="auto"/>
        <w:ind w:firstLine="480" w:firstLineChars="200"/>
        <w:jc w:val="both"/>
      </w:pPr>
      <w:r>
        <w:rPr>
          <w:rFonts w:ascii="Times New Roman" w:hAnsi="Times New Roman" w:eastAsia="宋体"/>
          <w:b w:val="0"/>
          <w:sz w:val="24"/>
        </w:rPr>
        <w:t>3. 能够把中医药术语规范、辨证论治逻辑、证据等级、临床安全约束转化为可计算的数据结构、模型约束与评价指标。</w:t>
      </w:r>
    </w:p>
    <w:p w14:paraId="21745553">
      <w:pPr>
        <w:pStyle w:val="5"/>
        <w:spacing w:after="80"/>
        <w:ind w:firstLine="482" w:firstLineChars="200"/>
        <w:jc w:val="left"/>
      </w:pPr>
      <w:r>
        <w:rPr>
          <w:rFonts w:ascii="Times New Roman" w:hAnsi="Times New Roman" w:eastAsia="黑体"/>
          <w:b/>
          <w:sz w:val="24"/>
        </w:rPr>
        <w:t>素养目标</w:t>
      </w:r>
    </w:p>
    <w:p w14:paraId="7F98CE5A">
      <w:pPr>
        <w:spacing w:after="80" w:line="360" w:lineRule="auto"/>
        <w:ind w:firstLine="480" w:firstLineChars="200"/>
        <w:jc w:val="both"/>
      </w:pPr>
      <w:r>
        <w:rPr>
          <w:rFonts w:ascii="Times New Roman" w:hAnsi="Times New Roman" w:eastAsia="宋体"/>
          <w:b w:val="0"/>
          <w:sz w:val="24"/>
        </w:rPr>
        <w:t>1. 形成“AI增强临床与科研、医师保留最终责任”的研究伦理意识。</w:t>
      </w:r>
    </w:p>
    <w:p w14:paraId="10A69E0D">
      <w:pPr>
        <w:spacing w:after="80" w:line="360" w:lineRule="auto"/>
        <w:ind w:firstLine="480" w:firstLineChars="200"/>
        <w:jc w:val="both"/>
      </w:pPr>
      <w:r>
        <w:rPr>
          <w:rFonts w:ascii="Times New Roman" w:hAnsi="Times New Roman" w:eastAsia="宋体"/>
          <w:b w:val="0"/>
          <w:sz w:val="24"/>
        </w:rPr>
        <w:t>2. 建立以患者安全、证据可靠、数据合规、模型可审查为核心的中医药人工智能研究观。</w:t>
      </w:r>
    </w:p>
    <w:p w14:paraId="6604C0E3">
      <w:pPr>
        <w:spacing w:after="80" w:line="360" w:lineRule="auto"/>
        <w:ind w:firstLine="480" w:firstLineChars="200"/>
        <w:jc w:val="both"/>
      </w:pPr>
      <w:r>
        <w:rPr>
          <w:rFonts w:ascii="Times New Roman" w:hAnsi="Times New Roman" w:eastAsia="宋体"/>
          <w:b w:val="0"/>
          <w:sz w:val="24"/>
        </w:rPr>
        <w:t>3. 理解中医药人工智能的发展应服务于中医药传承创新、临床质量提升和研究方法更新，避免以技术指标替代医学价值判断。</w:t>
      </w:r>
    </w:p>
    <w:p w14:paraId="42F6892E">
      <w:pPr>
        <w:pStyle w:val="4"/>
        <w:spacing w:after="200"/>
        <w:jc w:val="center"/>
      </w:pPr>
      <w:r>
        <w:rPr>
          <w:rFonts w:ascii="黑体" w:hAnsi="黑体" w:eastAsia="黑体"/>
          <w:b/>
          <w:sz w:val="36"/>
        </w:rPr>
        <w:t>第一节　生成式大模型与下一代AI技术在中医药中的适配前景</w:t>
      </w:r>
    </w:p>
    <w:p w14:paraId="56DAC7FA">
      <w:pPr>
        <w:pStyle w:val="5"/>
        <w:spacing w:after="120"/>
        <w:ind w:firstLine="562" w:firstLineChars="200"/>
        <w:jc w:val="left"/>
      </w:pPr>
      <w:r>
        <w:rPr>
          <w:rFonts w:ascii="Times New Roman" w:hAnsi="Times New Roman" w:eastAsia="宋体"/>
          <w:b/>
          <w:sz w:val="28"/>
        </w:rPr>
        <w:t>本节导读</w:t>
      </w:r>
    </w:p>
    <w:p w14:paraId="1EB797CF">
      <w:pPr>
        <w:spacing w:after="80" w:line="360" w:lineRule="auto"/>
        <w:ind w:firstLine="480" w:firstLineChars="200"/>
        <w:jc w:val="both"/>
      </w:pPr>
      <w:r>
        <w:rPr>
          <w:rFonts w:ascii="Times New Roman" w:hAnsi="Times New Roman" w:eastAsia="宋体"/>
          <w:b w:val="0"/>
          <w:sz w:val="24"/>
        </w:rPr>
        <w:t>前九章分别讨论了文本、图像、生物信号、组学、多模态、科学仪器、脑机接口、临床研究与真实世界证据等场景中的人工智能研究方法。本节在此基础上讨论生成式大模型与下一代人工智能技术的中医药适配路径。生成式人工智能不仅改变了知识检索、问答生成和文献整理方式，还正在影响辨证论治建模、方药推荐、医案结构化、科研假说生成、智能教育和真实世界研究仿真。本节重点不在于罗列已有模型，而在于回答三个方法学问题：第一，中医药领域需要何种知识基座才能支持大模型持续演进；第二，模型适配如何从语言层面的“会回答”转向医学层面的“可验证、可追溯、可监管”；第三，下一代AI技术进入中医药场景时必须满足哪些数据、知识、评测与安全条件。</w:t>
      </w:r>
    </w:p>
    <w:p w14:paraId="0C81B3D0">
      <w:pPr>
        <w:pStyle w:val="5"/>
        <w:spacing w:after="160"/>
        <w:ind w:firstLine="643" w:firstLineChars="200"/>
        <w:jc w:val="left"/>
      </w:pPr>
      <w:r>
        <w:rPr>
          <w:rFonts w:ascii="Times New Roman" w:hAnsi="Times New Roman" w:eastAsia="黑体"/>
          <w:b/>
          <w:sz w:val="32"/>
        </w:rPr>
        <w:t>一、</w:t>
      </w:r>
      <w:bookmarkStart w:id="0" w:name="_GoBack"/>
      <w:r>
        <w:rPr>
          <w:rFonts w:ascii="Times New Roman" w:hAnsi="Times New Roman" w:eastAsia="黑体"/>
          <w:b/>
          <w:sz w:val="32"/>
        </w:rPr>
        <w:t>生成式大模型在中医药中的适配前景</w:t>
      </w:r>
    </w:p>
    <w:bookmarkEnd w:id="0"/>
    <w:p w14:paraId="2A5CE363">
      <w:pPr>
        <w:pStyle w:val="6"/>
        <w:spacing w:after="120"/>
        <w:ind w:firstLine="602" w:firstLineChars="200"/>
        <w:jc w:val="left"/>
      </w:pPr>
      <w:r>
        <w:rPr>
          <w:rFonts w:ascii="Times New Roman" w:hAnsi="Times New Roman" w:eastAsia="黑体"/>
          <w:b/>
          <w:sz w:val="30"/>
        </w:rPr>
        <w:t>（一）技术谱系与中医药适配对象</w:t>
      </w:r>
    </w:p>
    <w:p w14:paraId="1A57227A">
      <w:pPr>
        <w:spacing w:after="80" w:line="360" w:lineRule="auto"/>
        <w:ind w:firstLine="480" w:firstLineChars="200"/>
        <w:jc w:val="both"/>
      </w:pPr>
      <w:r>
        <w:rPr>
          <w:rFonts w:ascii="Times New Roman" w:hAnsi="Times New Roman" w:eastAsia="宋体"/>
          <w:b w:val="0"/>
          <w:sz w:val="24"/>
        </w:rPr>
        <w:t>生成式大模型包括以文本生成和推理为核心的大语言模型，以图像、文本、语音、波形等联合理解为核心的多模态大模型，以及面向分子、蛋白、网络、知识图谱等科学对象的生成式模型。中医药研究中的适配对象具有明显的领域特征：其一，语义层面存在“证、候、病、方、药、法、机”等多级概念，且古今术语、不同流派术语并存；其二，临床层面强调四诊合参、辨证论治、因人因时因地制宜；其三，证据层面包含经典文献、名老中医经验、临床试验、真实世界研究、药理实验和组学证据等不同来源；其四，安全层面涉及用药禁忌、配伍禁忌、妊娠与儿童用药、肝肾功能异常等约束。</w:t>
      </w:r>
    </w:p>
    <w:p w14:paraId="2930B0D4">
      <w:pPr>
        <w:spacing w:after="80" w:line="360" w:lineRule="auto"/>
        <w:ind w:firstLine="480" w:firstLineChars="200"/>
        <w:jc w:val="both"/>
      </w:pPr>
      <w:r>
        <w:rPr>
          <w:rFonts w:ascii="Times New Roman" w:hAnsi="Times New Roman" w:eastAsia="宋体"/>
          <w:b w:val="0"/>
          <w:sz w:val="24"/>
        </w:rPr>
        <w:t>因此，中医药生成式大模型不能仅以“能否生成流畅文本”作为评价标准。对研究生而言，更重要的训练目标是理解“领域适配”这一概念：领域适配不是把通用模型简单用于中医药问答，而是把中医药知识、数据、临床逻辑、证据等级、安全边界和伦理要求逐层转化为模型能够学习、调用、约束和接受评价的形式。</w:t>
      </w:r>
    </w:p>
    <w:p w14:paraId="48A31520">
      <w:pPr>
        <w:spacing w:after="80"/>
        <w:jc w:val="center"/>
      </w:pPr>
      <w:r>
        <w:rPr>
          <w:rFonts w:ascii="Times New Roman" w:hAnsi="Times New Roman" w:eastAsia="黑体"/>
          <w:b/>
          <w:sz w:val="21"/>
        </w:rPr>
        <w:t>表10-1　生成式大模型在中医药中的主要适配路径</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14"/>
        <w:gridCol w:w="2214"/>
        <w:gridCol w:w="2214"/>
      </w:tblGrid>
      <w:tr w14:paraId="2501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D91A412">
            <w:pPr>
              <w:spacing w:after="40"/>
              <w:jc w:val="left"/>
            </w:pPr>
            <w:r>
              <w:rPr>
                <w:rFonts w:ascii="Times New Roman" w:hAnsi="Times New Roman" w:eastAsia="黑体"/>
                <w:b/>
                <w:sz w:val="21"/>
              </w:rPr>
              <w:t>适配路径</w:t>
            </w:r>
          </w:p>
        </w:tc>
        <w:tc>
          <w:tcPr>
            <w:tcW w:w="2250" w:type="dxa"/>
          </w:tcPr>
          <w:p w14:paraId="6337C1BD">
            <w:pPr>
              <w:spacing w:after="40"/>
              <w:jc w:val="left"/>
            </w:pPr>
            <w:r>
              <w:rPr>
                <w:rFonts w:ascii="Times New Roman" w:hAnsi="Times New Roman" w:eastAsia="黑体"/>
                <w:b/>
                <w:sz w:val="21"/>
              </w:rPr>
              <w:t>所需资源</w:t>
            </w:r>
          </w:p>
        </w:tc>
        <w:tc>
          <w:tcPr>
            <w:tcW w:w="2250" w:type="dxa"/>
          </w:tcPr>
          <w:p w14:paraId="4B61CA10">
            <w:pPr>
              <w:spacing w:after="40"/>
              <w:jc w:val="left"/>
            </w:pPr>
            <w:r>
              <w:rPr>
                <w:rFonts w:ascii="Times New Roman" w:hAnsi="Times New Roman" w:eastAsia="黑体"/>
                <w:b/>
                <w:sz w:val="21"/>
              </w:rPr>
              <w:t>适用任务</w:t>
            </w:r>
          </w:p>
        </w:tc>
        <w:tc>
          <w:tcPr>
            <w:tcW w:w="2250" w:type="dxa"/>
          </w:tcPr>
          <w:p w14:paraId="2D28E3BA">
            <w:pPr>
              <w:spacing w:after="40"/>
              <w:jc w:val="left"/>
            </w:pPr>
            <w:r>
              <w:rPr>
                <w:rFonts w:ascii="Times New Roman" w:hAnsi="Times New Roman" w:eastAsia="黑体"/>
                <w:b/>
                <w:sz w:val="21"/>
              </w:rPr>
              <w:t>主要风险</w:t>
            </w:r>
          </w:p>
        </w:tc>
      </w:tr>
      <w:tr w14:paraId="4681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82CC486">
            <w:pPr>
              <w:spacing w:after="40"/>
              <w:jc w:val="left"/>
            </w:pPr>
            <w:r>
              <w:rPr>
                <w:rFonts w:ascii="Times New Roman" w:hAnsi="Times New Roman" w:eastAsia="宋体"/>
                <w:b w:val="0"/>
                <w:sz w:val="21"/>
              </w:rPr>
              <w:t>继续预训练</w:t>
            </w:r>
          </w:p>
        </w:tc>
        <w:tc>
          <w:tcPr>
            <w:tcW w:w="2250" w:type="dxa"/>
          </w:tcPr>
          <w:p w14:paraId="47F116C6">
            <w:pPr>
              <w:spacing w:after="40"/>
              <w:jc w:val="left"/>
            </w:pPr>
            <w:r>
              <w:rPr>
                <w:rFonts w:ascii="Times New Roman" w:hAnsi="Times New Roman" w:eastAsia="宋体"/>
                <w:b w:val="0"/>
                <w:sz w:val="21"/>
              </w:rPr>
              <w:t>高质量领域语料、版本与版权记录、语料分级标注</w:t>
            </w:r>
          </w:p>
        </w:tc>
        <w:tc>
          <w:tcPr>
            <w:tcW w:w="2250" w:type="dxa"/>
          </w:tcPr>
          <w:p w14:paraId="224549EB">
            <w:pPr>
              <w:spacing w:after="40"/>
              <w:jc w:val="left"/>
            </w:pPr>
            <w:r>
              <w:rPr>
                <w:rFonts w:ascii="Times New Roman" w:hAnsi="Times New Roman" w:eastAsia="宋体"/>
                <w:b w:val="0"/>
                <w:sz w:val="21"/>
              </w:rPr>
              <w:t>古籍语言建模、术语习得、知识基座建设</w:t>
            </w:r>
          </w:p>
        </w:tc>
        <w:tc>
          <w:tcPr>
            <w:tcW w:w="2250" w:type="dxa"/>
          </w:tcPr>
          <w:p w14:paraId="78067E3B">
            <w:pPr>
              <w:spacing w:after="40"/>
              <w:jc w:val="left"/>
            </w:pPr>
            <w:r>
              <w:rPr>
                <w:rFonts w:ascii="Times New Roman" w:hAnsi="Times New Roman" w:eastAsia="宋体"/>
                <w:b w:val="0"/>
                <w:sz w:val="21"/>
              </w:rPr>
              <w:t>灾难性遗忘、语料噪声放大</w:t>
            </w:r>
          </w:p>
        </w:tc>
      </w:tr>
      <w:tr w14:paraId="6587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2DE779B">
            <w:pPr>
              <w:spacing w:after="40"/>
              <w:jc w:val="left"/>
            </w:pPr>
            <w:r>
              <w:rPr>
                <w:rFonts w:ascii="Times New Roman" w:hAnsi="Times New Roman" w:eastAsia="宋体"/>
                <w:b w:val="0"/>
                <w:sz w:val="21"/>
              </w:rPr>
              <w:t>监督微调与对齐</w:t>
            </w:r>
          </w:p>
        </w:tc>
        <w:tc>
          <w:tcPr>
            <w:tcW w:w="2250" w:type="dxa"/>
          </w:tcPr>
          <w:p w14:paraId="72A2F1FD">
            <w:pPr>
              <w:spacing w:after="40"/>
              <w:jc w:val="left"/>
            </w:pPr>
            <w:r>
              <w:rPr>
                <w:rFonts w:ascii="Times New Roman" w:hAnsi="Times New Roman" w:eastAsia="宋体"/>
                <w:b w:val="0"/>
                <w:sz w:val="21"/>
              </w:rPr>
              <w:t>专家示范答案、辨证过程标注、偏好排序数据</w:t>
            </w:r>
          </w:p>
        </w:tc>
        <w:tc>
          <w:tcPr>
            <w:tcW w:w="2250" w:type="dxa"/>
          </w:tcPr>
          <w:p w14:paraId="637CC2C0">
            <w:pPr>
              <w:spacing w:after="40"/>
              <w:jc w:val="left"/>
            </w:pPr>
            <w:r>
              <w:rPr>
                <w:rFonts w:ascii="Times New Roman" w:hAnsi="Times New Roman" w:eastAsia="宋体"/>
                <w:b w:val="0"/>
                <w:sz w:val="21"/>
              </w:rPr>
              <w:t>辨证问答、医案结构化、解释生成</w:t>
            </w:r>
          </w:p>
        </w:tc>
        <w:tc>
          <w:tcPr>
            <w:tcW w:w="2250" w:type="dxa"/>
          </w:tcPr>
          <w:p w14:paraId="6A5AC8CB">
            <w:pPr>
              <w:spacing w:after="40"/>
              <w:jc w:val="left"/>
            </w:pPr>
            <w:r>
              <w:rPr>
                <w:rFonts w:ascii="Times New Roman" w:hAnsi="Times New Roman" w:eastAsia="宋体"/>
                <w:b w:val="0"/>
                <w:sz w:val="21"/>
              </w:rPr>
              <w:t>过度模仿语言形式、诊疗逻辑偏差</w:t>
            </w:r>
          </w:p>
        </w:tc>
      </w:tr>
      <w:tr w14:paraId="272A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8DC9026">
            <w:pPr>
              <w:spacing w:after="40"/>
              <w:jc w:val="left"/>
            </w:pPr>
            <w:r>
              <w:rPr>
                <w:rFonts w:ascii="Times New Roman" w:hAnsi="Times New Roman" w:eastAsia="宋体"/>
                <w:b w:val="0"/>
                <w:sz w:val="21"/>
              </w:rPr>
              <w:t>参数高效微调</w:t>
            </w:r>
          </w:p>
        </w:tc>
        <w:tc>
          <w:tcPr>
            <w:tcW w:w="2250" w:type="dxa"/>
          </w:tcPr>
          <w:p w14:paraId="7FDA6221">
            <w:pPr>
              <w:spacing w:after="40"/>
              <w:jc w:val="left"/>
            </w:pPr>
            <w:r>
              <w:rPr>
                <w:rFonts w:ascii="Times New Roman" w:hAnsi="Times New Roman" w:eastAsia="宋体"/>
                <w:b w:val="0"/>
                <w:sz w:val="21"/>
              </w:rPr>
              <w:t>低秩适配器、专科小样本、流派标签</w:t>
            </w:r>
          </w:p>
        </w:tc>
        <w:tc>
          <w:tcPr>
            <w:tcW w:w="2250" w:type="dxa"/>
          </w:tcPr>
          <w:p w14:paraId="61D24841">
            <w:pPr>
              <w:spacing w:after="40"/>
              <w:jc w:val="left"/>
            </w:pPr>
            <w:r>
              <w:rPr>
                <w:rFonts w:ascii="Times New Roman" w:hAnsi="Times New Roman" w:eastAsia="宋体"/>
                <w:b w:val="0"/>
                <w:sz w:val="21"/>
              </w:rPr>
              <w:t>专病专科模型、流派条件化、轻量部署</w:t>
            </w:r>
          </w:p>
        </w:tc>
        <w:tc>
          <w:tcPr>
            <w:tcW w:w="2250" w:type="dxa"/>
          </w:tcPr>
          <w:p w14:paraId="59DCE4EA">
            <w:pPr>
              <w:spacing w:after="40"/>
              <w:jc w:val="left"/>
            </w:pPr>
            <w:r>
              <w:rPr>
                <w:rFonts w:ascii="Times New Roman" w:hAnsi="Times New Roman" w:eastAsia="宋体"/>
                <w:b w:val="0"/>
                <w:sz w:val="21"/>
              </w:rPr>
              <w:t>适配器知识冲突、版本来源失管</w:t>
            </w:r>
          </w:p>
        </w:tc>
      </w:tr>
      <w:tr w14:paraId="6556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D62DC54">
            <w:pPr>
              <w:spacing w:after="40"/>
              <w:jc w:val="left"/>
            </w:pPr>
            <w:r>
              <w:rPr>
                <w:rFonts w:ascii="Times New Roman" w:hAnsi="Times New Roman" w:eastAsia="宋体"/>
                <w:b w:val="0"/>
                <w:sz w:val="21"/>
              </w:rPr>
              <w:t>检索增强生成</w:t>
            </w:r>
          </w:p>
        </w:tc>
        <w:tc>
          <w:tcPr>
            <w:tcW w:w="2250" w:type="dxa"/>
          </w:tcPr>
          <w:p w14:paraId="7E9972F0">
            <w:pPr>
              <w:spacing w:after="40"/>
              <w:jc w:val="left"/>
            </w:pPr>
            <w:r>
              <w:rPr>
                <w:rFonts w:ascii="Times New Roman" w:hAnsi="Times New Roman" w:eastAsia="宋体"/>
                <w:b w:val="0"/>
                <w:sz w:val="21"/>
              </w:rPr>
              <w:t>结构化知识库、指南药典文献库、检索器</w:t>
            </w:r>
          </w:p>
        </w:tc>
        <w:tc>
          <w:tcPr>
            <w:tcW w:w="2250" w:type="dxa"/>
          </w:tcPr>
          <w:p w14:paraId="24928401">
            <w:pPr>
              <w:spacing w:after="40"/>
              <w:jc w:val="left"/>
            </w:pPr>
            <w:r>
              <w:rPr>
                <w:rFonts w:ascii="Times New Roman" w:hAnsi="Times New Roman" w:eastAsia="宋体"/>
                <w:b w:val="0"/>
                <w:sz w:val="21"/>
              </w:rPr>
              <w:t>临床决策支持、方药与中成药推荐</w:t>
            </w:r>
          </w:p>
        </w:tc>
        <w:tc>
          <w:tcPr>
            <w:tcW w:w="2250" w:type="dxa"/>
          </w:tcPr>
          <w:p w14:paraId="5534C41A">
            <w:pPr>
              <w:spacing w:after="40"/>
              <w:jc w:val="left"/>
            </w:pPr>
            <w:r>
              <w:rPr>
                <w:rFonts w:ascii="Times New Roman" w:hAnsi="Times New Roman" w:eastAsia="宋体"/>
                <w:b w:val="0"/>
                <w:sz w:val="21"/>
              </w:rPr>
              <w:t>检索偏差、生成不忠实于依据</w:t>
            </w:r>
          </w:p>
        </w:tc>
      </w:tr>
      <w:tr w14:paraId="03AF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E59FAA">
            <w:pPr>
              <w:spacing w:after="40"/>
              <w:jc w:val="left"/>
            </w:pPr>
            <w:r>
              <w:rPr>
                <w:rFonts w:ascii="Times New Roman" w:hAnsi="Times New Roman" w:eastAsia="宋体"/>
                <w:b w:val="0"/>
                <w:sz w:val="21"/>
              </w:rPr>
              <w:t>知识图谱约束</w:t>
            </w:r>
          </w:p>
        </w:tc>
        <w:tc>
          <w:tcPr>
            <w:tcW w:w="2250" w:type="dxa"/>
          </w:tcPr>
          <w:p w14:paraId="092228DB">
            <w:pPr>
              <w:spacing w:after="40"/>
              <w:jc w:val="left"/>
            </w:pPr>
            <w:r>
              <w:rPr>
                <w:rFonts w:ascii="Times New Roman" w:hAnsi="Times New Roman" w:eastAsia="宋体"/>
                <w:b w:val="0"/>
                <w:sz w:val="21"/>
              </w:rPr>
              <w:t>术语本体、症—证—治—方—禁忌关系网</w:t>
            </w:r>
          </w:p>
        </w:tc>
        <w:tc>
          <w:tcPr>
            <w:tcW w:w="2250" w:type="dxa"/>
          </w:tcPr>
          <w:p w14:paraId="43CD6580">
            <w:pPr>
              <w:spacing w:after="40"/>
              <w:jc w:val="left"/>
            </w:pPr>
            <w:r>
              <w:rPr>
                <w:rFonts w:ascii="Times New Roman" w:hAnsi="Times New Roman" w:eastAsia="宋体"/>
                <w:b w:val="0"/>
                <w:sz w:val="21"/>
              </w:rPr>
              <w:t>辨证一致性核查、配伍与禁忌核查</w:t>
            </w:r>
          </w:p>
        </w:tc>
        <w:tc>
          <w:tcPr>
            <w:tcW w:w="2250" w:type="dxa"/>
          </w:tcPr>
          <w:p w14:paraId="39C95131">
            <w:pPr>
              <w:spacing w:after="40"/>
              <w:jc w:val="left"/>
            </w:pPr>
            <w:r>
              <w:rPr>
                <w:rFonts w:ascii="Times New Roman" w:hAnsi="Times New Roman" w:eastAsia="宋体"/>
                <w:b w:val="0"/>
                <w:sz w:val="21"/>
              </w:rPr>
              <w:t>图谱不完整、约束过强抑制合理输出</w:t>
            </w:r>
          </w:p>
        </w:tc>
      </w:tr>
      <w:tr w14:paraId="6E0F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9FCA896">
            <w:pPr>
              <w:spacing w:after="40"/>
              <w:jc w:val="left"/>
            </w:pPr>
            <w:r>
              <w:rPr>
                <w:rFonts w:ascii="Times New Roman" w:hAnsi="Times New Roman" w:eastAsia="宋体"/>
                <w:b w:val="0"/>
                <w:sz w:val="21"/>
              </w:rPr>
              <w:t>智能体编排</w:t>
            </w:r>
          </w:p>
        </w:tc>
        <w:tc>
          <w:tcPr>
            <w:tcW w:w="2250" w:type="dxa"/>
          </w:tcPr>
          <w:p w14:paraId="69498429">
            <w:pPr>
              <w:spacing w:after="40"/>
              <w:jc w:val="left"/>
            </w:pPr>
            <w:r>
              <w:rPr>
                <w:rFonts w:ascii="Times New Roman" w:hAnsi="Times New Roman" w:eastAsia="宋体"/>
                <w:b w:val="0"/>
                <w:sz w:val="21"/>
              </w:rPr>
              <w:t>工具接口、安全规则库、记忆与日志</w:t>
            </w:r>
          </w:p>
        </w:tc>
        <w:tc>
          <w:tcPr>
            <w:tcW w:w="2250" w:type="dxa"/>
          </w:tcPr>
          <w:p w14:paraId="69E0F56C">
            <w:pPr>
              <w:spacing w:after="40"/>
              <w:jc w:val="left"/>
            </w:pPr>
            <w:r>
              <w:rPr>
                <w:rFonts w:ascii="Times New Roman" w:hAnsi="Times New Roman" w:eastAsia="宋体"/>
                <w:b w:val="0"/>
                <w:sz w:val="21"/>
              </w:rPr>
              <w:t>临床与科研多步工作流</w:t>
            </w:r>
          </w:p>
        </w:tc>
        <w:tc>
          <w:tcPr>
            <w:tcW w:w="2250" w:type="dxa"/>
          </w:tcPr>
          <w:p w14:paraId="5FA4C658">
            <w:pPr>
              <w:spacing w:after="40"/>
              <w:jc w:val="left"/>
            </w:pPr>
            <w:r>
              <w:rPr>
                <w:rFonts w:ascii="Times New Roman" w:hAnsi="Times New Roman" w:eastAsia="宋体"/>
                <w:b w:val="0"/>
                <w:sz w:val="21"/>
              </w:rPr>
              <w:t>责任边界不清、工具调用失控</w:t>
            </w:r>
          </w:p>
        </w:tc>
      </w:tr>
    </w:tbl>
    <w:p w14:paraId="10327F16">
      <w:pPr>
        <w:pStyle w:val="6"/>
        <w:spacing w:after="120"/>
        <w:ind w:firstLine="602" w:firstLineChars="200"/>
        <w:jc w:val="left"/>
      </w:pPr>
      <w:r>
        <w:rPr>
          <w:rFonts w:ascii="Times New Roman" w:hAnsi="Times New Roman" w:eastAsia="黑体"/>
          <w:b/>
          <w:sz w:val="30"/>
        </w:rPr>
        <w:t>（二）</w:t>
      </w:r>
      <w:r>
        <w:rPr>
          <w:rFonts w:ascii="Segoe UI" w:hAnsi="Segoe UI" w:eastAsia="Segoe UI" w:cs="Segoe UI"/>
          <w:b/>
          <w:bCs/>
          <w:i w:val="0"/>
          <w:iCs w:val="0"/>
          <w:caps w:val="0"/>
          <w:color w:val="0F1115"/>
          <w:spacing w:val="0"/>
          <w:sz w:val="24"/>
          <w:szCs w:val="24"/>
          <w:shd w:val="clear" w:fill="FFFFFF"/>
        </w:rPr>
        <w:t>继续预训练与</w:t>
      </w:r>
      <w:r>
        <w:rPr>
          <w:rFonts w:hint="eastAsia" w:ascii="Segoe UI" w:hAnsi="Segoe UI" w:eastAsia="宋体" w:cs="Segoe UI"/>
          <w:b/>
          <w:bCs/>
          <w:i w:val="0"/>
          <w:iCs w:val="0"/>
          <w:caps w:val="0"/>
          <w:color w:val="0F1115"/>
          <w:spacing w:val="0"/>
          <w:sz w:val="24"/>
          <w:szCs w:val="24"/>
          <w:shd w:val="clear" w:fill="FFFFFF"/>
          <w:lang w:val="en-US" w:eastAsia="zh-CN"/>
        </w:rPr>
        <w:t>中医药</w:t>
      </w:r>
      <w:r>
        <w:rPr>
          <w:rFonts w:ascii="Segoe UI" w:hAnsi="Segoe UI" w:eastAsia="Segoe UI" w:cs="Segoe UI"/>
          <w:b/>
          <w:bCs/>
          <w:i w:val="0"/>
          <w:iCs w:val="0"/>
          <w:caps w:val="0"/>
          <w:color w:val="0F1115"/>
          <w:spacing w:val="0"/>
          <w:sz w:val="24"/>
          <w:szCs w:val="24"/>
          <w:shd w:val="clear" w:fill="FFFFFF"/>
        </w:rPr>
        <w:t>基座建设</w:t>
      </w:r>
    </w:p>
    <w:p w14:paraId="200F13DD">
      <w:pPr>
        <w:spacing w:after="80" w:line="360" w:lineRule="auto"/>
        <w:ind w:firstLine="480" w:firstLineChars="200"/>
        <w:jc w:val="both"/>
      </w:pPr>
      <w:r>
        <w:rPr>
          <w:rFonts w:ascii="Times New Roman" w:hAnsi="Times New Roman" w:eastAsia="宋体"/>
          <w:b w:val="0"/>
          <w:sz w:val="24"/>
        </w:rPr>
        <w:t>继续预训练是指在通用大模型基础上，使用领域语料继续训练模型，使其更好地掌握领域语言分布、概念共现关系与表达习惯。中医药领域已有研究围绕中医经典、教材、医案、方剂、药物说明、临床指南和问答数据构建专用语料，并训练出若干面向中医药任务的大模型。此类工作证明，领域语料能够提升模型对中医药术语、方药知识和诊疗表达的适应性。</w:t>
      </w:r>
    </w:p>
    <w:p w14:paraId="31AC942D">
      <w:pPr>
        <w:spacing w:after="80" w:line="360" w:lineRule="auto"/>
        <w:ind w:firstLine="480" w:firstLineChars="200"/>
        <w:jc w:val="both"/>
      </w:pPr>
      <w:r>
        <w:rPr>
          <w:rFonts w:ascii="Times New Roman" w:hAnsi="Times New Roman" w:eastAsia="宋体"/>
          <w:b w:val="0"/>
          <w:sz w:val="24"/>
        </w:rPr>
        <w:t>下一阶段的关键任务不是单纯扩大语料规模，而是建设可治理、可追溯、可分级的中医药知识基座。知识基座至少包括三层。第一层是语料层，记录文本来源、版本、年代、流派、适用范围和版权状态。第二层是术语层，建立病名、证候、症状、治法、方剂、中药、穴位、炮制、剂量等概念的规范表示及同义词映射。第三层是证据层，对经典记载、专家经验、观察性研究、随机对照试验、系统评价、药理实验等不同证据赋予来源标签与证据等级。</w:t>
      </w:r>
    </w:p>
    <w:p w14:paraId="52FA4F49">
      <w:pPr>
        <w:spacing w:after="80" w:line="360" w:lineRule="auto"/>
        <w:ind w:firstLine="480" w:firstLineChars="200"/>
        <w:jc w:val="both"/>
      </w:pPr>
      <w:r>
        <w:rPr>
          <w:rFonts w:ascii="Times New Roman" w:hAnsi="Times New Roman" w:eastAsia="宋体"/>
          <w:b w:val="0"/>
          <w:sz w:val="24"/>
        </w:rPr>
        <w:t>案例10-1　“古籍—医案—现代证据”知识基座的构建思路</w:t>
      </w:r>
    </w:p>
    <w:p w14:paraId="23D7D42D">
      <w:pPr>
        <w:spacing w:after="80" w:line="360" w:lineRule="auto"/>
        <w:ind w:firstLine="480" w:firstLineChars="200"/>
        <w:jc w:val="both"/>
      </w:pPr>
      <w:r>
        <w:rPr>
          <w:rFonts w:ascii="Times New Roman" w:hAnsi="Times New Roman" w:eastAsia="宋体"/>
          <w:b w:val="0"/>
          <w:sz w:val="24"/>
        </w:rPr>
        <w:t>研究者拟建立面向脾胃病辨证论治的大模型知识基座。第一步，收集《伤寒论》《金匮要略》</w:t>
      </w:r>
      <w:r>
        <w:rPr>
          <w:rFonts w:hint="eastAsia" w:ascii="Times New Roman" w:hAnsi="Times New Roman"/>
          <w:b w:val="0"/>
          <w:sz w:val="24"/>
          <w:lang w:val="en-US" w:eastAsia="zh-CN"/>
        </w:rPr>
        <w:t>等中医古籍的</w:t>
      </w:r>
      <w:r>
        <w:rPr>
          <w:rFonts w:ascii="Times New Roman" w:hAnsi="Times New Roman" w:eastAsia="宋体"/>
          <w:b w:val="0"/>
          <w:sz w:val="24"/>
        </w:rPr>
        <w:t>相关条文、近现代名医医案、临床指南、真实世界病例和中药药理证据。第二步，对文本进行版本校勘、断句、实体识别和术语规范化，将“痞满”“胃痞”“脘痞”等表达映射到统一概念，同时保留原文异名。第三步，建立“症状—证候—治法—方剂—药物—禁忌”关系网络，并为每一条关系标注来源与证据等级。第四步，将该知识基座用于继续预训练、检索增强生成和知识图谱约束，使模型既能理解中医语言，又能说明知识来源和适用边界。</w:t>
      </w:r>
    </w:p>
    <w:p w14:paraId="580A28B9">
      <w:pPr>
        <w:spacing w:after="80" w:line="360" w:lineRule="auto"/>
        <w:ind w:firstLine="480" w:firstLineChars="200"/>
        <w:jc w:val="both"/>
      </w:pPr>
      <w:r>
        <w:rPr>
          <w:rFonts w:ascii="Times New Roman" w:hAnsi="Times New Roman" w:eastAsia="宋体"/>
          <w:b w:val="0"/>
          <w:sz w:val="24"/>
        </w:rPr>
        <w:t>继续预训练面临三项技术难题。第一，灾难性遗忘，即模型吸收中医药语料后损害通用语言理解和通用推理能力。该问题要求研究者比较不同训练配比、学习率、参数冻结策略和混合语料策略。第二，古籍语义的高密度与多义性。古籍文本短小、含义丰富、语境依赖强，单纯依赖下一个词预测难以学习完整的辨证逻辑，因而需要实体识别、关系抽取、语义对齐和专家校验共同参与。第三，语料代表性与偏倚治理。若语料过度集中于某一地域、某一流派或某一专病，模型将固化局部经验，降低跨场景适用性。</w:t>
      </w:r>
    </w:p>
    <w:p w14:paraId="307E1025">
      <w:pPr>
        <w:spacing w:after="80" w:line="360" w:lineRule="auto"/>
        <w:ind w:firstLine="480" w:firstLineChars="200"/>
        <w:jc w:val="both"/>
      </w:pPr>
      <w:r>
        <w:rPr>
          <w:rFonts w:ascii="Times New Roman" w:hAnsi="Times New Roman" w:eastAsia="宋体"/>
          <w:b w:val="0"/>
          <w:sz w:val="24"/>
        </w:rPr>
        <w:t>针对灾难性遗忘，教材给出一种可操作的语料配比表述。设领域语料规模为 \(D_t\)，通用语料规模为 \(D_g\)，继续预训练时的混合比例定义为 \(r=D_t/(D_t+D_g)\)。当 \(r\) 趋近于 1 时，模型快速吸收中医药知识，但通用语言理解与通用推理能力下降明显；当 \(r\) 过小时，领域知识注入不足。实践中应将 \(r\) 设为可调超参数，在保留一定比例通用语料（即复习样本）的前提下，依据验证集上的通用能力指标与领域能力指标共同确定取值，而非单纯追求领域语料占比最大化。复习样本以梯度层面持续约束模型，使其在学习新分布的同时保留旧分布，这一策略与参数冻结、低秩适配相互补充，共同构成缓解灾难性遗忘的工程手段。</w:t>
      </w:r>
    </w:p>
    <w:p w14:paraId="0E962B0C">
      <w:pPr>
        <w:spacing w:after="80" w:line="360" w:lineRule="auto"/>
        <w:ind w:firstLine="480" w:firstLineChars="200"/>
        <w:jc w:val="both"/>
      </w:pPr>
      <w:r>
        <w:rPr>
          <w:rFonts w:ascii="Times New Roman" w:hAnsi="Times New Roman" w:eastAsia="宋体"/>
          <w:b w:val="0"/>
          <w:sz w:val="24"/>
        </w:rPr>
        <w:t>灾难性遗忘的评价不应只观察领域任务准确率，而应建立“领域能力—通用能力”双轴评价：一轴记录中医药术语识别、医案结构化、辨证问答等领域指标，另一轴记录通用语言理解、常识推理与数学推理等通用指标。只有当领域指标提升而通用指标无显著下降时，继续预训练才被判定为有效。该评价方式要求在训练前预先固定通用能力基线，并在每个训练检查点同步测量两轴指标。</w:t>
      </w:r>
    </w:p>
    <w:p w14:paraId="4B5C7DC1">
      <w:pPr>
        <w:pStyle w:val="6"/>
        <w:spacing w:after="120"/>
        <w:ind w:firstLine="602" w:firstLineChars="200"/>
        <w:jc w:val="left"/>
      </w:pPr>
      <w:r>
        <w:rPr>
          <w:rFonts w:ascii="Times New Roman" w:hAnsi="Times New Roman" w:eastAsia="黑体"/>
          <w:b/>
          <w:sz w:val="30"/>
        </w:rPr>
        <w:t>（三）</w:t>
      </w:r>
      <w:r>
        <w:rPr>
          <w:rFonts w:hint="eastAsia" w:ascii="Times New Roman" w:hAnsi="Times New Roman" w:eastAsia="黑体"/>
          <w:b/>
          <w:sz w:val="30"/>
        </w:rPr>
        <w:t>对齐辨证推理过程</w:t>
      </w:r>
    </w:p>
    <w:p w14:paraId="6ADAA747">
      <w:pPr>
        <w:spacing w:after="80" w:line="360" w:lineRule="auto"/>
        <w:ind w:firstLine="480" w:firstLineChars="200"/>
        <w:jc w:val="both"/>
      </w:pPr>
      <w:r>
        <w:rPr>
          <w:rFonts w:ascii="Times New Roman" w:hAnsi="Times New Roman" w:eastAsia="宋体"/>
          <w:b w:val="0"/>
          <w:sz w:val="24"/>
        </w:rPr>
        <w:t>监督微调使模型学习专家示范答案；基于反馈的强化学习使模型输出更符合人类偏好；基于AI反馈的强化学习在专家反馈不足时提供辅助信号。中医药领域使用这些方法时，应当把对齐目标从“语言形式相似”提升到“诊疗逻辑相符”。一个中医药问答答案即使语言规范，也仍需接受辨证依据、治法选择、方药配伍、剂量禁忌和转诊建议的检查。</w:t>
      </w:r>
    </w:p>
    <w:p w14:paraId="308BA9E2">
      <w:pPr>
        <w:spacing w:after="80" w:line="360" w:lineRule="auto"/>
        <w:ind w:firstLine="480" w:firstLineChars="200"/>
        <w:jc w:val="both"/>
      </w:pPr>
      <w:r>
        <w:rPr>
          <w:rFonts w:ascii="Times New Roman" w:hAnsi="Times New Roman" w:eastAsia="宋体"/>
          <w:b w:val="0"/>
          <w:sz w:val="24"/>
        </w:rPr>
        <w:t>对齐辨证论治过程需要建立过程监督。过程监督不是只判断最终答案是否正确，而是把模型生成过程拆分为若干可评价环节：主诉与症状抽取、四诊信息补全、病位病性分析、证候判断、治法确定、方药或针灸方案生成、安全禁忌核查、解释与随访建议。每一环节均可设置专家评分、规则核查或知识图谱约束。</w:t>
      </w:r>
    </w:p>
    <w:p w14:paraId="15839003">
      <w:pPr>
        <w:spacing w:after="80"/>
        <w:jc w:val="center"/>
      </w:pPr>
      <w:r>
        <w:rPr>
          <w:rFonts w:ascii="Times New Roman" w:hAnsi="Times New Roman" w:eastAsia="黑体"/>
          <w:b/>
          <w:sz w:val="21"/>
        </w:rPr>
        <w:t>图10-1　中医药大模型过程监督流程</w:t>
      </w:r>
    </w:p>
    <w:p w14:paraId="0322EF67">
      <w:pPr>
        <w:spacing w:after="80" w:line="360" w:lineRule="auto"/>
        <w:ind w:firstLine="480" w:firstLineChars="200"/>
        <w:jc w:val="both"/>
      </w:pPr>
      <w:r>
        <w:rPr>
          <w:rFonts w:ascii="宋体" w:hAnsi="宋体" w:eastAsia="宋体" w:cs="宋体"/>
          <w:sz w:val="24"/>
          <w:szCs w:val="24"/>
        </w:rPr>
        <w:drawing>
          <wp:inline distT="0" distB="0" distL="114300" distR="114300">
            <wp:extent cx="6960870" cy="1446530"/>
            <wp:effectExtent l="0" t="0" r="11430" b="12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960870" cy="1446530"/>
                    </a:xfrm>
                    <a:prstGeom prst="rect">
                      <a:avLst/>
                    </a:prstGeom>
                    <a:noFill/>
                    <a:ln w="9525">
                      <a:noFill/>
                    </a:ln>
                  </pic:spPr>
                </pic:pic>
              </a:graphicData>
            </a:graphic>
          </wp:inline>
        </w:drawing>
      </w:r>
    </w:p>
    <w:p w14:paraId="20668D61">
      <w:pPr>
        <w:pStyle w:val="30"/>
        <w:keepNext w:val="0"/>
        <w:keepLines w:val="0"/>
        <w:widowControl/>
        <w:suppressLineNumbers w:val="0"/>
        <w:shd w:val="clear" w:fill="FFFFFF"/>
        <w:spacing w:before="240" w:beforeAutospacing="0" w:after="240" w:afterAutospacing="0"/>
        <w:ind w:left="0" w:right="0" w:firstLine="480" w:firstLineChars="200"/>
        <w:rPr>
          <w:rFonts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过程对齐所依赖的监督标签应当如何获取，是过程监督能否落地的前提性问题；围绕这一问题，学界目前形成三种代表性主张。其一为专家经验优先论，认为高水平中医师的辨证思维路径具有不可替代的示范价值，应作为监督学习的金标准；其二为群体共识建构论，强调中医辨证固有的主观性特征，主张通过多专家独立标注、共识会议研讨及一致性统计检验等手段，获取更具稳健性的标签信号；其三为证据约束保障论，认为模型的推理输出必须接受现代循证医学证据与临床安全规则的强制性检验。</w:t>
      </w:r>
    </w:p>
    <w:p w14:paraId="69FE5AE1">
      <w:pPr>
        <w:pStyle w:val="30"/>
        <w:keepNext w:val="0"/>
        <w:keepLines w:val="0"/>
        <w:widowControl/>
        <w:suppressLineNumbers w:val="0"/>
        <w:shd w:val="clear" w:fill="FFFFFF"/>
        <w:spacing w:before="240" w:beforeAutospacing="0" w:after="240" w:afterAutospacing="0"/>
        <w:ind w:left="0" w:right="0" w:firstLine="480" w:firstLineChars="200"/>
        <w:rPr>
          <w:rFonts w:hint="default"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上述三种观点在逻辑上并非互斥，而是构成互补关系。本书建议</w:t>
      </w:r>
      <w:r>
        <w:rPr>
          <w:rFonts w:hint="eastAsia" w:ascii="Times New Roman" w:hAnsi="Times New Roman" w:cstheme="minorBidi"/>
          <w:b w:val="0"/>
          <w:sz w:val="24"/>
          <w:szCs w:val="22"/>
          <w:lang w:val="en-US" w:eastAsia="zh-CN" w:bidi="ar-SA"/>
        </w:rPr>
        <w:t>推荐</w:t>
      </w:r>
      <w:r>
        <w:rPr>
          <w:rFonts w:hint="default" w:ascii="Times New Roman" w:hAnsi="Times New Roman" w:eastAsia="宋体" w:cstheme="minorBidi"/>
          <w:b w:val="0"/>
          <w:sz w:val="24"/>
          <w:szCs w:val="22"/>
          <w:lang w:val="en-US" w:eastAsia="en-US" w:bidi="ar-SA"/>
        </w:rPr>
        <w:t>采用“专家经验奠基、群体共识纠偏、证据规则兜底”的三层整合式研究设计</w:t>
      </w:r>
      <w:r>
        <w:rPr>
          <w:rFonts w:hint="eastAsia" w:ascii="Times New Roman" w:hAnsi="Times New Roman" w:cstheme="minorBidi"/>
          <w:b w:val="0"/>
          <w:sz w:val="24"/>
          <w:szCs w:val="22"/>
          <w:lang w:val="en-US" w:eastAsia="zh-CN" w:bidi="ar-SA"/>
        </w:rPr>
        <w:t>。</w:t>
      </w:r>
      <w:r>
        <w:rPr>
          <w:rFonts w:hint="default" w:ascii="Times New Roman" w:hAnsi="Times New Roman" w:eastAsia="宋体" w:cstheme="minorBidi"/>
          <w:b w:val="0"/>
          <w:sz w:val="24"/>
          <w:szCs w:val="22"/>
          <w:lang w:val="en-US" w:eastAsia="en-US" w:bidi="ar-SA"/>
        </w:rPr>
        <w:t>首先以高水平临床路径作为初始示范，继而借助群体共识机制削弱个体认知偏倚，最终通过循证证据与安全边界对模型输出加以必要约束。</w:t>
      </w:r>
    </w:p>
    <w:p w14:paraId="5C7A419C">
      <w:pPr>
        <w:pStyle w:val="6"/>
        <w:spacing w:after="120"/>
        <w:ind w:firstLine="602" w:firstLineChars="200"/>
        <w:jc w:val="left"/>
      </w:pPr>
      <w:r>
        <w:rPr>
          <w:rFonts w:ascii="Times New Roman" w:hAnsi="Times New Roman" w:eastAsia="黑体"/>
          <w:b/>
          <w:sz w:val="30"/>
        </w:rPr>
        <w:t>（四）参数高效微调</w:t>
      </w:r>
      <w:r>
        <w:rPr>
          <w:rFonts w:hint="eastAsia" w:ascii="Times New Roman" w:hAnsi="Times New Roman" w:eastAsia="黑体"/>
          <w:b/>
          <w:sz w:val="30"/>
          <w:lang w:val="en-US" w:eastAsia="zh-CN"/>
        </w:rPr>
        <w:t>构建</w:t>
      </w:r>
      <w:r>
        <w:rPr>
          <w:rFonts w:ascii="Times New Roman" w:hAnsi="Times New Roman" w:eastAsia="黑体"/>
          <w:b/>
          <w:sz w:val="30"/>
        </w:rPr>
        <w:t>可组合知识模块</w:t>
      </w:r>
    </w:p>
    <w:p w14:paraId="77B1AE4F">
      <w:pPr>
        <w:spacing w:after="80" w:line="360" w:lineRule="auto"/>
        <w:ind w:firstLine="480" w:firstLineChars="200"/>
        <w:jc w:val="both"/>
      </w:pPr>
      <w:r>
        <w:rPr>
          <w:rFonts w:ascii="Times New Roman" w:hAnsi="Times New Roman" w:eastAsia="宋体"/>
          <w:b w:val="0"/>
          <w:sz w:val="24"/>
        </w:rPr>
        <w:t>参数高效微调通过调整少量参数实现领域适配，常见方法包括低秩适配、提示调优、前缀调优和适配器模块。对中医药研究者而言，该技术的重要价值在于降低训练成本，使实验室、医院科室和研究团队能够围绕专病、专科、流派或特定任务构建轻量化模型模块。</w:t>
      </w:r>
    </w:p>
    <w:p w14:paraId="48D44575">
      <w:pPr>
        <w:pStyle w:val="30"/>
        <w:keepNext w:val="0"/>
        <w:keepLines w:val="0"/>
        <w:widowControl/>
        <w:suppressLineNumbers w:val="0"/>
        <w:shd w:val="clear" w:fill="FFFFFF"/>
        <w:spacing w:before="240" w:beforeAutospacing="0" w:after="240" w:afterAutospacing="0"/>
        <w:ind w:left="0" w:right="0" w:firstLine="0"/>
        <w:rPr>
          <w:rFonts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在完成辨证过程对齐的基础上，未来研究的另一个关键方向是实现知识模块的可组合适配。该思路主张将脾胃病、肿瘤、针灸、妇科、儿科、中药安全、古籍理解等细分领域的知识分别训练为独立的适配器模块。当面临具体临床或科研任务时，系统根据问题类型动态加载相应模块，并通过冲突检测机制处理多模块并行时产生的知识不一致。例如，面对一位兼具消化系统症状与妊娠状态的患者，且需评估其用药风险时，系统需同时调用“脾胃病辨证模块”“妊娠用药安全模块”与“中西药相互作用模块”，并在安全规则与治疗建议产生冲突时，以后者为优先执行边界。</w:t>
      </w:r>
    </w:p>
    <w:p w14:paraId="39D32D60">
      <w:pPr>
        <w:pStyle w:val="30"/>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然而，可组合适配在迈向实际应用的过程中，尚有两类研究问题亟待破解。其一是融合后的性能评价问题，即不能仅关注各适配器在单一任务上的准确率，还需评估模块叠加后是否诱发知识冲突或性能衰减；其二是全生命周期的治理问题，包括适配器的版本管理、知识来源追溯及适用场景界定，若缺乏相应的制度化规范，不同团队独立训练的模块将难以满足临床或教学场景的准入要求。</w:t>
      </w:r>
    </w:p>
    <w:p w14:paraId="7AE4F400">
      <w:pPr>
        <w:pStyle w:val="6"/>
        <w:spacing w:after="120"/>
        <w:ind w:firstLine="602" w:firstLineChars="200"/>
        <w:jc w:val="left"/>
      </w:pPr>
      <w:r>
        <w:rPr>
          <w:rFonts w:ascii="Times New Roman" w:hAnsi="Times New Roman" w:eastAsia="黑体"/>
          <w:b/>
          <w:sz w:val="30"/>
        </w:rPr>
        <w:t>（五）</w:t>
      </w:r>
      <w:r>
        <w:rPr>
          <w:rFonts w:hint="eastAsia" w:ascii="Times New Roman" w:hAnsi="Times New Roman" w:eastAsia="黑体"/>
          <w:b/>
          <w:sz w:val="30"/>
          <w:lang w:val="en-US" w:eastAsia="zh-CN"/>
        </w:rPr>
        <w:t>基于</w:t>
      </w:r>
      <w:r>
        <w:rPr>
          <w:rFonts w:ascii="Times New Roman" w:hAnsi="Times New Roman" w:eastAsia="黑体"/>
          <w:b/>
          <w:sz w:val="30"/>
        </w:rPr>
        <w:t>检索增强生成与知识图谱</w:t>
      </w:r>
      <w:r>
        <w:rPr>
          <w:rFonts w:hint="eastAsia" w:ascii="Times New Roman" w:hAnsi="Times New Roman" w:eastAsia="黑体"/>
          <w:b/>
          <w:sz w:val="30"/>
          <w:lang w:eastAsia="zh-CN"/>
        </w:rPr>
        <w:t>的</w:t>
      </w:r>
      <w:r>
        <w:rPr>
          <w:rFonts w:ascii="Times New Roman" w:hAnsi="Times New Roman" w:eastAsia="黑体"/>
          <w:b/>
          <w:sz w:val="30"/>
        </w:rPr>
        <w:t>中医药推理</w:t>
      </w:r>
    </w:p>
    <w:p w14:paraId="3AE6E467">
      <w:pPr>
        <w:pStyle w:val="30"/>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检索增强生成通过在模型生成回答前，从外部文献、临床指南、医案或知识库中检索相关信息，以降低模型因参数记忆不足或偏差而产生无依据输出的风险。知识图谱则通过构建实体与关系的结构化网络，使模型在生成过程中接受“症状—证候—治法—方药—禁忌”这一显式临床路径的约束。在中医药应用场景中，将二者结合具有突出的必要性，这源于中医药知识体系来源广泛、术语表达复杂、不同来源证据的证据等级差异显著——仅依赖模型内部参数记忆，难以满足临床应用对安全性的要求，也难以满足教学场景对知识可追溯性的需求。</w:t>
      </w:r>
    </w:p>
    <w:p w14:paraId="55364D31">
      <w:pPr>
        <w:pStyle w:val="3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ascii="Segoe UI" w:hAnsi="Segoe UI" w:eastAsia="Segoe UI" w:cs="Segoe UI"/>
          <w:i w:val="0"/>
          <w:iCs w:val="0"/>
          <w:caps w:val="0"/>
          <w:color w:val="0F1115"/>
          <w:spacing w:val="0"/>
          <w:sz w:val="24"/>
          <w:szCs w:val="24"/>
          <w:shd w:val="clear" w:fill="FFFFFF"/>
        </w:rPr>
        <w:t>将检索增强生成与知识图谱结合使用时，其处理流程大致可分为六个环节。系统首先将用户输入解析为结构化字段，涵盖症状、体征、舌脉、既往病史及用药史等关键信息。基于上述结构化信息，系统从教材条目、临床指南、药典规范、医案文献、临床研究及知识图谱路径等多源数据中进行联合检索。得到检索结果后，模型以其为上下文依据，生成初步的辨证推论与治疗建议。此后，知识图谱对“证候—治法—方药”路径进行一致性校验，检查辨证逻辑是否完整、治法与方药是否匹配。安全规则库则在前述基础上，进一步对药物禁忌、使用剂量、药物相互作用及是否需要转诊提示进行逐项审查。最终，系统输出结构化答案，并附列每项结论所依据的关键来源。</w:t>
      </w:r>
      <w:r>
        <w:rPr>
          <w:rFonts w:hint="eastAsia" w:ascii="Segoe UI" w:hAnsi="Segoe UI" w:cs="Segoe UI"/>
          <w:i w:val="0"/>
          <w:iCs w:val="0"/>
          <w:caps w:val="0"/>
          <w:color w:val="0F1115"/>
          <w:spacing w:val="0"/>
          <w:sz w:val="24"/>
          <w:szCs w:val="24"/>
          <w:shd w:val="clear" w:fill="FFFFFF"/>
          <w:lang w:val="en-US" w:eastAsia="zh-CN"/>
        </w:rPr>
        <w:t>如</w:t>
      </w:r>
      <w:r>
        <w:rPr>
          <w:rFonts w:hint="default" w:ascii="Segoe UI" w:hAnsi="Segoe UI" w:eastAsia="Segoe UI" w:cs="Segoe UI"/>
          <w:i w:val="0"/>
          <w:iCs w:val="0"/>
          <w:caps w:val="0"/>
          <w:color w:val="0F1115"/>
          <w:spacing w:val="0"/>
          <w:sz w:val="24"/>
          <w:szCs w:val="24"/>
          <w:shd w:val="clear" w:fill="FFFFFF"/>
        </w:rPr>
        <w:t>以失眠为主诉就诊的患者，若同时处于妊娠早期且既往有肝功能异常史，普通的问答模型在缺乏安全审查机制的情况下，可能直接推荐安神类中成药。检索增强系统则首先检索与失眠相关的中成药说明书、妊娠期用药禁忌、肝功能异常时的用药注意事项及相关临床指南；随后知识图谱对“症状—证候—治法—药物—禁忌”的完整路径进行核查；最终安全审查模块将妊娠状态与肝功能异常设定为高优先级约束。此时系统输出的不应仅是药名，而应当提示需由临床医师评估后方可使用，并详细说明禁忌事项与就医建议。该案例充分说明，中医药大模型在临床适配过程中，必须将安全规则置于推荐生成之前，而非作为事后的补充筛查。</w:t>
      </w:r>
    </w:p>
    <w:p w14:paraId="345934D9">
      <w:pPr>
        <w:pStyle w:val="3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G并不能自动消除模型生成幻觉，其实际效果受多重因素制约，包括检索库的知识覆盖度与数据质量、检索算法的召回效率、证据排序的合理性、生成模型对检索结果的忠实程度，以及系统能否有效识别检索结果中的潜在冲突并做出相应处理。基于上述制约因素，研究生在设计RAG系统时，不应仅关注最终回答的直观表现，而应至少报告四类可量化指标：检索召回率、回答正确率、依据忠实度及禁忌漏检率。对于涉及临床决策的高风险任务，还需额外记录因系统置信度不足而触发人工复核的比例，并将其作为系统安全性的过程监控指标。</w:t>
      </w:r>
    </w:p>
    <w:p w14:paraId="2103F476">
      <w:pPr>
        <w:pStyle w:val="3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为使上述评价指标具备可操作性，本书给出如下形式化定义。设某次问答中系统检索返回的依据集合为 </w:t>
      </w:r>
      <w:r>
        <w:rPr>
          <w:rFonts w:ascii="Times New Roman" w:hAnsi="Times New Roman" w:eastAsia="Times New Roman" w:cs="Times New Roman"/>
          <w:i w:val="0"/>
          <w:iCs w:val="0"/>
          <w:caps w:val="0"/>
          <w:color w:val="0F1115"/>
          <w:spacing w:val="0"/>
          <w:sz w:val="25"/>
          <w:szCs w:val="25"/>
          <w:bdr w:val="none" w:color="auto" w:sz="0" w:space="0"/>
          <w:shd w:val="clear" w:fill="FFFFFF"/>
        </w:rPr>
        <w:t>R</w:t>
      </w:r>
      <w:r>
        <w:rPr>
          <w:rFonts w:ascii="KaTeX_Math" w:hAnsi="KaTeX_Math" w:eastAsia="KaTeX_Math" w:cs="KaTeX_Math"/>
          <w:i/>
          <w:iCs/>
          <w:caps w:val="0"/>
          <w:color w:val="0F1115"/>
          <w:spacing w:val="0"/>
          <w:sz w:val="25"/>
          <w:szCs w:val="25"/>
          <w:shd w:val="clear" w:fill="FFFFFF"/>
        </w:rPr>
        <w:t>R</w:t>
      </w:r>
      <w:r>
        <w:rPr>
          <w:rFonts w:hint="default" w:ascii="Segoe UI" w:hAnsi="Segoe UI" w:eastAsia="Segoe UI" w:cs="Segoe UI"/>
          <w:i w:val="0"/>
          <w:iCs w:val="0"/>
          <w:caps w:val="0"/>
          <w:color w:val="0F1115"/>
          <w:spacing w:val="0"/>
          <w:sz w:val="24"/>
          <w:szCs w:val="24"/>
          <w:shd w:val="clear" w:fill="FFFFFF"/>
        </w:rPr>
        <w:t>，人工标注的相关依据全集为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G</w:t>
      </w:r>
      <w:r>
        <w:rPr>
          <w:rFonts w:hint="default" w:ascii="KaTeX_Math" w:hAnsi="KaTeX_Math" w:eastAsia="KaTeX_Math" w:cs="KaTeX_Math"/>
          <w:i/>
          <w:iCs/>
          <w:caps w:val="0"/>
          <w:color w:val="0F1115"/>
          <w:spacing w:val="0"/>
          <w:sz w:val="25"/>
          <w:szCs w:val="25"/>
          <w:shd w:val="clear" w:fill="FFFFFF"/>
        </w:rPr>
        <w:t>G</w:t>
      </w:r>
      <w:r>
        <w:rPr>
          <w:rFonts w:hint="default" w:ascii="Segoe UI" w:hAnsi="Segoe UI" w:eastAsia="Segoe UI" w:cs="Segoe UI"/>
          <w:i w:val="0"/>
          <w:iCs w:val="0"/>
          <w:caps w:val="0"/>
          <w:color w:val="0F1115"/>
          <w:spacing w:val="0"/>
          <w:sz w:val="24"/>
          <w:szCs w:val="24"/>
          <w:shd w:val="clear" w:fill="FFFFFF"/>
        </w:rPr>
        <w:t>，则检索召回率定义为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∣R∩G∣/∣G∣</w:t>
      </w:r>
      <w:r>
        <w:rPr>
          <w:rFonts w:hint="default" w:ascii="Times New Roman" w:hAnsi="Times New Roman" w:eastAsia="Times New Roman" w:cs="Times New Roman"/>
          <w:i w:val="0"/>
          <w:iCs w:val="0"/>
          <w:caps w:val="0"/>
          <w:color w:val="0F1115"/>
          <w:spacing w:val="0"/>
          <w:sz w:val="25"/>
          <w:szCs w:val="25"/>
          <w:shd w:val="clear" w:fill="FFFFFF"/>
        </w:rPr>
        <w:t>∣</w:t>
      </w:r>
      <w:r>
        <w:rPr>
          <w:rFonts w:hint="default" w:ascii="KaTeX_Math" w:hAnsi="KaTeX_Math" w:eastAsia="KaTeX_Math" w:cs="KaTeX_Math"/>
          <w:i/>
          <w:iCs/>
          <w:caps w:val="0"/>
          <w:color w:val="0F1115"/>
          <w:spacing w:val="0"/>
          <w:sz w:val="25"/>
          <w:szCs w:val="25"/>
          <w:shd w:val="clear" w:fill="FFFFFF"/>
        </w:rPr>
        <w:t>R</w:t>
      </w:r>
      <w:r>
        <w:rPr>
          <w:rFonts w:hint="default" w:ascii="Times New Roman" w:hAnsi="Times New Roman" w:eastAsia="Times New Roman" w:cs="Times New Roman"/>
          <w:i w:val="0"/>
          <w:iCs w:val="0"/>
          <w:caps w:val="0"/>
          <w:color w:val="0F1115"/>
          <w:spacing w:val="0"/>
          <w:sz w:val="25"/>
          <w:szCs w:val="25"/>
          <w:shd w:val="clear" w:fill="FFFFFF"/>
        </w:rPr>
        <w:t>∩</w:t>
      </w:r>
      <w:r>
        <w:rPr>
          <w:rFonts w:hint="default" w:ascii="KaTeX_Math" w:hAnsi="KaTeX_Math" w:eastAsia="KaTeX_Math" w:cs="KaTeX_Math"/>
          <w:i/>
          <w:iCs/>
          <w:caps w:val="0"/>
          <w:color w:val="0F1115"/>
          <w:spacing w:val="0"/>
          <w:sz w:val="25"/>
          <w:szCs w:val="25"/>
          <w:shd w:val="clear" w:fill="FFFFFF"/>
        </w:rPr>
        <w:t>G</w:t>
      </w:r>
      <w:r>
        <w:rPr>
          <w:rFonts w:hint="default" w:ascii="Times New Roman" w:hAnsi="Times New Roman" w:eastAsia="Times New Roman" w:cs="Times New Roman"/>
          <w:i w:val="0"/>
          <w:iCs w:val="0"/>
          <w:caps w:val="0"/>
          <w:color w:val="0F1115"/>
          <w:spacing w:val="0"/>
          <w:sz w:val="25"/>
          <w:szCs w:val="25"/>
          <w:shd w:val="clear" w:fill="FFFFFF"/>
        </w:rPr>
        <w:t>∣/∣</w:t>
      </w:r>
      <w:r>
        <w:rPr>
          <w:rFonts w:hint="default" w:ascii="KaTeX_Math" w:hAnsi="KaTeX_Math" w:eastAsia="KaTeX_Math" w:cs="KaTeX_Math"/>
          <w:i/>
          <w:iCs/>
          <w:caps w:val="0"/>
          <w:color w:val="0F1115"/>
          <w:spacing w:val="0"/>
          <w:sz w:val="25"/>
          <w:szCs w:val="25"/>
          <w:shd w:val="clear" w:fill="FFFFFF"/>
        </w:rPr>
        <w:t>G</w:t>
      </w:r>
      <w:r>
        <w:rPr>
          <w:rFonts w:hint="default" w:ascii="Times New Roman" w:hAnsi="Times New Roman" w:eastAsia="Times New Roman" w:cs="Times New Roman"/>
          <w:i w:val="0"/>
          <w:iCs w:val="0"/>
          <w:caps w:val="0"/>
          <w:color w:val="0F1115"/>
          <w:spacing w:val="0"/>
          <w:sz w:val="25"/>
          <w:szCs w:val="25"/>
          <w:shd w:val="clear" w:fill="FFFFFF"/>
        </w:rPr>
        <w:t>∣</w:t>
      </w:r>
      <w:r>
        <w:rPr>
          <w:rFonts w:hint="default" w:ascii="Segoe UI" w:hAnsi="Segoe UI" w:eastAsia="Segoe UI" w:cs="Segoe UI"/>
          <w:i w:val="0"/>
          <w:iCs w:val="0"/>
          <w:caps w:val="0"/>
          <w:color w:val="0F1115"/>
          <w:spacing w:val="0"/>
          <w:sz w:val="24"/>
          <w:szCs w:val="24"/>
          <w:shd w:val="clear" w:fill="FFFFFF"/>
        </w:rPr>
        <w:t>，用以衡量系统是否全面覆盖了应当依据的证据来源。依据忠实度则定义为生成答案中可由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R</w:t>
      </w:r>
      <w:r>
        <w:rPr>
          <w:rFonts w:hint="default" w:ascii="KaTeX_Math" w:hAnsi="KaTeX_Math" w:eastAsia="KaTeX_Math" w:cs="KaTeX_Math"/>
          <w:i/>
          <w:iCs/>
          <w:caps w:val="0"/>
          <w:color w:val="0F1115"/>
          <w:spacing w:val="0"/>
          <w:sz w:val="25"/>
          <w:szCs w:val="25"/>
          <w:shd w:val="clear" w:fill="FFFFFF"/>
        </w:rPr>
        <w:t>R</w:t>
      </w:r>
      <w:r>
        <w:rPr>
          <w:rFonts w:hint="default" w:ascii="Segoe UI" w:hAnsi="Segoe UI" w:eastAsia="Segoe UI" w:cs="Segoe UI"/>
          <w:i w:val="0"/>
          <w:iCs w:val="0"/>
          <w:caps w:val="0"/>
          <w:color w:val="0F1115"/>
          <w:spacing w:val="0"/>
          <w:sz w:val="24"/>
          <w:szCs w:val="24"/>
          <w:shd w:val="clear" w:fill="FFFFFF"/>
        </w:rPr>
        <w:t> 直接支持的论断数占答案全部论断数的比例，用以衡量模型的生成行为是否忠实于检索内容，而非依赖参数记忆进行杜撰。禁忌漏检率定义为应当触发禁忌警示却未能触发的病例数占全部含禁忌病例数的比例，在涉及临床安全的高风险任务中，该指标具有最高的评价权重。回答正确率则由专家依据辨证是否准确、治法是否合理、方药是否恰当以及安全性是否得到保障等维度进行综合判定。</w:t>
      </w:r>
    </w:p>
    <w:p w14:paraId="65573DDB">
      <w:pPr>
        <w:pStyle w:val="30"/>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上述四类指标之间存在内在制约关系。提高检索召回率往往意味着引入更多噪声依据，这可能导致依据忠实度下降；而为降低禁忌漏检率而扩大警示范围，又可能提高误报率并对正常输出造成干扰。有鉴于此，本书建议在高风险任务中以禁忌漏检率作为首要约束指标，在其满足预设阈值的前提下，再优化其余指标的表现。同时，对于低置信度的病例，应设立人工复核触发线，并将触发比例作为系统安全性的过程指标予以记录。</w:t>
      </w:r>
    </w:p>
    <w:p w14:paraId="3BEDCB12">
      <w:pPr>
        <w:pStyle w:val="6"/>
        <w:spacing w:after="120"/>
        <w:ind w:firstLine="602" w:firstLineChars="200"/>
        <w:jc w:val="left"/>
      </w:pPr>
      <w:r>
        <w:rPr>
          <w:rFonts w:ascii="Times New Roman" w:hAnsi="Times New Roman" w:eastAsia="黑体"/>
          <w:b/>
          <w:sz w:val="30"/>
        </w:rPr>
        <w:t>（六）</w:t>
      </w:r>
      <w:r>
        <w:rPr>
          <w:rFonts w:hint="eastAsia" w:ascii="Times New Roman" w:hAnsi="Times New Roman" w:eastAsia="黑体"/>
          <w:b/>
          <w:sz w:val="30"/>
          <w:lang w:val="en-US" w:eastAsia="zh-CN"/>
        </w:rPr>
        <w:t>基于</w:t>
      </w:r>
      <w:r>
        <w:rPr>
          <w:rFonts w:ascii="Times New Roman" w:hAnsi="Times New Roman" w:eastAsia="黑体"/>
          <w:b/>
          <w:sz w:val="30"/>
        </w:rPr>
        <w:t>多智能体协作</w:t>
      </w:r>
      <w:r>
        <w:rPr>
          <w:rFonts w:hint="eastAsia" w:ascii="Times New Roman" w:hAnsi="Times New Roman" w:eastAsia="黑体"/>
          <w:b/>
          <w:sz w:val="30"/>
          <w:lang w:eastAsia="zh-CN"/>
        </w:rPr>
        <w:t>的</w:t>
      </w:r>
      <w:r>
        <w:rPr>
          <w:rFonts w:ascii="Times New Roman" w:hAnsi="Times New Roman" w:eastAsia="黑体"/>
          <w:b/>
          <w:sz w:val="30"/>
        </w:rPr>
        <w:t>临床与科研工作流</w:t>
      </w:r>
    </w:p>
    <w:p w14:paraId="1440C213">
      <w:pPr>
        <w:spacing w:after="80" w:line="360" w:lineRule="auto"/>
        <w:ind w:firstLine="480" w:firstLineChars="200"/>
        <w:jc w:val="both"/>
      </w:pPr>
      <w:r>
        <w:rPr>
          <w:rFonts w:ascii="Times New Roman" w:hAnsi="Times New Roman" w:eastAsia="宋体"/>
          <w:b w:val="0"/>
          <w:sz w:val="24"/>
        </w:rPr>
        <w:t>智能体是能够感知环境、分解任务、调用工具、保持记忆并执行多步操作的系统。与单轮问答相比，智能体更接近中医临床和科研活动的真实流程。例如，临床诊疗包含问诊补全、四诊合参、辨证、处方、禁忌核查和随访；科研活动包含文献检索、假说形成、数据清洗、模型训练、统计分析、图表生成和论文写作。智能体系统能够把这些环节组织为可审计工作流。</w:t>
      </w:r>
    </w:p>
    <w:p w14:paraId="5DFF9954">
      <w:pPr>
        <w:spacing w:after="80" w:line="360" w:lineRule="auto"/>
        <w:ind w:firstLine="480" w:firstLineChars="200"/>
        <w:jc w:val="both"/>
      </w:pPr>
      <w:r>
        <w:rPr>
          <w:rFonts w:ascii="Times New Roman" w:hAnsi="Times New Roman" w:eastAsia="宋体"/>
          <w:b w:val="0"/>
          <w:sz w:val="24"/>
        </w:rPr>
        <w:t>多智能体协作架构因其良好的任务分解性与分工灵活性，尤为适宜模拟中医药临床决策中的复杂认知过程。以一个典型的中医药临床决策支持系统为例，其可由问诊智能体、辨证智能体、方药智能体、针灸智能体、安全审查智能体、循证检索智能体及解释智能体共同构成。各智能体依据自身职能分工协作，当不同智能体产生的结论或建议存在分歧时，系统通过争议仲裁机制进行冲突裁决。这一架构设计的优势在于，既能体现中医辨证论治自下而上、分层推进的认知层次，又能通过多重独立审查环节为临床安全提供制度性保障。</w:t>
      </w:r>
    </w:p>
    <w:p w14:paraId="3AB3B94C">
      <w:pPr>
        <w:spacing w:after="80" w:line="360" w:lineRule="auto"/>
        <w:ind w:firstLine="480" w:firstLineChars="200"/>
        <w:jc w:val="both"/>
      </w:pPr>
      <w:r>
        <w:rPr>
          <w:rFonts w:ascii="Times New Roman" w:hAnsi="Times New Roman" w:eastAsia="宋体"/>
          <w:b w:val="0"/>
          <w:sz w:val="24"/>
        </w:rPr>
        <w:t>多智能体协作的实质不在于智能体数量的叠加，而在于协作机制的设计。若仅将多个智能体的输出简单拼接或投票平均，既无法体现辨证论治的层次结构，也难以保证临床安全。真正意义上的协作，要求明确“谁在何时、依据什么、向谁、以何种形式”传递信息，并在分歧出现时给出可裁决、可追溯的处理规则。其实现可从协作拓扑、通信协议、争议仲裁与控制流四个方面加以阐述。</w:t>
      </w:r>
    </w:p>
    <w:p w14:paraId="7C21973C">
      <w:pPr>
        <w:spacing w:after="80" w:line="360" w:lineRule="auto"/>
        <w:ind w:firstLine="480" w:firstLineChars="200"/>
        <w:jc w:val="both"/>
      </w:pPr>
      <w:r>
        <w:rPr>
          <w:rFonts w:ascii="Times New Roman" w:hAnsi="Times New Roman" w:eastAsia="宋体"/>
          <w:b w:val="0"/>
          <w:sz w:val="24"/>
        </w:rPr>
        <w:t>在协作拓扑方面，中医药临床决策的认知过程具有自下而上、分层推进的特征，系统拓扑应与之对应。分层流水线令问诊智能体先完成信息采集与四诊结构化，辨证智能体据此形成证候判断，方药与针灸智能体据证立法处方，安全审查智能体最后把关；其结构清晰，但要求上游输出质量可控，否则误差会沿流水线放大。编排者—执行者模式设一个编排智能体负责任务分解、调度与汇聚，各功能智能体作为执行者按需被调用，从而将协作逻辑与领域能力分离，便于扩展与审计。黑板模式设一个结构化的共享病历状态对象，各智能体读取与自身职能相关的字段并写回其产出，支持松耦合协作并天然形成可审计的状态变更记录。三者并非互斥，实践中常以编排者调度、以黑板共享状态、以分层流水线体现辨证层次。</w:t>
      </w:r>
    </w:p>
    <w:p w14:paraId="54E09B18">
      <w:pPr>
        <w:spacing w:after="80" w:line="360" w:lineRule="auto"/>
        <w:ind w:firstLine="480" w:firstLineChars="200"/>
        <w:jc w:val="both"/>
      </w:pPr>
      <w:r>
        <w:rPr>
          <w:rFonts w:ascii="Times New Roman" w:hAnsi="Times New Roman" w:eastAsia="宋体"/>
          <w:b w:val="0"/>
          <w:sz w:val="24"/>
        </w:rPr>
        <w:t>在通信协议方面，智能体间的交互不应是自由文本的随意传递，而应采用结构化消息。一条规范的消息至少包含发送者与接收者标识、消息类型（请求、结论、质疑或仲裁）、内容主体、依据来源（检索条目或知识图谱路径）、置信度与时间戳，从而使每一次交互可被记录、检索与归因。共享状态对象则以统一的数据结构承载病例的演进，包括主诉、四诊要素、候选证候及其依据、治法、处方、禁忌核查结果与未决分歧；所有写操作均带来源标注，以满足通信可审计的要求。</w:t>
      </w:r>
    </w:p>
    <w:p w14:paraId="1A78A020">
      <w:pPr>
        <w:spacing w:after="80" w:line="360" w:lineRule="auto"/>
        <w:ind w:firstLine="480" w:firstLineChars="200"/>
        <w:jc w:val="both"/>
      </w:pPr>
      <w:r>
        <w:rPr>
          <w:rFonts w:ascii="Times New Roman" w:hAnsi="Times New Roman" w:eastAsia="宋体"/>
          <w:b w:val="0"/>
          <w:sz w:val="24"/>
        </w:rPr>
        <w:t>在争议仲裁方面，分歧处理是多智能体协作区别于简单叠加的核心环节，其运作可分为三步。其一为分歧发现：当多个智能体对同一字段（如证候判断或是否使用某药）给出不一致结论时，系统触发仲裁。其二为裁决：裁决并非简单多数表决，而应结合中医药临床逻辑分级处理——安全审查智能体对涉及禁忌、毒性与配伍风险的结论具有否决权，任何治疗建议在其否决时不得输出；循证检索智能体提供的依据按证据等级赋予不同权重，高等级证据支持的结论优先；在证据等级相近时比较各智能体的置信度与依据充分性；必要时令分歧智能体在若干轮内交换依据并相互修正，若收敛则采纳一致结论。其三为升级人工：当上述策略仍无法裁决或涉及高风险决策时，系统不强行输出，而是保留分歧、标注理由并提交临床医师裁定，从而把不确定显式转化为人机协同的接口。</w:t>
      </w:r>
    </w:p>
    <w:p w14:paraId="0E07C6C4">
      <w:pPr>
        <w:spacing w:after="80" w:line="360" w:lineRule="auto"/>
        <w:ind w:firstLine="480" w:firstLineChars="200"/>
        <w:jc w:val="both"/>
      </w:pPr>
      <w:r>
        <w:rPr>
          <w:rFonts w:ascii="Times New Roman" w:hAnsi="Times New Roman" w:eastAsia="宋体"/>
          <w:b w:val="0"/>
          <w:sz w:val="24"/>
        </w:rPr>
        <w:t>在控制流方面，协作的效率与安全取决于串行、并行与终止条件的设计。证候判断依赖四诊信息，故问诊与辨证须串行；方药智能体与针灸智能体可在证候确定后并行生成候选方案，再交由安全审查汇聚；循证检索智能体可在辨证与处方阶段并行提供依据。终止条件须明确：当安全审查通过且关键字段无未决分歧时，由解释智能体生成最终输出；当达到最大轮次仍未收敛时转入人工。明确的终止条件可避免智能体间无休止的往复。</w:t>
      </w:r>
    </w:p>
    <w:p w14:paraId="172568C6">
      <w:pPr>
        <w:spacing w:after="80" w:line="360" w:lineRule="auto"/>
        <w:ind w:firstLine="480" w:firstLineChars="200"/>
        <w:jc w:val="both"/>
      </w:pPr>
      <w:r>
        <w:rPr>
          <w:rFonts w:ascii="Times New Roman" w:hAnsi="Times New Roman" w:eastAsia="宋体"/>
          <w:b w:val="0"/>
          <w:sz w:val="24"/>
        </w:rPr>
        <w:t>案例10-11　多智能体协作辨证的一次完整流程。患者以“失眠、心烦、口干”就诊。问诊智能体补全四诊信息并结构化写入共享状态；辨证智能体给出“心火亢盛”，循证检索智能体并行检索相关指南与医案作为依据写回；方药智能体据证推荐清心泻火方，针灸智能体并行推荐相应取穴。安全审查智能体在核查时发现患者处于妊娠早期，遂对方药中某味药行使否决权并触发仲裁；循证检索智能体补充妊娠禁忌依据，方药智能体据此调整处方，分歧在两轮内收敛。安全审查通过后，解释智能体输出最终建议，并附证候依据、处方调整理由与所引证据来源。全过程的消息与状态变更均被记录，可供事后归因。该案例表明，协作的价值在于分歧被显式发现并依规则裁决，而非被多数票掩盖。</w:t>
      </w:r>
    </w:p>
    <w:p w14:paraId="00F76E98">
      <w:pPr>
        <w:spacing w:after="80" w:line="360" w:lineRule="auto"/>
        <w:ind w:firstLine="480" w:firstLineChars="200"/>
        <w:jc w:val="both"/>
      </w:pPr>
      <w:r>
        <w:rPr>
          <w:rFonts w:ascii="Times New Roman" w:hAnsi="Times New Roman" w:eastAsia="宋体"/>
          <w:b w:val="0"/>
          <w:sz w:val="24"/>
        </w:rPr>
        <w:t>由此可见，多智能体架构相对单一模型的实质增益来自三个层面，而非智能体数量本身。其一，分工使每个智能体得以在更窄的任务上深度优化，并配置专用知识与工具。其二，独立审查形成多重把关，安全审查智能体的否决权将临床安全约束制度化，降低单点错误的风险。其三，结构化通信与争议仲裁使系统的推理过程可追溯、可干预，从而在鲁棒性与人机协同体验上取得可测量的提升。反之，若缺少编排、通信与仲裁机制，多个智能体的叠加反而会引入额外的不一致与协调成本，未必优于经过良好对齐的单一模型。</w:t>
      </w:r>
    </w:p>
    <w:p w14:paraId="0043E516">
      <w:pPr>
        <w:spacing w:after="80" w:line="360" w:lineRule="auto"/>
        <w:ind w:firstLine="480" w:firstLineChars="200"/>
        <w:jc w:val="both"/>
      </w:pPr>
      <w:r>
        <w:rPr>
          <w:rFonts w:ascii="Times New Roman" w:hAnsi="Times New Roman" w:eastAsia="宋体"/>
          <w:b w:val="0"/>
          <w:sz w:val="24"/>
        </w:rPr>
        <w:t>围绕多智能体系统的研究与开发，以下三个问题构成当前关注的重点。其一是任务分解的合理性问题，即每个智能体的输入格式、输出形式、权限边界与责任范围是否清晰界定，这直接决定了系统能否在复杂任务中稳定运转。其二是通信过程的可审计性问题，智能体之间的交互记录，包括检索依据的来源、工具调用的轨迹以及决策推演的变化过程，均需以可追溯的形式保存，以便在出现偏差时进行事后归因。其三是系统整体的性能增益问题，即多智能体架构相较单一模型的实质优势是否得到验证——不仅体现在任务完成准确率上，更需要在安全性保障、鲁棒性表现以及人机协同体验等维度取得可测量的提升。</w:t>
      </w:r>
    </w:p>
    <w:p w14:paraId="45C686B8">
      <w:pPr>
        <w:pStyle w:val="6"/>
        <w:spacing w:after="120"/>
        <w:ind w:firstLine="602" w:firstLineChars="200"/>
        <w:jc w:val="left"/>
      </w:pPr>
      <w:r>
        <w:rPr>
          <w:rFonts w:ascii="Times New Roman" w:hAnsi="Times New Roman" w:eastAsia="黑体"/>
          <w:b/>
          <w:sz w:val="30"/>
        </w:rPr>
        <w:t>（七）</w:t>
      </w:r>
      <w:r>
        <w:rPr>
          <w:rFonts w:hint="eastAsia" w:ascii="Times New Roman" w:hAnsi="Times New Roman" w:eastAsia="黑体"/>
          <w:b/>
          <w:sz w:val="30"/>
          <w:lang w:val="en-US" w:eastAsia="zh-CN"/>
        </w:rPr>
        <w:t>构建</w:t>
      </w:r>
      <w:r>
        <w:rPr>
          <w:rFonts w:ascii="Times New Roman" w:hAnsi="Times New Roman" w:eastAsia="黑体"/>
          <w:b/>
          <w:sz w:val="30"/>
        </w:rPr>
        <w:t>四诊合参</w:t>
      </w:r>
      <w:r>
        <w:rPr>
          <w:rFonts w:hint="eastAsia" w:ascii="Times New Roman" w:hAnsi="Times New Roman" w:eastAsia="黑体"/>
          <w:b/>
          <w:sz w:val="30"/>
          <w:lang w:eastAsia="zh-CN"/>
        </w:rPr>
        <w:t>的</w:t>
      </w:r>
      <w:r>
        <w:rPr>
          <w:rFonts w:hint="eastAsia" w:ascii="Times New Roman" w:hAnsi="Times New Roman" w:eastAsia="黑体"/>
          <w:b/>
          <w:sz w:val="30"/>
          <w:lang w:val="en-US" w:eastAsia="zh-CN"/>
        </w:rPr>
        <w:t>中医</w:t>
      </w:r>
      <w:r>
        <w:rPr>
          <w:rFonts w:ascii="Times New Roman" w:hAnsi="Times New Roman" w:eastAsia="黑体"/>
          <w:b/>
          <w:sz w:val="30"/>
        </w:rPr>
        <w:t>多模态大模型</w:t>
      </w:r>
    </w:p>
    <w:p w14:paraId="260AF53E">
      <w:pPr>
        <w:pStyle w:val="30"/>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四诊合参构成中医诊断的核心方法论，也是多模态大模型在中医药领域中最具代表性的应用场景。望诊与舌诊对应视觉图像数据，闻诊涉及声音信号与气味信息，问诊对应医患对话中的自然语言文本，切诊则涵盖脉象波形、压力传感信号及其他生物物理信号。多模态大模型在此承担的核心任务，并非将四类数据做简单的拼接或融合，而是建立跨模态的证候表征体系，使得“舌红少苔”“脉细数”“五心烦热”“口干咽燥”等分属不同模态的信息，能够在同一证候空间中被统一解释与联合推理</w:t>
      </w:r>
      <w:r>
        <w:rPr>
          <w:rFonts w:hint="eastAsia" w:ascii="Segoe UI" w:hAnsi="Segoe UI" w:cs="Segoe UI"/>
          <w:i w:val="0"/>
          <w:iCs w:val="0"/>
          <w:caps w:val="0"/>
          <w:color w:val="0F1115"/>
          <w:spacing w:val="0"/>
          <w:sz w:val="24"/>
          <w:szCs w:val="24"/>
          <w:shd w:val="clear" w:fill="FFFFFF"/>
          <w:lang w:eastAsia="zh-CN"/>
        </w:rPr>
        <w:t>，</w:t>
      </w:r>
      <w:r>
        <w:rPr>
          <w:rFonts w:hint="eastAsia" w:ascii="Segoe UI" w:hAnsi="Segoe UI" w:cs="Segoe UI"/>
          <w:i w:val="0"/>
          <w:iCs w:val="0"/>
          <w:caps w:val="0"/>
          <w:color w:val="0F1115"/>
          <w:spacing w:val="0"/>
          <w:sz w:val="24"/>
          <w:szCs w:val="24"/>
          <w:shd w:val="clear" w:fill="FFFFFF"/>
          <w:lang w:val="en-US" w:eastAsia="zh-CN"/>
        </w:rPr>
        <w:t>具体详见图10-2</w:t>
      </w:r>
      <w:r>
        <w:rPr>
          <w:rFonts w:hint="default" w:ascii="Segoe UI" w:hAnsi="Segoe UI" w:eastAsia="Segoe UI" w:cs="Segoe UI"/>
          <w:i w:val="0"/>
          <w:iCs w:val="0"/>
          <w:caps w:val="0"/>
          <w:color w:val="0F1115"/>
          <w:spacing w:val="0"/>
          <w:sz w:val="24"/>
          <w:szCs w:val="24"/>
          <w:shd w:val="clear" w:fill="FFFFFF"/>
        </w:rPr>
        <w:t>。</w:t>
      </w:r>
    </w:p>
    <w:p w14:paraId="7D2DD0A0">
      <w:pPr>
        <w:pStyle w:val="3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围绕多模态四诊合参的技术实现，当前研究主要面临以下三项关键挑战。其一为</w:t>
      </w:r>
      <w:r>
        <w:rPr>
          <w:rFonts w:hint="default" w:ascii="Segoe UI" w:hAnsi="Segoe UI" w:eastAsia="Segoe UI" w:cs="Segoe UI"/>
          <w:b/>
          <w:bCs/>
          <w:i w:val="0"/>
          <w:iCs w:val="0"/>
          <w:caps w:val="0"/>
          <w:color w:val="0F1115"/>
          <w:spacing w:val="0"/>
          <w:sz w:val="24"/>
          <w:szCs w:val="24"/>
          <w:shd w:val="clear" w:fill="FFFFFF"/>
        </w:rPr>
        <w:t>时空对齐问题</w:t>
      </w:r>
      <w:r>
        <w:rPr>
          <w:rFonts w:hint="default" w:ascii="Segoe UI" w:hAnsi="Segoe UI" w:eastAsia="Segoe UI" w:cs="Segoe UI"/>
          <w:i w:val="0"/>
          <w:iCs w:val="0"/>
          <w:caps w:val="0"/>
          <w:color w:val="0F1115"/>
          <w:spacing w:val="0"/>
          <w:sz w:val="24"/>
          <w:szCs w:val="24"/>
          <w:shd w:val="clear" w:fill="FFFFFF"/>
        </w:rPr>
        <w:t>，即不同模态数据的采集时间节点、采集设备参数及采集环境条件存在差异，这些差异需要在模型输入阶段被准确记录并进行有效校正，否则跨模态的时序对应关系将失去可靠性。其二为</w:t>
      </w:r>
      <w:r>
        <w:rPr>
          <w:rFonts w:hint="default" w:ascii="Segoe UI" w:hAnsi="Segoe UI" w:eastAsia="Segoe UI" w:cs="Segoe UI"/>
          <w:b/>
          <w:bCs/>
          <w:i w:val="0"/>
          <w:iCs w:val="0"/>
          <w:caps w:val="0"/>
          <w:color w:val="0F1115"/>
          <w:spacing w:val="0"/>
          <w:sz w:val="24"/>
          <w:szCs w:val="24"/>
          <w:shd w:val="clear" w:fill="FFFFFF"/>
        </w:rPr>
        <w:t>语义对齐问题</w:t>
      </w:r>
      <w:r>
        <w:rPr>
          <w:rFonts w:hint="default" w:ascii="Segoe UI" w:hAnsi="Segoe UI" w:eastAsia="Segoe UI" w:cs="Segoe UI"/>
          <w:i w:val="0"/>
          <w:iCs w:val="0"/>
          <w:caps w:val="0"/>
          <w:color w:val="0F1115"/>
          <w:spacing w:val="0"/>
          <w:sz w:val="24"/>
          <w:szCs w:val="24"/>
          <w:shd w:val="clear" w:fill="FFFFFF"/>
        </w:rPr>
        <w:t>，图像中的舌色与苔质、脉象波形中的节律与力度、文本中的症状描述，需要被映射到统一的证候概念体系之中，这涉及底层信号特征与高层中医语义之间的跨鸿沟映射。其三为</w:t>
      </w:r>
      <w:r>
        <w:rPr>
          <w:rFonts w:hint="default" w:ascii="Segoe UI" w:hAnsi="Segoe UI" w:eastAsia="Segoe UI" w:cs="Segoe UI"/>
          <w:b/>
          <w:bCs/>
          <w:i w:val="0"/>
          <w:iCs w:val="0"/>
          <w:caps w:val="0"/>
          <w:color w:val="0F1115"/>
          <w:spacing w:val="0"/>
          <w:sz w:val="24"/>
          <w:szCs w:val="24"/>
          <w:shd w:val="clear" w:fill="FFFFFF"/>
        </w:rPr>
        <w:t>模态缺失处理问题</w:t>
      </w:r>
      <w:r>
        <w:rPr>
          <w:rFonts w:hint="default" w:ascii="Segoe UI" w:hAnsi="Segoe UI" w:eastAsia="Segoe UI" w:cs="Segoe UI"/>
          <w:i w:val="0"/>
          <w:iCs w:val="0"/>
          <w:caps w:val="0"/>
          <w:color w:val="0F1115"/>
          <w:spacing w:val="0"/>
          <w:sz w:val="24"/>
          <w:szCs w:val="24"/>
          <w:shd w:val="clear" w:fill="FFFFFF"/>
        </w:rPr>
        <w:t>，临床真实场景中往往难以保证每次采集均能获得完整的四诊信息，模型应具备在部分模态缺失条件下给出诊断建议的能力，同时需对输出结果的置信度予以明确提示，而非强行生成虚假的“完整”信息以掩盖数据不足。</w:t>
      </w:r>
    </w:p>
    <w:p w14:paraId="424B3972">
      <w:pPr>
        <w:spacing w:after="80" w:line="360" w:lineRule="auto"/>
        <w:ind w:firstLine="480" w:firstLineChars="200"/>
        <w:jc w:val="both"/>
      </w:pPr>
      <w:r>
        <w:rPr>
          <w:rFonts w:ascii="Times New Roman" w:hAnsi="Times New Roman" w:eastAsia="宋体"/>
          <w:b w:val="0"/>
          <w:sz w:val="24"/>
        </w:rPr>
        <w:t>多模态四诊合参模型的评测不能沿用单模态任务的单一准确率指标，而应针对融合质量、跨模态一致性、缺失鲁棒性、证候层性能、解释质量与临床效用建立多维评价框架。其评测维度概要见表10-5。</w:t>
      </w:r>
    </w:p>
    <w:p w14:paraId="786ECB85">
      <w:pPr>
        <w:spacing w:after="80" w:line="360" w:lineRule="auto"/>
        <w:ind w:firstLine="480" w:firstLineChars="200"/>
        <w:jc w:val="both"/>
      </w:pPr>
      <w:r>
        <w:rPr>
          <w:rFonts w:ascii="Times New Roman" w:hAnsi="Times New Roman" w:eastAsia="宋体"/>
          <w:b w:val="0"/>
          <w:sz w:val="24"/>
        </w:rPr>
        <w:t>第一，融合增益评价。须验证多模态融合是否真正优于最佳单模态及简单拼接基线，即在同一测试集上并列报告“全模态、最佳单模态、特征拼接”三类模型的性能；若多模态模型未显著优于最佳单模态，则说明融合设计未达目的，可能仅增加了参数与计算成本。第二，跨模态一致性评价。通过模态消融，即依次移除某一模态并观察预测变化，量化各模态的边际贡献，并检验模型是否过度依赖单一模态（如仅凭问诊文本而忽视舌象与脉象），这与中医强调四诊并重的原则直接相关。第三，模态缺失鲁棒性评价。构造不同模态缺失组合的测试子集，绘制性能随缺失模态数量变化的衰减曲线，并核查模型在缺失时是否如实下调置信度、是否触发补采或人工复核，而非维持虚高置信。第四，证候层与解释层评价。在证候层按证候分层报告准确率、查全率与查准率，避免总体指标掩盖少见证候的低性能；在解释层评估辨证解释是否引用了正确而完整的跨模态依据链，例如“舌红少苔＋脉细数＋五心烦热→阴虚”的依据是否齐备，并引入专家对解释合理性的评分。第五，校准与不确定性评价。报告多模态模型的期望校准误差与置信度可靠性，确保其输出的把握程度与真实正确率一致；多模态信息融合后尤易出现过度自信，故校准评价不可省略。第六，临床效用与基准建设。最终评价须落到临床效用，借助人在回路设计考察模型对医师辨证准确率与效率的实际影响。当前中医药多模态四诊基准仍较稀缺，领域社区应协作构建配有统一证候金标准与跨模态对齐标注的标准化基准，使不同模型的评测结果可比，基准建设本身即是重要的研究方向。</w:t>
      </w:r>
    </w:p>
    <w:p w14:paraId="5AE4BFD0">
      <w:pPr>
        <w:spacing w:after="40"/>
        <w:jc w:val="center"/>
      </w:pPr>
      <w:r>
        <w:rPr>
          <w:rFonts w:ascii="黑体" w:hAnsi="黑体" w:eastAsia="黑体"/>
          <w:b/>
          <w:sz w:val="21"/>
        </w:rPr>
        <w:t>表10-5　多模态四诊合参模型评测维度</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3145"/>
        <w:gridCol w:w="4227"/>
      </w:tblGrid>
      <w:tr w14:paraId="54EB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ADDDF6F">
            <w:pPr>
              <w:spacing w:after="20"/>
            </w:pPr>
            <w:r>
              <w:rPr>
                <w:rFonts w:ascii="Times New Roman" w:hAnsi="Times New Roman" w:eastAsia="黑体"/>
                <w:b/>
                <w:sz w:val="21"/>
              </w:rPr>
              <w:t>评测维度</w:t>
            </w:r>
          </w:p>
        </w:tc>
        <w:tc>
          <w:tcPr>
            <w:tcW w:w="3200" w:type="dxa"/>
          </w:tcPr>
          <w:p w14:paraId="5F7B02AB">
            <w:pPr>
              <w:spacing w:after="20"/>
            </w:pPr>
            <w:r>
              <w:rPr>
                <w:rFonts w:ascii="Times New Roman" w:hAnsi="Times New Roman" w:eastAsia="黑体"/>
                <w:b/>
                <w:sz w:val="21"/>
              </w:rPr>
              <w:t>核心问题</w:t>
            </w:r>
          </w:p>
        </w:tc>
        <w:tc>
          <w:tcPr>
            <w:tcW w:w="4300" w:type="dxa"/>
          </w:tcPr>
          <w:p w14:paraId="640966CC">
            <w:pPr>
              <w:spacing w:after="20"/>
            </w:pPr>
            <w:r>
              <w:rPr>
                <w:rFonts w:ascii="Times New Roman" w:hAnsi="Times New Roman" w:eastAsia="黑体"/>
                <w:b/>
                <w:sz w:val="21"/>
              </w:rPr>
              <w:t>主要指标/方法</w:t>
            </w:r>
          </w:p>
        </w:tc>
      </w:tr>
      <w:tr w14:paraId="6B54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E893140">
            <w:pPr>
              <w:spacing w:after="20"/>
            </w:pPr>
            <w:r>
              <w:rPr>
                <w:rFonts w:ascii="Times New Roman" w:hAnsi="Times New Roman" w:eastAsia="宋体"/>
                <w:b w:val="0"/>
                <w:sz w:val="21"/>
              </w:rPr>
              <w:t>融合增益</w:t>
            </w:r>
          </w:p>
        </w:tc>
        <w:tc>
          <w:tcPr>
            <w:tcW w:w="3200" w:type="dxa"/>
          </w:tcPr>
          <w:p w14:paraId="7805A95F">
            <w:pPr>
              <w:spacing w:after="20"/>
            </w:pPr>
            <w:r>
              <w:rPr>
                <w:rFonts w:ascii="Times New Roman" w:hAnsi="Times New Roman" w:eastAsia="宋体"/>
                <w:b w:val="0"/>
                <w:sz w:val="21"/>
              </w:rPr>
              <w:t>多模态是否优于单模态与简单拼接</w:t>
            </w:r>
          </w:p>
        </w:tc>
        <w:tc>
          <w:tcPr>
            <w:tcW w:w="4300" w:type="dxa"/>
          </w:tcPr>
          <w:p w14:paraId="2C8A1BB1">
            <w:pPr>
              <w:spacing w:after="20"/>
            </w:pPr>
            <w:r>
              <w:rPr>
                <w:rFonts w:ascii="Times New Roman" w:hAnsi="Times New Roman" w:eastAsia="宋体"/>
                <w:b w:val="0"/>
                <w:sz w:val="21"/>
              </w:rPr>
              <w:t>全模态、最佳单模态、特征拼接三者的性能差</w:t>
            </w:r>
          </w:p>
        </w:tc>
      </w:tr>
      <w:tr w14:paraId="08E4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F08065B">
            <w:pPr>
              <w:spacing w:after="20"/>
            </w:pPr>
            <w:r>
              <w:rPr>
                <w:rFonts w:ascii="Times New Roman" w:hAnsi="Times New Roman" w:eastAsia="宋体"/>
                <w:b w:val="0"/>
                <w:sz w:val="21"/>
              </w:rPr>
              <w:t>跨模态一致性</w:t>
            </w:r>
          </w:p>
        </w:tc>
        <w:tc>
          <w:tcPr>
            <w:tcW w:w="3200" w:type="dxa"/>
          </w:tcPr>
          <w:p w14:paraId="178EDB3D">
            <w:pPr>
              <w:spacing w:after="20"/>
            </w:pPr>
            <w:r>
              <w:rPr>
                <w:rFonts w:ascii="Times New Roman" w:hAnsi="Times New Roman" w:eastAsia="宋体"/>
                <w:b w:val="0"/>
                <w:sz w:val="21"/>
              </w:rPr>
              <w:t>各模态贡献及是否过度依赖单一模态</w:t>
            </w:r>
          </w:p>
        </w:tc>
        <w:tc>
          <w:tcPr>
            <w:tcW w:w="4300" w:type="dxa"/>
          </w:tcPr>
          <w:p w14:paraId="05FE0E62">
            <w:pPr>
              <w:spacing w:after="20"/>
            </w:pPr>
            <w:r>
              <w:rPr>
                <w:rFonts w:ascii="Times New Roman" w:hAnsi="Times New Roman" w:eastAsia="宋体"/>
                <w:b w:val="0"/>
                <w:sz w:val="21"/>
              </w:rPr>
              <w:t>模态消融的边际贡献、模态依赖度</w:t>
            </w:r>
          </w:p>
        </w:tc>
      </w:tr>
      <w:tr w14:paraId="3FAE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52EC416">
            <w:pPr>
              <w:spacing w:after="20"/>
            </w:pPr>
            <w:r>
              <w:rPr>
                <w:rFonts w:ascii="Times New Roman" w:hAnsi="Times New Roman" w:eastAsia="宋体"/>
                <w:b w:val="0"/>
                <w:sz w:val="21"/>
              </w:rPr>
              <w:t>缺失鲁棒性</w:t>
            </w:r>
          </w:p>
        </w:tc>
        <w:tc>
          <w:tcPr>
            <w:tcW w:w="3200" w:type="dxa"/>
          </w:tcPr>
          <w:p w14:paraId="2175B7E9">
            <w:pPr>
              <w:spacing w:after="20"/>
            </w:pPr>
            <w:r>
              <w:rPr>
                <w:rFonts w:ascii="Times New Roman" w:hAnsi="Times New Roman" w:eastAsia="宋体"/>
                <w:b w:val="0"/>
                <w:sz w:val="21"/>
              </w:rPr>
              <w:t>缺失模态时是否稳定且如实降置信</w:t>
            </w:r>
          </w:p>
        </w:tc>
        <w:tc>
          <w:tcPr>
            <w:tcW w:w="4300" w:type="dxa"/>
          </w:tcPr>
          <w:p w14:paraId="64E61DCF">
            <w:pPr>
              <w:spacing w:after="20"/>
            </w:pPr>
            <w:r>
              <w:rPr>
                <w:rFonts w:ascii="Times New Roman" w:hAnsi="Times New Roman" w:eastAsia="宋体"/>
                <w:b w:val="0"/>
                <w:sz w:val="21"/>
              </w:rPr>
              <w:t>缺失衰减曲线、置信度变化、是否触发复核</w:t>
            </w:r>
          </w:p>
        </w:tc>
      </w:tr>
      <w:tr w14:paraId="3EC4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5A83EF">
            <w:pPr>
              <w:spacing w:after="20"/>
            </w:pPr>
            <w:r>
              <w:rPr>
                <w:rFonts w:ascii="Times New Roman" w:hAnsi="Times New Roman" w:eastAsia="宋体"/>
                <w:b w:val="0"/>
                <w:sz w:val="21"/>
              </w:rPr>
              <w:t>证候层性能</w:t>
            </w:r>
          </w:p>
        </w:tc>
        <w:tc>
          <w:tcPr>
            <w:tcW w:w="3200" w:type="dxa"/>
          </w:tcPr>
          <w:p w14:paraId="36B0D897">
            <w:pPr>
              <w:spacing w:after="20"/>
            </w:pPr>
            <w:r>
              <w:rPr>
                <w:rFonts w:ascii="Times New Roman" w:hAnsi="Times New Roman" w:eastAsia="宋体"/>
                <w:b w:val="0"/>
                <w:sz w:val="21"/>
              </w:rPr>
              <w:t>少见证候是否被总体指标掩盖</w:t>
            </w:r>
          </w:p>
        </w:tc>
        <w:tc>
          <w:tcPr>
            <w:tcW w:w="4300" w:type="dxa"/>
          </w:tcPr>
          <w:p w14:paraId="388256AC">
            <w:pPr>
              <w:spacing w:after="20"/>
            </w:pPr>
            <w:r>
              <w:rPr>
                <w:rFonts w:ascii="Times New Roman" w:hAnsi="Times New Roman" w:eastAsia="宋体"/>
                <w:b w:val="0"/>
                <w:sz w:val="21"/>
              </w:rPr>
              <w:t>分证候准确率、查全率、查准率</w:t>
            </w:r>
          </w:p>
        </w:tc>
      </w:tr>
      <w:tr w14:paraId="3DEF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02451E1">
            <w:pPr>
              <w:spacing w:after="20"/>
            </w:pPr>
            <w:r>
              <w:rPr>
                <w:rFonts w:ascii="Times New Roman" w:hAnsi="Times New Roman" w:eastAsia="宋体"/>
                <w:b w:val="0"/>
                <w:sz w:val="21"/>
              </w:rPr>
              <w:t>解释质量</w:t>
            </w:r>
          </w:p>
        </w:tc>
        <w:tc>
          <w:tcPr>
            <w:tcW w:w="3200" w:type="dxa"/>
          </w:tcPr>
          <w:p w14:paraId="34F2DDC3">
            <w:pPr>
              <w:spacing w:after="20"/>
            </w:pPr>
            <w:r>
              <w:rPr>
                <w:rFonts w:ascii="Times New Roman" w:hAnsi="Times New Roman" w:eastAsia="宋体"/>
                <w:b w:val="0"/>
                <w:sz w:val="21"/>
              </w:rPr>
              <w:t>跨模态依据链是否正确完整</w:t>
            </w:r>
          </w:p>
        </w:tc>
        <w:tc>
          <w:tcPr>
            <w:tcW w:w="4300" w:type="dxa"/>
          </w:tcPr>
          <w:p w14:paraId="087A4660">
            <w:pPr>
              <w:spacing w:after="20"/>
            </w:pPr>
            <w:r>
              <w:rPr>
                <w:rFonts w:ascii="Times New Roman" w:hAnsi="Times New Roman" w:eastAsia="宋体"/>
                <w:b w:val="0"/>
                <w:sz w:val="21"/>
              </w:rPr>
              <w:t>专家解释合理性评分、依据链完整度</w:t>
            </w:r>
          </w:p>
        </w:tc>
      </w:tr>
      <w:tr w14:paraId="2F72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AB055C2">
            <w:pPr>
              <w:spacing w:after="20"/>
            </w:pPr>
            <w:r>
              <w:rPr>
                <w:rFonts w:ascii="Times New Roman" w:hAnsi="Times New Roman" w:eastAsia="宋体"/>
                <w:b w:val="0"/>
                <w:sz w:val="21"/>
              </w:rPr>
              <w:t>校准与不确定性</w:t>
            </w:r>
          </w:p>
        </w:tc>
        <w:tc>
          <w:tcPr>
            <w:tcW w:w="3200" w:type="dxa"/>
          </w:tcPr>
          <w:p w14:paraId="256151C2">
            <w:pPr>
              <w:spacing w:after="20"/>
            </w:pPr>
            <w:r>
              <w:rPr>
                <w:rFonts w:ascii="Times New Roman" w:hAnsi="Times New Roman" w:eastAsia="宋体"/>
                <w:b w:val="0"/>
                <w:sz w:val="21"/>
              </w:rPr>
              <w:t>置信度是否与真实正确率一致</w:t>
            </w:r>
          </w:p>
        </w:tc>
        <w:tc>
          <w:tcPr>
            <w:tcW w:w="4300" w:type="dxa"/>
          </w:tcPr>
          <w:p w14:paraId="7AD8EC09">
            <w:pPr>
              <w:spacing w:after="20"/>
            </w:pPr>
            <w:r>
              <w:rPr>
                <w:rFonts w:ascii="Times New Roman" w:hAnsi="Times New Roman" w:eastAsia="宋体"/>
                <w:b w:val="0"/>
                <w:sz w:val="21"/>
              </w:rPr>
              <w:t>期望校准误差、可靠性曲线</w:t>
            </w:r>
          </w:p>
        </w:tc>
      </w:tr>
      <w:tr w14:paraId="775D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414F5CB">
            <w:pPr>
              <w:spacing w:after="20"/>
            </w:pPr>
            <w:r>
              <w:rPr>
                <w:rFonts w:ascii="Times New Roman" w:hAnsi="Times New Roman" w:eastAsia="宋体"/>
                <w:b w:val="0"/>
                <w:sz w:val="21"/>
              </w:rPr>
              <w:t>临床效用</w:t>
            </w:r>
          </w:p>
        </w:tc>
        <w:tc>
          <w:tcPr>
            <w:tcW w:w="3200" w:type="dxa"/>
          </w:tcPr>
          <w:p w14:paraId="6C6F5892">
            <w:pPr>
              <w:spacing w:after="20"/>
            </w:pPr>
            <w:r>
              <w:rPr>
                <w:rFonts w:ascii="Times New Roman" w:hAnsi="Times New Roman" w:eastAsia="宋体"/>
                <w:b w:val="0"/>
                <w:sz w:val="21"/>
              </w:rPr>
              <w:t>是否真正改善医师辨证</w:t>
            </w:r>
          </w:p>
        </w:tc>
        <w:tc>
          <w:tcPr>
            <w:tcW w:w="4300" w:type="dxa"/>
          </w:tcPr>
          <w:p w14:paraId="19EE3616">
            <w:pPr>
              <w:spacing w:after="20"/>
            </w:pPr>
            <w:r>
              <w:rPr>
                <w:rFonts w:ascii="Times New Roman" w:hAnsi="Times New Roman" w:eastAsia="宋体"/>
                <w:b w:val="0"/>
                <w:sz w:val="21"/>
              </w:rPr>
              <w:t>人在回路准确率、决策时间、认知负荷</w:t>
            </w:r>
          </w:p>
        </w:tc>
      </w:tr>
    </w:tbl>
    <w:p w14:paraId="4B4E1603">
      <w:pPr>
        <w:pStyle w:val="3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宋体" w:hAnsi="宋体" w:eastAsia="宋体" w:cs="宋体"/>
          <w:sz w:val="24"/>
          <w:szCs w:val="24"/>
        </w:rPr>
        <w:drawing>
          <wp:inline distT="0" distB="0" distL="114300" distR="114300">
            <wp:extent cx="4972050" cy="290449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4972050" cy="2904490"/>
                    </a:xfrm>
                    <a:prstGeom prst="rect">
                      <a:avLst/>
                    </a:prstGeom>
                    <a:noFill/>
                    <a:ln w="9525">
                      <a:noFill/>
                    </a:ln>
                  </pic:spPr>
                </pic:pic>
              </a:graphicData>
            </a:graphic>
          </wp:inline>
        </w:drawing>
      </w:r>
    </w:p>
    <w:p w14:paraId="589E8ECA">
      <w:pPr>
        <w:spacing w:after="80"/>
        <w:jc w:val="center"/>
      </w:pPr>
      <w:r>
        <w:rPr>
          <w:rFonts w:ascii="Times New Roman" w:hAnsi="Times New Roman" w:eastAsia="黑体"/>
          <w:b/>
          <w:sz w:val="21"/>
        </w:rPr>
        <w:t>图10-2　四诊合参多模态大模型架构</w:t>
      </w:r>
    </w:p>
    <w:p w14:paraId="681EB4ED">
      <w:pPr>
        <w:spacing w:after="80" w:line="360" w:lineRule="auto"/>
        <w:ind w:firstLine="480" w:firstLineChars="200"/>
        <w:jc w:val="both"/>
      </w:pPr>
    </w:p>
    <w:p w14:paraId="23769B66">
      <w:pPr>
        <w:pStyle w:val="6"/>
        <w:spacing w:after="120"/>
        <w:ind w:firstLine="602" w:firstLineChars="200"/>
        <w:jc w:val="left"/>
      </w:pPr>
      <w:r>
        <w:rPr>
          <w:rFonts w:ascii="Times New Roman" w:hAnsi="Times New Roman" w:eastAsia="黑体"/>
          <w:b/>
          <w:sz w:val="30"/>
        </w:rPr>
        <w:t>（八）</w:t>
      </w:r>
      <w:r>
        <w:rPr>
          <w:rFonts w:hint="eastAsia" w:ascii="Times New Roman" w:hAnsi="Times New Roman" w:eastAsia="黑体"/>
          <w:b/>
          <w:sz w:val="30"/>
        </w:rPr>
        <w:t>生成式科学发现、隐私计算与边缘部署</w:t>
      </w:r>
    </w:p>
    <w:p w14:paraId="222D3006">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生成式模型的能力已从文本生成扩展到分子生成、网络生成与机制假说生成。在中药研究中,生成式模型可用于中药—成分—靶点—疾病关系的挖掘、中西药相互作用预测、复方作用机制假说的构建、候选分子筛选以及药效物质基础研究。此类方法在科研流程中扮演的是假说生成与证据整合的角色,而非实验结论的替代者</w:t>
      </w:r>
      <w:r>
        <w:rPr>
          <w:rFonts w:hint="eastAsia" w:ascii="Times New Roman" w:hAnsi="Times New Roman"/>
          <w:b w:val="0"/>
          <w:sz w:val="24"/>
          <w:lang w:eastAsia="zh-CN"/>
        </w:rPr>
        <w:t>。</w:t>
      </w:r>
      <w:r>
        <w:rPr>
          <w:rFonts w:hint="eastAsia" w:ascii="Times New Roman" w:hAnsi="Times New Roman" w:eastAsia="宋体"/>
          <w:b w:val="0"/>
          <w:sz w:val="24"/>
        </w:rPr>
        <w:t>所有由模型生成的候选成分、靶点与机制链条都必须经由药理实验、组学验证或临床研究进一步确认,方能进入证据体系。</w:t>
      </w:r>
      <w:r>
        <w:rPr>
          <w:rFonts w:hint="eastAsia" w:ascii="Times New Roman" w:hAnsi="Times New Roman"/>
          <w:b w:val="0"/>
          <w:sz w:val="24"/>
          <w:lang w:val="en-US" w:eastAsia="zh-CN"/>
        </w:rPr>
        <w:t>因此，</w:t>
      </w:r>
      <w:r>
        <w:rPr>
          <w:rFonts w:hint="eastAsia" w:ascii="Times New Roman" w:hAnsi="Times New Roman" w:eastAsia="宋体"/>
          <w:b w:val="0"/>
          <w:sz w:val="24"/>
        </w:rPr>
        <w:t>其价值不在于直接给出结论,而在于从浩繁的化合物与靶点空间中高效缩小搜索范围、提出可检验的研究假设。</w:t>
      </w:r>
    </w:p>
    <w:p w14:paraId="6F8D05BC">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中医药数据普遍具有隐私敏感、样本分散、机构间标准不一等特点,单一机构往往难以独立积累足以训练高质量模型的数据规模。联邦学习为此提供了一条在数据不出域前提下实现多中心协作的技术路径</w:t>
      </w:r>
      <w:r>
        <w:rPr>
          <w:rFonts w:hint="eastAsia" w:ascii="Times New Roman" w:hAnsi="Times New Roman"/>
          <w:b w:val="0"/>
          <w:sz w:val="24"/>
          <w:lang w:eastAsia="zh-CN"/>
        </w:rPr>
        <w:t>。</w:t>
      </w:r>
      <w:r>
        <w:rPr>
          <w:rFonts w:hint="eastAsia" w:ascii="Times New Roman" w:hAnsi="Times New Roman" w:eastAsia="宋体"/>
          <w:b w:val="0"/>
          <w:sz w:val="24"/>
        </w:rPr>
        <w:t>各参与机构在本地以自有数据训练模型,仅将梯度或模型参数等中间结果上传至中心节点进行聚合,原始病例数据始终保留在本地,从而在不集中汇聚数据的条件下获得接近于集中训练的模型性能。</w:t>
      </w:r>
    </w:p>
    <w:p w14:paraId="51C39DC0">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在中医药多中心协作中,联邦学习的落地须充分考虑数据分布的特殊性。其一,不同机构的患者人群、流派习惯与电子病历结构存在差异,数据呈非独立同分布,直接聚合可能导致模型在部分机构上性能下降,须借助个性化联邦学习,或在聚合时对各机构赋予差异化权重加以缓解。其二,各机构的术语与标注标准不一,须在协作前建立统一的术语映射与标注规范,否则参数聚合会放大语义噪声。其三,参数传递本身仍存在隐私泄露风险,须与差分隐私、安全多方计算或同态加密等技术结合,对上传的梯度施加噪声或加密保护,进一步降低从中间结果反推原始数据的可能。其四,跨机构通信与本地算力构成现实约束,须在聚合频率、模型规模与通信开销之间作出权衡。</w:t>
      </w:r>
    </w:p>
    <w:p w14:paraId="3A80203F">
      <w:pPr>
        <w:spacing w:after="80" w:line="360" w:lineRule="auto"/>
        <w:ind w:firstLine="480" w:firstLineChars="200"/>
        <w:jc w:val="both"/>
      </w:pPr>
      <w:r>
        <w:rPr>
          <w:rFonts w:hint="eastAsia" w:ascii="Times New Roman" w:hAnsi="Times New Roman" w:eastAsia="宋体"/>
          <w:b w:val="0"/>
          <w:sz w:val="24"/>
        </w:rPr>
        <w:t>隐私计算与边缘部署进一步完善了这一协作体系。隐私计算通过密码学与扰动机制,使敏感信息在"可用不可见"的前提下参与计算,为跨机构数据流通提供合规保障;边缘部署则将小而专的模型下沉到基层医疗机构,使其在本地完成推理而无须将数据上传云端,既保护隐私,又适应基层算力有限、网络条件不一的现实。三者协同,可形成一个层次化的协作网络</w:t>
      </w:r>
      <w:r>
        <w:rPr>
          <w:rFonts w:hint="eastAsia" w:ascii="Times New Roman" w:hAnsi="Times New Roman"/>
          <w:b w:val="0"/>
          <w:sz w:val="24"/>
          <w:lang w:eastAsia="zh-CN"/>
        </w:rPr>
        <w:t>。</w:t>
      </w:r>
      <w:r>
        <w:rPr>
          <w:rFonts w:hint="eastAsia" w:ascii="Times New Roman" w:hAnsi="Times New Roman" w:eastAsia="宋体"/>
          <w:b w:val="0"/>
          <w:sz w:val="24"/>
        </w:rPr>
        <w:t>中心层维护可治理的中医药知识基座并负责参数聚合,机构层在本地训练并运行贴合自身人群的模型,参数更新在隐私保护下安全回传,整个网络辅以持续的评测与监测,以及时发现性能漂移并触发再校准。这一范式使中医药科研得以在尊重数据主权与患者隐私的前提下汇聚多中心智慧。</w:t>
      </w:r>
    </w:p>
    <w:p w14:paraId="62661016">
      <w:pPr>
        <w:pStyle w:val="6"/>
        <w:spacing w:after="120"/>
        <w:ind w:firstLine="602" w:firstLineChars="200"/>
        <w:jc w:val="left"/>
      </w:pPr>
      <w:r>
        <w:rPr>
          <w:rFonts w:ascii="Times New Roman" w:hAnsi="Times New Roman" w:eastAsia="黑体"/>
          <w:b/>
          <w:sz w:val="30"/>
        </w:rPr>
        <w:t>（九）</w:t>
      </w:r>
      <w:r>
        <w:rPr>
          <w:rFonts w:hint="eastAsia" w:ascii="Times New Roman" w:hAnsi="Times New Roman" w:eastAsia="黑体"/>
          <w:b/>
          <w:sz w:val="30"/>
        </w:rPr>
        <w:t>仿真孪生与真实证据</w:t>
      </w:r>
    </w:p>
    <w:p w14:paraId="3E541DB8">
      <w:pPr>
        <w:spacing w:after="80" w:line="360" w:lineRule="auto"/>
        <w:ind w:firstLine="480" w:firstLineChars="200"/>
        <w:jc w:val="both"/>
        <w:rPr>
          <w:rFonts w:hint="eastAsia"/>
        </w:rPr>
      </w:pPr>
      <w:r>
        <w:rPr>
          <w:rFonts w:hint="eastAsia"/>
        </w:rPr>
        <w:t>生成式大模型不仅是应用对象,也可作为研究方法工具,用于构建虚拟病例、模拟医患问诊对话、辅助研究方案设计与真实世界研究预演。与第九章真实世界证据相衔接,生成式仿真可用于训练与压力测试模型、检验问诊策略、补充低风险教学场景,并在正式研究开展前预演数据流程与分析方案,从而降低试错成本、暴露设计缺陷。</w:t>
      </w:r>
    </w:p>
    <w:p w14:paraId="13A5F9CD">
      <w:pPr>
        <w:spacing w:after="80" w:line="360" w:lineRule="auto"/>
        <w:ind w:firstLine="480" w:firstLineChars="200"/>
        <w:jc w:val="both"/>
        <w:rPr>
          <w:rFonts w:hint="eastAsia"/>
        </w:rPr>
      </w:pPr>
      <w:r>
        <w:rPr>
          <w:rFonts w:hint="eastAsia"/>
        </w:rPr>
        <w:t xml:space="preserve"> 数字孪生为这一方向提供了更具系统性的方法学框架。数字孪生指以真实个体或人群的多源数据为基础,构建可随新数据持续更新的动态虚拟模型,使其在计算环境中映射真实对象的状态与演变。在中医药场景中,数字孪生可在三个层次发挥作用。其一为个体层面,基于患者的四诊信息、体质辨识与病史构建虚拟患者,推演其证候随时间或干预而发生的演变,为个体化辨证论治提供先推演、后实施的参考。其二为队列层面,构建虚拟患者队列以开展计算机模拟试验,在正式临床研究前估计样本量、比较候选干预方案、识别潜在风险亚组;该层次与前述因果推断方法结合,可对不同治法的异质性效应作出初步推演。其三为流程层面,对诊疗路径或科研流程构建数字孪生,用于压力测试与方案优化。须强调,数字孪生的推演结果属于假设生成与方案预演,其结论必须经真实世界数据与临床研究检验,不能直接作为疗效证据。</w:t>
      </w:r>
    </w:p>
    <w:p w14:paraId="7B834CBE">
      <w:pPr>
        <w:spacing w:after="80" w:line="360" w:lineRule="auto"/>
        <w:ind w:firstLine="480" w:firstLineChars="200"/>
        <w:jc w:val="both"/>
        <w:rPr>
          <w:rFonts w:hint="eastAsia"/>
        </w:rPr>
      </w:pPr>
      <w:r>
        <w:rPr>
          <w:rFonts w:hint="eastAsia"/>
        </w:rPr>
        <w:t>仿真数据与真实证据之间必须保持严格区分。仿真数据适用于教学演示、系统测试与方法预演,可以补充真实数据的不足、覆盖罕见情形,但不能直接替代临床真实世界数据形成疗效结论;一旦混淆二者,将从根本上动摇证据的可靠性。</w:t>
      </w:r>
    </w:p>
    <w:p w14:paraId="533C64C0">
      <w:pPr>
        <w:spacing w:after="80" w:line="360" w:lineRule="auto"/>
        <w:ind w:firstLine="480" w:firstLineChars="200"/>
        <w:jc w:val="both"/>
      </w:pPr>
      <w:r>
        <w:rPr>
          <w:rFonts w:ascii="Segoe UI" w:hAnsi="Segoe UI" w:eastAsia="Segoe UI" w:cs="Segoe UI"/>
          <w:i w:val="0"/>
          <w:iCs w:val="0"/>
          <w:caps w:val="0"/>
          <w:color w:val="0F1115"/>
          <w:spacing w:val="0"/>
          <w:sz w:val="24"/>
          <w:szCs w:val="24"/>
          <w:shd w:val="clear" w:fill="FFFFFF"/>
        </w:rPr>
        <w:t>为保障研究诚信，生成式仿真与数字孪生的应用须遵循若干底线规范，这些规范共同构成生成式人工智能进入中医药研究方法学的基本前提。合成数据的来源与生成方法应予以明确标注，使其在后续使用中可被识别与追溯；数据管理层面应设置隔离机制，防止合成病例混入真实病例库而对真实世界证据造成污染；仿真数据与真实数据之间的分布差异需进行定量评估，避免因分布偏移导致研究结论失真。此外，应避免由同一模型既承担数据生成职能又负责自身能力评价，以防止产生自我印证式的虚假性能表现。论文与研究报告应单独披露合成数据的占比与具体用途，以接受同行评议与审查</w:t>
      </w:r>
      <w:r>
        <w:rPr>
          <w:rFonts w:hint="eastAsia" w:ascii="Segoe UI" w:hAnsi="Segoe UI"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确保其产出成果可信、可核验的根本性前提。</w:t>
      </w:r>
    </w:p>
    <w:p w14:paraId="0FD37107">
      <w:pPr>
        <w:pStyle w:val="5"/>
        <w:spacing w:after="160"/>
        <w:ind w:firstLine="643" w:firstLineChars="200"/>
        <w:jc w:val="left"/>
      </w:pPr>
      <w:r>
        <w:rPr>
          <w:rFonts w:ascii="Times New Roman" w:hAnsi="Times New Roman" w:eastAsia="黑体"/>
          <w:b/>
          <w:sz w:val="32"/>
        </w:rPr>
        <w:t>二、下一代AI技术在中医药中的应用展望</w:t>
      </w:r>
    </w:p>
    <w:p w14:paraId="1F160DFF">
      <w:pPr>
        <w:spacing w:after="80" w:line="360" w:lineRule="auto"/>
        <w:ind w:firstLine="480" w:firstLineChars="200"/>
        <w:jc w:val="both"/>
      </w:pPr>
      <w:r>
        <w:rPr>
          <w:rFonts w:ascii="Times New Roman" w:hAnsi="Times New Roman" w:eastAsia="宋体"/>
          <w:b w:val="0"/>
          <w:sz w:val="24"/>
        </w:rPr>
        <w:t>人工智能作为新一轮科技革命与产业变革中渗透性最强、带动性最广的战略性技术，正日益受到中医药传承创新发展的高度重视。推动人工智能与中医药深度融合，是促进中医药现代化和高质量发展的一项重要举措。下一代人工智能技术在中医药领域的应用，旨在整合分散的中医药数据与知识资源，构建面向临床、科研与教育的可信、智能、可持续的方法学体系。展望未来，其总体演进可概括为三条主线：第一，模型形态从单一大语言模型转向多模态、工具增强和智能体系统；第二，研究对象从问答任务扩展到临床路径、科研流程、教育训练和产业转化；第三，评价标准从准确率扩展到可信性、安全性、可解释性、公平性和治理合规。本节据此将这些主线归纳为“知识基座化、推理过程化、系统智能体化、证据闭环化、部署安全化”五个方向。需要强调的是，上述方向多属未来仍需持续努力的目标，而非业已完全实现的现状；本节意在标示前行方向，而非罗列既有成果。</w:t>
      </w:r>
    </w:p>
    <w:p w14:paraId="57E7F77D">
      <w:pPr>
        <w:pStyle w:val="6"/>
        <w:spacing w:after="120"/>
        <w:ind w:firstLine="602" w:firstLineChars="200"/>
        <w:jc w:val="left"/>
      </w:pPr>
      <w:r>
        <w:rPr>
          <w:rFonts w:ascii="Times New Roman" w:hAnsi="Times New Roman" w:eastAsia="黑体"/>
          <w:b/>
          <w:sz w:val="30"/>
        </w:rPr>
        <w:t>（一）知识基座化</w:t>
      </w:r>
    </w:p>
    <w:p w14:paraId="5BC7C318">
      <w:pPr>
        <w:spacing w:after="80" w:line="360" w:lineRule="auto"/>
        <w:ind w:firstLine="480" w:firstLineChars="200"/>
        <w:jc w:val="both"/>
      </w:pPr>
      <w:r>
        <w:rPr>
          <w:rFonts w:ascii="Times New Roman" w:hAnsi="Times New Roman" w:eastAsia="宋体"/>
          <w:b w:val="0"/>
          <w:sz w:val="24"/>
        </w:rPr>
        <w:t>未来中医药大模型的竞争核心将从参数规模转向知识基座质量。高质量知识基座具有四项特征：来源清晰、术语统一、证据分级、流派可辨。研究生在设计相关课题时，应把知识基座建设视为模型工程的上游工作，而不是训练前的附属整理。没有高质量知识基座，继续预训练将放大语料噪声，RAG将检索到不可靠依据，知识图谱约束也会被错误关系污染。</w:t>
      </w:r>
    </w:p>
    <w:p w14:paraId="6647D2F9">
      <w:pPr>
        <w:pStyle w:val="6"/>
        <w:spacing w:after="120"/>
        <w:ind w:firstLine="602" w:firstLineChars="200"/>
        <w:jc w:val="left"/>
      </w:pPr>
      <w:r>
        <w:rPr>
          <w:rFonts w:ascii="Times New Roman" w:hAnsi="Times New Roman" w:eastAsia="黑体"/>
          <w:b/>
          <w:sz w:val="30"/>
        </w:rPr>
        <w:t>（二）推理过程化</w:t>
      </w:r>
    </w:p>
    <w:p w14:paraId="306DCAD2">
      <w:pPr>
        <w:spacing w:after="80" w:line="360" w:lineRule="auto"/>
        <w:ind w:firstLine="480" w:firstLineChars="200"/>
        <w:jc w:val="both"/>
      </w:pPr>
      <w:r>
        <w:rPr>
          <w:rFonts w:ascii="Times New Roman" w:hAnsi="Times New Roman" w:eastAsia="宋体"/>
          <w:b w:val="0"/>
          <w:sz w:val="24"/>
        </w:rPr>
        <w:t>中医药AI的核心不在于一次性给出答案，而在于展示可检查的辨证过程。推理过程化要求模型把诊疗逻辑显式分解，并接受过程监督与安全审查。对研究生而言，这意味着数据标注不应停留在“问题—答案”层面，而应标注“症状抽取—证候依据—病机解释—治法—处方—禁忌”链条。模型评价也应从答案层评价扩展到过程层评价。</w:t>
      </w:r>
    </w:p>
    <w:p w14:paraId="60AFC967">
      <w:pPr>
        <w:pStyle w:val="6"/>
        <w:spacing w:after="120"/>
        <w:ind w:firstLine="602" w:firstLineChars="200"/>
        <w:jc w:val="left"/>
      </w:pPr>
      <w:r>
        <w:rPr>
          <w:rFonts w:ascii="Times New Roman" w:hAnsi="Times New Roman" w:eastAsia="黑体"/>
          <w:b/>
          <w:sz w:val="30"/>
        </w:rPr>
        <w:t>（三）系统智能体化</w:t>
      </w:r>
    </w:p>
    <w:p w14:paraId="26341DD4">
      <w:pPr>
        <w:spacing w:after="80" w:line="360" w:lineRule="auto"/>
        <w:ind w:firstLine="480" w:firstLineChars="200"/>
        <w:jc w:val="both"/>
      </w:pPr>
      <w:r>
        <w:rPr>
          <w:rFonts w:ascii="Times New Roman" w:hAnsi="Times New Roman" w:eastAsia="宋体"/>
          <w:b w:val="0"/>
          <w:sz w:val="24"/>
        </w:rPr>
        <w:t>智能体化使大模型从内容生成器转变为工作流执行者。中医药科研中的文献综述、数据清洗、知识图谱构建、模型评测、图表生成和论文撰写均可被组织为智能体工作流。临床场景中的问诊补全、病历摘要、风险提示、随访提醒和患者教育也可由智能体辅助完成。系统智能体化的前提是工具调用可追踪、权限可控制、错误可恢复、人类可接管。</w:t>
      </w:r>
    </w:p>
    <w:p w14:paraId="586056FE">
      <w:pPr>
        <w:pStyle w:val="6"/>
        <w:spacing w:after="120"/>
        <w:ind w:firstLine="602" w:firstLineChars="200"/>
        <w:jc w:val="left"/>
      </w:pPr>
      <w:r>
        <w:rPr>
          <w:rFonts w:ascii="Times New Roman" w:hAnsi="Times New Roman" w:eastAsia="黑体"/>
          <w:b/>
          <w:sz w:val="30"/>
        </w:rPr>
        <w:t>（四）证据闭环化</w:t>
      </w:r>
    </w:p>
    <w:p w14:paraId="0E475901">
      <w:pPr>
        <w:spacing w:after="80" w:line="360" w:lineRule="auto"/>
        <w:ind w:firstLine="480" w:firstLineChars="200"/>
        <w:jc w:val="both"/>
      </w:pPr>
      <w:r>
        <w:rPr>
          <w:rFonts w:ascii="Times New Roman" w:hAnsi="Times New Roman" w:eastAsia="宋体"/>
          <w:b w:val="0"/>
          <w:sz w:val="24"/>
        </w:rPr>
        <w:t>中医药AI不应只产生输出，还应形成证据闭环。所谓证据闭环，是指模型输出、依据来源、专家审核、临床反馈、真实世界结局和模型更新之间形成连续记录。以方药推荐为例，系统应记录推荐依据、专家是否采纳、患者疗效与不良反应、模型置信度和后续修正。只有形成证据闭环，模型才能从“静态工具”转向“可持续改进的医疗科研系统”。</w:t>
      </w:r>
    </w:p>
    <w:p w14:paraId="7C97936A">
      <w:pPr>
        <w:pStyle w:val="6"/>
        <w:spacing w:after="120"/>
        <w:ind w:firstLine="602" w:firstLineChars="200"/>
        <w:jc w:val="left"/>
      </w:pPr>
      <w:r>
        <w:rPr>
          <w:rFonts w:ascii="Times New Roman" w:hAnsi="Times New Roman" w:eastAsia="黑体"/>
          <w:b/>
          <w:sz w:val="30"/>
        </w:rPr>
        <w:t>（五）部署安全化</w:t>
      </w:r>
    </w:p>
    <w:p w14:paraId="741087BF">
      <w:pPr>
        <w:spacing w:after="80" w:line="360" w:lineRule="auto"/>
        <w:ind w:firstLine="480" w:firstLineChars="200"/>
        <w:jc w:val="both"/>
      </w:pPr>
      <w:r>
        <w:rPr>
          <w:rFonts w:ascii="Times New Roman" w:hAnsi="Times New Roman" w:eastAsia="宋体"/>
          <w:b w:val="0"/>
          <w:sz w:val="24"/>
        </w:rPr>
        <w:t>下一代AI的部署安全包括数据安全、模型安全、临床安全和治理安全。数据安全关注隐私保护和跨机构共享；模型安全关注幻觉、越权调用和提示攻击；临床安全关注禁忌漏检、错误建议和自动化偏见；治理安全关注责任归属、审计记录和监管合规。中医药AI进入临床和教学场景前，应建立分级部署制度：低风险场景可用于知识检索和教学辅助，中风险场景可用于病历摘要和随访建议，高风险场景如辨证处方和用药推荐必须有人类医师审核。</w:t>
      </w:r>
    </w:p>
    <w:p w14:paraId="347FBCD7">
      <w:pPr>
        <w:pStyle w:val="5"/>
        <w:spacing w:after="120"/>
        <w:ind w:firstLine="562" w:firstLineChars="200"/>
        <w:jc w:val="left"/>
      </w:pPr>
      <w:r>
        <w:rPr>
          <w:rFonts w:ascii="Times New Roman" w:hAnsi="Times New Roman" w:eastAsia="宋体"/>
          <w:b/>
          <w:sz w:val="28"/>
        </w:rPr>
        <w:t>第一节小结</w:t>
      </w:r>
    </w:p>
    <w:p w14:paraId="5B6F278F">
      <w:pPr>
        <w:spacing w:after="80" w:line="360" w:lineRule="auto"/>
        <w:ind w:firstLine="480" w:firstLineChars="200"/>
        <w:jc w:val="both"/>
      </w:pPr>
      <w:r>
        <w:rPr>
          <w:rFonts w:ascii="Times New Roman" w:hAnsi="Times New Roman" w:eastAsia="宋体"/>
          <w:b w:val="0"/>
          <w:sz w:val="24"/>
        </w:rPr>
        <w:t>生成式大模型与下一代AI技术为中医药研究方法带来新的工具体系，但其价值取决于领域适配质量。继续预训练、对齐技术、参数高效微调、检索增强生成、知识图谱约束、智能体编排和多模态融合分别解决不同层面的适配问题。面向研究生的关键认识是：中医药大模型的核心工程不是“把模型接入中医药文本”，而是建立从知识基座、辨证逻辑、证据等级、安全规则到人机协同的完整方法学体系。</w:t>
      </w:r>
    </w:p>
    <w:p w14:paraId="1CCE3F68">
      <w:pPr>
        <w:pStyle w:val="4"/>
        <w:spacing w:after="200"/>
        <w:jc w:val="center"/>
      </w:pPr>
      <w:r>
        <w:rPr>
          <w:rFonts w:ascii="黑体" w:hAnsi="黑体" w:eastAsia="黑体"/>
          <w:b/>
          <w:sz w:val="36"/>
        </w:rPr>
        <w:t>第二节　可信AI与医疗安全：不确定性、鲁棒性、公平性、可解释性与因果推断</w:t>
      </w:r>
    </w:p>
    <w:p w14:paraId="775382AA">
      <w:pPr>
        <w:pStyle w:val="5"/>
        <w:spacing w:after="120"/>
        <w:ind w:firstLine="562" w:firstLineChars="200"/>
        <w:jc w:val="left"/>
      </w:pPr>
      <w:r>
        <w:rPr>
          <w:rFonts w:ascii="Times New Roman" w:hAnsi="Times New Roman" w:eastAsia="宋体"/>
          <w:b/>
          <w:sz w:val="28"/>
        </w:rPr>
        <w:t>本节导读</w:t>
      </w:r>
    </w:p>
    <w:p w14:paraId="38929DFE">
      <w:pPr>
        <w:spacing w:after="80" w:line="360" w:lineRule="auto"/>
        <w:ind w:firstLine="480" w:firstLineChars="200"/>
        <w:jc w:val="both"/>
      </w:pPr>
      <w:r>
        <w:rPr>
          <w:rFonts w:ascii="Times New Roman" w:hAnsi="Times New Roman" w:eastAsia="宋体"/>
          <w:b w:val="0"/>
          <w:sz w:val="24"/>
        </w:rPr>
        <w:t>上一节讨论了生成式大模型和下一代AI技术的应用前景。本节讨论这些前景成立的前提：可信与安全。医疗AI的风险不同于普通信息系统。普通问答错误通常影响信息获取效率，医疗AI错误会影响诊疗决策、患者安全和责任归属。中医药AI还叠加了辨证主观性、古今术语差异、流派差异、个体化诊疗、证据等级复杂等问题。本节从可信AI框架出发，重点讲解不确定性量化、鲁棒性和算法公平性三类技术，并将其转化为中医药研究设计中的可操作步骤。</w:t>
      </w:r>
    </w:p>
    <w:p w14:paraId="709201A9">
      <w:pPr>
        <w:pStyle w:val="5"/>
        <w:spacing w:after="160"/>
        <w:ind w:firstLine="643" w:firstLineChars="200"/>
        <w:jc w:val="left"/>
      </w:pPr>
      <w:r>
        <w:rPr>
          <w:rFonts w:ascii="Times New Roman" w:hAnsi="Times New Roman" w:eastAsia="黑体"/>
          <w:b/>
          <w:sz w:val="32"/>
        </w:rPr>
        <w:t>一、可信AI与医疗实践的伦理挑战</w:t>
      </w:r>
    </w:p>
    <w:p w14:paraId="0E4C3DB2">
      <w:pPr>
        <w:pStyle w:val="6"/>
        <w:spacing w:after="120"/>
        <w:ind w:firstLine="602" w:firstLineChars="200"/>
        <w:jc w:val="left"/>
      </w:pPr>
      <w:r>
        <w:rPr>
          <w:rFonts w:ascii="Times New Roman" w:hAnsi="Times New Roman" w:eastAsia="黑体"/>
          <w:b/>
          <w:sz w:val="30"/>
        </w:rPr>
        <w:t>（一）可信AI的基本框架</w:t>
      </w:r>
    </w:p>
    <w:p w14:paraId="65BC2FA1">
      <w:pPr>
        <w:spacing w:after="80" w:line="360" w:lineRule="auto"/>
        <w:ind w:firstLine="480" w:firstLineChars="200"/>
        <w:jc w:val="both"/>
      </w:pPr>
      <w:r>
        <w:rPr>
          <w:rFonts w:ascii="Times New Roman" w:hAnsi="Times New Roman" w:eastAsia="宋体"/>
          <w:b w:val="0"/>
          <w:sz w:val="24"/>
        </w:rPr>
        <w:t>可信AI不是单一指标，而是由多个相互制约的属性组成。可靠性要求模型在预期场景中稳定完成任务；安全性要求模型在异常输入、分布变化和高风险场景中避免造成伤害；透明性与可解释性要求模型输出能够被理解、追踪和审查；公平性要求模型不因地域、年龄、性别、民族、语言、流派和数据来源差异而产生系统性不利；隐私保护要求数据采集、存储、训练和共享符合最小必要原则；可问责性要求系统行为、工具调用、模型版本和人类审核记录能够追溯。</w:t>
      </w:r>
    </w:p>
    <w:p w14:paraId="25A4FC54">
      <w:pPr>
        <w:spacing w:after="80" w:line="360" w:lineRule="auto"/>
        <w:ind w:firstLine="480" w:firstLineChars="200"/>
        <w:jc w:val="both"/>
      </w:pPr>
      <w:r>
        <w:rPr>
          <w:rFonts w:ascii="Times New Roman" w:hAnsi="Times New Roman" w:eastAsia="宋体"/>
          <w:b w:val="0"/>
          <w:sz w:val="24"/>
        </w:rPr>
        <w:t>国际可信AI框架为中医药AI提供了原则基础，但原则本身不能直接替代中医药场景中的方法设计。将可信原则落地，需要把抽象要求转化为数据表、模型约束、评价指标、审计日志和临床工作制度。例如，“可解释性”在中医药场景中不仅要求展示模型关注的文本片段，还要求说明证候判断依据、病机解释、治法选择和方药禁忌；“公平性”不仅关注性别和年龄，也要关注地域、民族、语言文化和中医学术流派。</w:t>
      </w:r>
    </w:p>
    <w:p w14:paraId="2DB5F375">
      <w:pPr>
        <w:pStyle w:val="6"/>
        <w:spacing w:after="120"/>
        <w:ind w:firstLine="602" w:firstLineChars="200"/>
        <w:jc w:val="left"/>
      </w:pPr>
      <w:r>
        <w:rPr>
          <w:rFonts w:ascii="Times New Roman" w:hAnsi="Times New Roman" w:eastAsia="黑体"/>
          <w:b/>
          <w:sz w:val="30"/>
        </w:rPr>
        <w:t>（二）医疗场景的高风险性与中医药特殊性</w:t>
      </w:r>
    </w:p>
    <w:p w14:paraId="55417C8C">
      <w:pPr>
        <w:spacing w:after="80" w:line="360" w:lineRule="auto"/>
        <w:ind w:firstLine="480" w:firstLineChars="200"/>
        <w:jc w:val="both"/>
      </w:pPr>
      <w:r>
        <w:rPr>
          <w:rFonts w:ascii="Times New Roman" w:hAnsi="Times New Roman" w:eastAsia="宋体"/>
          <w:b w:val="0"/>
          <w:sz w:val="24"/>
        </w:rPr>
        <w:t>医疗AI具有高风险性、责任敏感性和强监管属性。一次错误的辨证、错误的用药建议或遗漏禁忌提示，均会造成临床风险。中医药AI的特殊性进一步提高了可信门槛。</w:t>
      </w:r>
    </w:p>
    <w:p w14:paraId="18609194">
      <w:pPr>
        <w:spacing w:after="80" w:line="360" w:lineRule="auto"/>
        <w:ind w:firstLine="480" w:firstLineChars="200"/>
        <w:jc w:val="both"/>
      </w:pPr>
      <w:r>
        <w:rPr>
          <w:rFonts w:ascii="Times New Roman" w:hAnsi="Times New Roman" w:eastAsia="宋体"/>
          <w:b w:val="0"/>
          <w:sz w:val="24"/>
        </w:rPr>
        <w:t>第一，辨证标签具有主观性。同一患者的舌象、脉象和症状组合在不同医师处会得到不同辨证结论。该问题要求研究者在标注阶段报告专家人数、一致性指标和分歧处理规则。</w:t>
      </w:r>
    </w:p>
    <w:p w14:paraId="3352C117">
      <w:pPr>
        <w:spacing w:after="80" w:line="360" w:lineRule="auto"/>
        <w:ind w:firstLine="480" w:firstLineChars="200"/>
        <w:jc w:val="both"/>
      </w:pPr>
      <w:r>
        <w:rPr>
          <w:rFonts w:ascii="Times New Roman" w:hAnsi="Times New Roman" w:eastAsia="宋体"/>
          <w:b w:val="0"/>
          <w:sz w:val="24"/>
        </w:rPr>
        <w:t>第二，个体化诊疗与标准化评价之间存在张力。中医强调同病异治、异病同治，AI评测强调可重复和可比较。研究设计需要同时保留个体化信息并建立标准化评价框架。</w:t>
      </w:r>
    </w:p>
    <w:p w14:paraId="3F65504D">
      <w:pPr>
        <w:spacing w:after="80" w:line="360" w:lineRule="auto"/>
        <w:ind w:firstLine="480" w:firstLineChars="200"/>
        <w:jc w:val="both"/>
      </w:pPr>
      <w:r>
        <w:rPr>
          <w:rFonts w:ascii="Times New Roman" w:hAnsi="Times New Roman" w:eastAsia="宋体"/>
          <w:b w:val="0"/>
          <w:sz w:val="24"/>
        </w:rPr>
        <w:t>第三，知识证据等级差异显著。经典文献、经验医案、药典标准、临床试验和真实世界研究各有价值，也各有适用范围。模型调用知识时应区分来源与证据等级，不能把不同证据形式视为同等强度。</w:t>
      </w:r>
    </w:p>
    <w:p w14:paraId="7F6E0EA3">
      <w:pPr>
        <w:spacing w:after="80" w:line="360" w:lineRule="auto"/>
        <w:ind w:firstLine="480" w:firstLineChars="200"/>
        <w:jc w:val="both"/>
      </w:pPr>
      <w:r>
        <w:rPr>
          <w:rFonts w:ascii="Times New Roman" w:hAnsi="Times New Roman" w:eastAsia="宋体"/>
          <w:b w:val="0"/>
          <w:sz w:val="24"/>
        </w:rPr>
        <w:t>第四，跨文化与跨地域泛化存在风险。中医药术语和临床经验具有语言、文化和地域背景。训练数据若偏向某一来源，模型将在其他来源数据上产生性能下降和解释偏差。</w:t>
      </w:r>
    </w:p>
    <w:p w14:paraId="3EBBD85C">
      <w:pPr>
        <w:pStyle w:val="6"/>
        <w:spacing w:after="120"/>
        <w:ind w:firstLine="602" w:firstLineChars="200"/>
        <w:jc w:val="left"/>
      </w:pPr>
      <w:r>
        <w:rPr>
          <w:rFonts w:ascii="Times New Roman" w:hAnsi="Times New Roman" w:eastAsia="黑体"/>
          <w:b/>
          <w:sz w:val="30"/>
        </w:rPr>
        <w:t>（三）可信AI在研究全流程中的落点</w:t>
      </w:r>
    </w:p>
    <w:p w14:paraId="31B3B505">
      <w:pPr>
        <w:spacing w:after="80"/>
        <w:jc w:val="center"/>
      </w:pPr>
      <w:r>
        <w:rPr>
          <w:rFonts w:ascii="Times New Roman" w:hAnsi="Times New Roman" w:eastAsia="黑体"/>
          <w:b/>
          <w:sz w:val="21"/>
        </w:rPr>
        <w:t>表10-2　中医药可信AI的全流程落点</w:t>
      </w:r>
    </w:p>
    <w:p w14:paraId="208C4F62">
      <w:pPr>
        <w:spacing w:after="80" w:line="360" w:lineRule="auto"/>
        <w:ind w:firstLine="480" w:firstLineChars="200"/>
        <w:jc w:val="both"/>
      </w:pPr>
      <w:r>
        <w:rPr>
          <w:rFonts w:ascii="Times New Roman" w:hAnsi="Times New Roman" w:eastAsia="宋体"/>
          <w:b w:val="0"/>
          <w:sz w:val="24"/>
        </w:rPr>
        <w:t>第一行“数据环节”：术语标准化、标注一致性、敏感信息脱敏、证据等级标注、数据来源记录。第二行“建模环节”：RAG、知识图谱约束、禁忌规则库、参数高效微调、模型校准。第三行“评测环节”：准确率、幻觉率、错误信息识别、置信度校准、分布外泛化、公平性分层评价。第四行“部署环节”：人类审核、权限控制、解释输出、日志记录、版本管理。第五行“监测环节”：性能漂移监测、不良事件记录、用户反馈、模型再训练与监管报告。</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3"/>
        <w:gridCol w:w="4427"/>
      </w:tblGrid>
      <w:tr w14:paraId="2576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AF7B840">
            <w:pPr>
              <w:spacing w:after="40"/>
              <w:jc w:val="left"/>
            </w:pPr>
            <w:r>
              <w:rPr>
                <w:rFonts w:ascii="Times New Roman" w:hAnsi="Times New Roman" w:eastAsia="黑体"/>
                <w:b/>
                <w:sz w:val="21"/>
              </w:rPr>
              <w:t>环节</w:t>
            </w:r>
          </w:p>
        </w:tc>
        <w:tc>
          <w:tcPr>
            <w:tcW w:w="4500" w:type="dxa"/>
          </w:tcPr>
          <w:p w14:paraId="72350950">
            <w:pPr>
              <w:spacing w:after="40"/>
              <w:jc w:val="left"/>
            </w:pPr>
            <w:r>
              <w:rPr>
                <w:rFonts w:ascii="Times New Roman" w:hAnsi="Times New Roman" w:eastAsia="黑体"/>
                <w:b/>
                <w:sz w:val="21"/>
              </w:rPr>
              <w:t>可信AI落点要素</w:t>
            </w:r>
          </w:p>
        </w:tc>
      </w:tr>
      <w:tr w14:paraId="56A5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B30A3D0">
            <w:pPr>
              <w:spacing w:after="40"/>
              <w:jc w:val="left"/>
            </w:pPr>
            <w:r>
              <w:rPr>
                <w:rFonts w:ascii="Times New Roman" w:hAnsi="Times New Roman" w:eastAsia="宋体"/>
                <w:b w:val="0"/>
                <w:sz w:val="21"/>
              </w:rPr>
              <w:t>数据环节</w:t>
            </w:r>
          </w:p>
        </w:tc>
        <w:tc>
          <w:tcPr>
            <w:tcW w:w="4500" w:type="dxa"/>
          </w:tcPr>
          <w:p w14:paraId="057C95FB">
            <w:pPr>
              <w:spacing w:after="40"/>
              <w:jc w:val="left"/>
            </w:pPr>
            <w:r>
              <w:rPr>
                <w:rFonts w:ascii="Times New Roman" w:hAnsi="Times New Roman" w:eastAsia="宋体"/>
                <w:b w:val="0"/>
                <w:sz w:val="21"/>
              </w:rPr>
              <w:t>术语标准化、标注一致性、敏感信息脱敏、证据等级标注、数据来源与版权记录</w:t>
            </w:r>
          </w:p>
        </w:tc>
      </w:tr>
      <w:tr w14:paraId="5B26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DC3DE78">
            <w:pPr>
              <w:spacing w:after="40"/>
              <w:jc w:val="left"/>
            </w:pPr>
            <w:r>
              <w:rPr>
                <w:rFonts w:ascii="Times New Roman" w:hAnsi="Times New Roman" w:eastAsia="宋体"/>
                <w:b w:val="0"/>
                <w:sz w:val="21"/>
              </w:rPr>
              <w:t>建模环节</w:t>
            </w:r>
          </w:p>
        </w:tc>
        <w:tc>
          <w:tcPr>
            <w:tcW w:w="4500" w:type="dxa"/>
          </w:tcPr>
          <w:p w14:paraId="0363490D">
            <w:pPr>
              <w:spacing w:after="40"/>
              <w:jc w:val="left"/>
            </w:pPr>
            <w:r>
              <w:rPr>
                <w:rFonts w:ascii="Times New Roman" w:hAnsi="Times New Roman" w:eastAsia="宋体"/>
                <w:b w:val="0"/>
                <w:sz w:val="21"/>
              </w:rPr>
              <w:t>检索增强生成、知识图谱约束、禁忌规则库、参数高效微调、模型校准</w:t>
            </w:r>
          </w:p>
        </w:tc>
      </w:tr>
      <w:tr w14:paraId="742A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348F0428">
            <w:pPr>
              <w:spacing w:after="40"/>
              <w:jc w:val="left"/>
            </w:pPr>
            <w:r>
              <w:rPr>
                <w:rFonts w:ascii="Times New Roman" w:hAnsi="Times New Roman" w:eastAsia="宋体"/>
                <w:b w:val="0"/>
                <w:sz w:val="21"/>
              </w:rPr>
              <w:t>评测环节</w:t>
            </w:r>
          </w:p>
        </w:tc>
        <w:tc>
          <w:tcPr>
            <w:tcW w:w="4500" w:type="dxa"/>
          </w:tcPr>
          <w:p w14:paraId="2831277E">
            <w:pPr>
              <w:spacing w:after="40"/>
              <w:jc w:val="left"/>
            </w:pPr>
            <w:r>
              <w:rPr>
                <w:rFonts w:ascii="Times New Roman" w:hAnsi="Times New Roman" w:eastAsia="宋体"/>
                <w:b w:val="0"/>
                <w:sz w:val="21"/>
              </w:rPr>
              <w:t>准确率、幻觉率、错误信息识别、置信度校准、分布外泛化、公平性分层评价</w:t>
            </w:r>
          </w:p>
        </w:tc>
      </w:tr>
      <w:tr w14:paraId="672D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3C036B6">
            <w:pPr>
              <w:spacing w:after="40"/>
              <w:jc w:val="left"/>
            </w:pPr>
            <w:r>
              <w:rPr>
                <w:rFonts w:ascii="Times New Roman" w:hAnsi="Times New Roman" w:eastAsia="宋体"/>
                <w:b w:val="0"/>
                <w:sz w:val="21"/>
              </w:rPr>
              <w:t>部署环节</w:t>
            </w:r>
          </w:p>
        </w:tc>
        <w:tc>
          <w:tcPr>
            <w:tcW w:w="4500" w:type="dxa"/>
          </w:tcPr>
          <w:p w14:paraId="516F1449">
            <w:pPr>
              <w:spacing w:after="40"/>
              <w:jc w:val="left"/>
            </w:pPr>
            <w:r>
              <w:rPr>
                <w:rFonts w:ascii="Times New Roman" w:hAnsi="Times New Roman" w:eastAsia="宋体"/>
                <w:b w:val="0"/>
                <w:sz w:val="21"/>
              </w:rPr>
              <w:t>人类审核、权限控制、解释输出、低置信拒答、操作日志审计</w:t>
            </w:r>
          </w:p>
        </w:tc>
      </w:tr>
      <w:tr w14:paraId="00D3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41FB4E7B">
            <w:pPr>
              <w:spacing w:after="40"/>
              <w:jc w:val="left"/>
            </w:pPr>
            <w:r>
              <w:rPr>
                <w:rFonts w:ascii="Times New Roman" w:hAnsi="Times New Roman" w:eastAsia="宋体"/>
                <w:b w:val="0"/>
                <w:sz w:val="21"/>
              </w:rPr>
              <w:t>监测环节</w:t>
            </w:r>
          </w:p>
        </w:tc>
        <w:tc>
          <w:tcPr>
            <w:tcW w:w="4500" w:type="dxa"/>
          </w:tcPr>
          <w:p w14:paraId="208E16AB">
            <w:pPr>
              <w:spacing w:after="40"/>
              <w:jc w:val="left"/>
            </w:pPr>
            <w:r>
              <w:rPr>
                <w:rFonts w:ascii="Times New Roman" w:hAnsi="Times New Roman" w:eastAsia="宋体"/>
                <w:b w:val="0"/>
                <w:sz w:val="21"/>
              </w:rPr>
              <w:t>性能漂移监测、不良事件上报、定期再校准、模型版本与责任记录</w:t>
            </w:r>
          </w:p>
        </w:tc>
      </w:tr>
    </w:tbl>
    <w:p w14:paraId="14B8645E">
      <w:pPr>
        <w:spacing w:after="80" w:line="360" w:lineRule="auto"/>
        <w:ind w:firstLine="480" w:firstLineChars="200"/>
        <w:jc w:val="both"/>
      </w:pPr>
      <w:r>
        <w:rPr>
          <w:rFonts w:ascii="Times New Roman" w:hAnsi="Times New Roman" w:eastAsia="宋体"/>
          <w:b w:val="0"/>
          <w:sz w:val="24"/>
        </w:rPr>
        <w:t>该表说明，可信AI不是模型训练完成后附加的检查项，而是贯穿数据、建模、评测、部署和监测的系统工程。研究生在设计课题时，应在开题阶段就明确可信性指标，而不是在论文撰写阶段补充伦理讨论。</w:t>
      </w:r>
    </w:p>
    <w:p w14:paraId="42E0C738">
      <w:pPr>
        <w:pStyle w:val="5"/>
        <w:spacing w:after="160"/>
        <w:ind w:firstLine="643" w:firstLineChars="200"/>
        <w:jc w:val="left"/>
      </w:pPr>
      <w:r>
        <w:rPr>
          <w:rFonts w:ascii="Times New Roman" w:hAnsi="Times New Roman" w:eastAsia="黑体"/>
          <w:b/>
          <w:sz w:val="32"/>
        </w:rPr>
        <w:t>二、不确定性量化、鲁棒性与算法公平性探索</w:t>
      </w:r>
    </w:p>
    <w:p w14:paraId="04D51090">
      <w:pPr>
        <w:pStyle w:val="6"/>
        <w:spacing w:after="120"/>
        <w:ind w:firstLine="602" w:firstLineChars="200"/>
        <w:jc w:val="left"/>
      </w:pPr>
      <w:r>
        <w:rPr>
          <w:rFonts w:ascii="Times New Roman" w:hAnsi="Times New Roman" w:eastAsia="黑体"/>
          <w:b/>
          <w:sz w:val="30"/>
        </w:rPr>
        <w:t>（一）不确定性量化：让模型表达“把握程度”</w:t>
      </w:r>
    </w:p>
    <w:p w14:paraId="46750D4E">
      <w:pPr>
        <w:spacing w:after="80" w:line="360" w:lineRule="auto"/>
        <w:ind w:firstLine="480" w:firstLineChars="200"/>
        <w:jc w:val="both"/>
      </w:pPr>
      <w:r>
        <w:rPr>
          <w:rFonts w:ascii="Times New Roman" w:hAnsi="Times New Roman" w:eastAsia="宋体"/>
          <w:b w:val="0"/>
          <w:sz w:val="24"/>
        </w:rPr>
        <w:t>不确定性量化旨在使模型不仅输出结果，还输出对结果的把握程度。中医药AI尤其需要不确定性量化，原因有三点。第一，中医药数据存在弱标签、小样本和分布不均。第二，辨证标签包含专家主观判断。第三，大模型在不熟悉或信息不足的场景中会生成看似流畅但依据不足的回答。若系统能够识别低置信输出，就能触发人工复核、拒答或补充问诊。</w:t>
      </w:r>
    </w:p>
    <w:p w14:paraId="22E430D5">
      <w:pPr>
        <w:spacing w:after="80" w:line="360" w:lineRule="auto"/>
        <w:ind w:firstLine="480" w:firstLineChars="200"/>
        <w:jc w:val="both"/>
      </w:pPr>
      <w:r>
        <w:rPr>
          <w:rFonts w:ascii="Times New Roman" w:hAnsi="Times New Roman" w:eastAsia="宋体"/>
          <w:b w:val="0"/>
          <w:sz w:val="24"/>
        </w:rPr>
        <w:t>不确定性通常分为偶然不确定性和认知不确定性。偶然不确定性来自数据本身的噪声和模糊，例如舌象图像光照不足、脉象信号采集不稳定、同一症状表达存在歧义。认知不确定性来自模型知识不足，例如训练集中罕见证型样本过少或某类中西药相互作用证据缺失。二者的处理策略不同：偶然不确定性要求改善采集质量、增加重复测量和专家共识；认知不确定性要求补充数据、主动学习或限定模型适用范围。</w:t>
      </w:r>
    </w:p>
    <w:p w14:paraId="3F6CD95D">
      <w:pPr>
        <w:spacing w:after="80" w:line="360" w:lineRule="auto"/>
        <w:ind w:firstLine="480" w:firstLineChars="200"/>
        <w:jc w:val="both"/>
      </w:pPr>
      <w:r>
        <w:rPr>
          <w:rFonts w:ascii="Times New Roman" w:hAnsi="Times New Roman" w:eastAsia="宋体"/>
          <w:b w:val="0"/>
          <w:sz w:val="24"/>
        </w:rPr>
        <w:t>关键推导：预测不确定性的基本表达</w:t>
      </w:r>
    </w:p>
    <w:p w14:paraId="3286EA5D">
      <w:pPr>
        <w:spacing w:after="80" w:line="360" w:lineRule="auto"/>
        <w:ind w:firstLine="480" w:firstLineChars="200"/>
        <w:jc w:val="both"/>
      </w:pPr>
      <w:r>
        <w:rPr>
          <w:rFonts w:ascii="Times New Roman" w:hAnsi="Times New Roman" w:eastAsia="宋体"/>
          <w:b w:val="0"/>
          <w:sz w:val="24"/>
        </w:rPr>
        <w:t>给定输入 \(x\) 和训练数据 \(D\)，贝叶斯视角下的预测分布可写为：</w:t>
      </w:r>
    </w:p>
    <w:p w14:paraId="22188F59">
      <w:pPr>
        <w:spacing w:after="80" w:line="360" w:lineRule="auto"/>
        <w:ind w:firstLine="480" w:firstLineChars="200"/>
        <w:jc w:val="both"/>
      </w:pPr>
      <w:r>
        <w:rPr>
          <w:rFonts w:ascii="Times New Roman" w:hAnsi="Times New Roman" w:eastAsia="宋体"/>
          <w:b w:val="0"/>
          <w:sz w:val="24"/>
        </w:rPr>
        <w:t>\[</w:t>
      </w:r>
    </w:p>
    <w:p w14:paraId="029B06C9">
      <w:pPr>
        <w:spacing w:after="80" w:line="360" w:lineRule="auto"/>
        <w:ind w:firstLine="480" w:firstLineChars="200"/>
        <w:jc w:val="both"/>
      </w:pPr>
      <w:r>
        <w:rPr>
          <w:rFonts w:ascii="Times New Roman" w:hAnsi="Times New Roman" w:eastAsia="宋体"/>
          <w:b w:val="0"/>
          <w:sz w:val="24"/>
        </w:rPr>
        <w:t>p(y|x,D)=\int p(y|x,\theta)p(\theta|D)d\theta</w:t>
      </w:r>
    </w:p>
    <w:p w14:paraId="218AB414">
      <w:pPr>
        <w:spacing w:after="80" w:line="360" w:lineRule="auto"/>
        <w:ind w:firstLine="480" w:firstLineChars="200"/>
        <w:jc w:val="both"/>
      </w:pPr>
      <w:r>
        <w:rPr>
          <w:rFonts w:ascii="Times New Roman" w:hAnsi="Times New Roman" w:eastAsia="宋体"/>
          <w:b w:val="0"/>
          <w:sz w:val="24"/>
        </w:rPr>
        <w:t>\]</w:t>
      </w:r>
    </w:p>
    <w:p w14:paraId="56F15EF5">
      <w:pPr>
        <w:spacing w:after="80" w:line="360" w:lineRule="auto"/>
        <w:ind w:firstLine="480" w:firstLineChars="200"/>
        <w:jc w:val="both"/>
      </w:pPr>
      <w:r>
        <w:rPr>
          <w:rFonts w:ascii="Times New Roman" w:hAnsi="Times New Roman" w:eastAsia="宋体"/>
          <w:b w:val="0"/>
          <w:sz w:val="24"/>
        </w:rPr>
        <w:t>其中，\(\theta\) 表示模型参数，\(p(\theta|D)\) 表示在训练数据给定时参数的后验分布。该式包含两层含义。第一，若不同参数取值均给出相近结果，模型认知不确定性较低。第二，若参数取值不同导致输出分歧较大，说明模型对该样本缺乏稳定判断。实际深度学习中难以精确计算该积分，因此常采用蒙特卡洛Dropout、深度集成等近似方法。</w:t>
      </w:r>
    </w:p>
    <w:p w14:paraId="6FAFED66">
      <w:pPr>
        <w:spacing w:after="80" w:line="360" w:lineRule="auto"/>
        <w:ind w:firstLine="480" w:firstLineChars="200"/>
        <w:jc w:val="both"/>
      </w:pPr>
      <w:r>
        <w:rPr>
          <w:rFonts w:ascii="Times New Roman" w:hAnsi="Times New Roman" w:eastAsia="宋体"/>
          <w:b w:val="0"/>
          <w:sz w:val="24"/>
        </w:rPr>
        <w:t>蒙特卡洛Dropout的步骤</w:t>
      </w:r>
    </w:p>
    <w:p w14:paraId="0FD707AA">
      <w:pPr>
        <w:spacing w:after="80" w:line="360" w:lineRule="auto"/>
        <w:ind w:firstLine="480" w:firstLineChars="200"/>
        <w:jc w:val="both"/>
      </w:pPr>
      <w:r>
        <w:rPr>
          <w:rFonts w:ascii="Times New Roman" w:hAnsi="Times New Roman" w:eastAsia="宋体"/>
          <w:b w:val="0"/>
          <w:sz w:val="24"/>
        </w:rPr>
        <w:t>第一，在推理阶段保留Dropout随机失活；第二，对同一输入运行 \(T\) 次，得到 \(T\) 个输出；第三，计算平均预测作为最终结果；第四，计算输出方差或熵作为不确定性。用于中医辨证时，若同一病例多次推理得到不同证候，系统应提示“辨证不确定，需要补充四诊信息或专家复核”。</w:t>
      </w:r>
    </w:p>
    <w:p w14:paraId="0911917B">
      <w:pPr>
        <w:spacing w:after="80" w:line="360" w:lineRule="auto"/>
        <w:ind w:firstLine="480" w:firstLineChars="200"/>
        <w:jc w:val="both"/>
      </w:pPr>
      <w:r>
        <w:rPr>
          <w:rFonts w:ascii="Times New Roman" w:hAnsi="Times New Roman" w:eastAsia="宋体"/>
          <w:b w:val="0"/>
          <w:sz w:val="24"/>
        </w:rPr>
        <w:t>模型校准与ECE指标</w:t>
      </w:r>
    </w:p>
    <w:p w14:paraId="475DA379">
      <w:pPr>
        <w:spacing w:after="80" w:line="360" w:lineRule="auto"/>
        <w:ind w:firstLine="480" w:firstLineChars="200"/>
        <w:jc w:val="both"/>
      </w:pPr>
      <w:r>
        <w:rPr>
          <w:rFonts w:ascii="Times New Roman" w:hAnsi="Times New Roman" w:eastAsia="宋体"/>
          <w:b w:val="0"/>
          <w:sz w:val="24"/>
        </w:rPr>
        <w:t>模型校准关注“模型给出的置信度是否与真实正确率一致”。将预测按置信度划分为 \(M\) 个区间，第 \(m\) 个区间的样本集合为 \(B_m\)，则期望校准误差可写为：</w:t>
      </w:r>
    </w:p>
    <w:p w14:paraId="53DEEC26">
      <w:pPr>
        <w:spacing w:after="80" w:line="360" w:lineRule="auto"/>
        <w:ind w:firstLine="480" w:firstLineChars="200"/>
        <w:jc w:val="both"/>
      </w:pPr>
      <w:r>
        <w:rPr>
          <w:rFonts w:ascii="Times New Roman" w:hAnsi="Times New Roman" w:eastAsia="宋体"/>
          <w:b w:val="0"/>
          <w:sz w:val="24"/>
        </w:rPr>
        <w:t>\[</w:t>
      </w:r>
    </w:p>
    <w:p w14:paraId="5306CA4E">
      <w:pPr>
        <w:spacing w:after="80" w:line="360" w:lineRule="auto"/>
        <w:ind w:firstLine="480" w:firstLineChars="200"/>
        <w:jc w:val="both"/>
      </w:pPr>
      <w:r>
        <w:rPr>
          <w:rFonts w:ascii="Times New Roman" w:hAnsi="Times New Roman" w:eastAsia="宋体"/>
          <w:b w:val="0"/>
          <w:sz w:val="24"/>
        </w:rPr>
        <w:t>ECE=\sum_{m=1}^{M}\frac{|B_m|}{n}\left|acc(B_m)-conf(B_m)\right|</w:t>
      </w:r>
    </w:p>
    <w:p w14:paraId="14E9FE96">
      <w:pPr>
        <w:spacing w:after="80" w:line="360" w:lineRule="auto"/>
        <w:ind w:firstLine="480" w:firstLineChars="200"/>
        <w:jc w:val="both"/>
      </w:pPr>
      <w:r>
        <w:rPr>
          <w:rFonts w:ascii="Times New Roman" w:hAnsi="Times New Roman" w:eastAsia="宋体"/>
          <w:b w:val="0"/>
          <w:sz w:val="24"/>
        </w:rPr>
        <w:t>\]</w:t>
      </w:r>
    </w:p>
    <w:p w14:paraId="15392CB3">
      <w:pPr>
        <w:spacing w:after="80" w:line="360" w:lineRule="auto"/>
        <w:ind w:firstLine="480" w:firstLineChars="200"/>
        <w:jc w:val="both"/>
      </w:pPr>
      <w:r>
        <w:rPr>
          <w:rFonts w:ascii="Times New Roman" w:hAnsi="Times New Roman" w:eastAsia="宋体"/>
          <w:b w:val="0"/>
          <w:sz w:val="24"/>
        </w:rPr>
        <w:t>其中，\(acc(B_m)\) 是该区间真实准确率，\(conf(B_m)\) 是该区间平均置信度。若模型对某类证候给出90%置信度，但真实正确率只有60%，则该模型存在过度自信。中医药大模型在进入临床辅助前，应报告校准曲线和ECE，而不应只报告平均准确率。</w:t>
      </w:r>
    </w:p>
    <w:p w14:paraId="403F5971">
      <w:pPr>
        <w:spacing w:after="80" w:line="360" w:lineRule="auto"/>
        <w:ind w:firstLine="480" w:firstLineChars="200"/>
        <w:jc w:val="both"/>
      </w:pPr>
      <w:r>
        <w:rPr>
          <w:rFonts w:ascii="Times New Roman" w:hAnsi="Times New Roman" w:eastAsia="宋体"/>
          <w:b w:val="0"/>
          <w:sz w:val="24"/>
        </w:rPr>
        <w:t>关键算例：期望校准误差的计算。设某辨证模型在测试集上按置信度分为三个区间。第一区间样本数 100，平均置信度 0.95，真实准确率 0.80；第二区间样本数 60，平均置信度 0.75，真实准确率 0.70；第三区间样本数 40，平均置信度 0.55，真实准确率 0.58；样本总数 \(n=200\)。按定义计算 \(ECE=(100/200)\times|0.80-0.95|+(60/200)\times|0.70-0.75|+(40/200)\times|0.58-0.55|=0.5\times0.15+0.3\times0.05+0.2\times0.03=0.075+0.015+0.006=0.096\)。该结果表明模型整体存在约 9.6% 的置信度偏差，且偏差主要来自高置信区间的过度自信。据此，研究者应优先对高置信区间实施温度缩放等校准方法，而非笼统调整全局阈值。</w:t>
      </w:r>
    </w:p>
    <w:p w14:paraId="5932AE98">
      <w:pPr>
        <w:spacing w:after="80" w:line="360" w:lineRule="auto"/>
        <w:ind w:firstLine="480" w:firstLineChars="200"/>
        <w:jc w:val="both"/>
      </w:pPr>
      <w:r>
        <w:rPr>
          <w:rFonts w:ascii="Times New Roman" w:hAnsi="Times New Roman" w:eastAsia="宋体"/>
          <w:b w:val="0"/>
          <w:sz w:val="24"/>
        </w:rPr>
        <w:t>共形预测的基本步骤</w:t>
      </w:r>
    </w:p>
    <w:p w14:paraId="47CDA017">
      <w:pPr>
        <w:spacing w:after="80" w:line="360" w:lineRule="auto"/>
        <w:ind w:firstLine="480" w:firstLineChars="200"/>
        <w:jc w:val="both"/>
      </w:pPr>
      <w:r>
        <w:rPr>
          <w:rFonts w:ascii="Times New Roman" w:hAnsi="Times New Roman" w:eastAsia="宋体"/>
          <w:b w:val="0"/>
          <w:sz w:val="24"/>
        </w:rPr>
        <w:t>第一，将数据划分为训练集、校准集和测试集。第二，用训练集训练模型。第三，在校准集上计算非一致性分数，例如“1减去正确类别概率”。第四，取校准分数的指定分位数作为阈值。第五，对新样本输出预测集合，而不是单一标签。若某病例的预测集合包含“肝郁脾虚、肝胃不和、脾胃湿热”三个候选证型，系统应提示证候边界不清，并建议补充关键症状。共形预测的价值在于提供覆盖率保证，适合高风险医疗任务中的选择性输出。</w:t>
      </w:r>
    </w:p>
    <w:p w14:paraId="16CAC94C">
      <w:pPr>
        <w:spacing w:after="80" w:line="360" w:lineRule="auto"/>
        <w:ind w:firstLine="480" w:firstLineChars="200"/>
        <w:jc w:val="both"/>
      </w:pPr>
      <w:r>
        <w:rPr>
          <w:rFonts w:ascii="Times New Roman" w:hAnsi="Times New Roman" w:eastAsia="宋体"/>
          <w:b w:val="0"/>
          <w:sz w:val="24"/>
        </w:rPr>
        <w:t>案例10-3　辨证模型的低置信触发机制</w:t>
      </w:r>
    </w:p>
    <w:p w14:paraId="52F4F11B">
      <w:pPr>
        <w:spacing w:after="80" w:line="360" w:lineRule="auto"/>
        <w:ind w:firstLine="480" w:firstLineChars="200"/>
        <w:jc w:val="both"/>
      </w:pPr>
      <w:r>
        <w:rPr>
          <w:rFonts w:ascii="Times New Roman" w:hAnsi="Times New Roman" w:eastAsia="宋体"/>
          <w:b w:val="0"/>
          <w:sz w:val="24"/>
        </w:rPr>
        <w:t>某模型用于门诊病历摘要后的证候提示。系统对每个病例输出前三个证候及置信度，并设置低置信阈值。当最高置信度低于阈值，或前三个证候之间差距过小，系统不输出确定性结论，而是提示医师补充舌象、脉象和睡眠、食欲、二便等信息。该机制的价值在于把不确定性转化为临床工作流中的“补充信息”和“人工复核”。</w:t>
      </w:r>
    </w:p>
    <w:p w14:paraId="5126A7A5">
      <w:pPr>
        <w:pStyle w:val="6"/>
        <w:spacing w:after="120"/>
        <w:ind w:firstLine="602" w:firstLineChars="200"/>
        <w:jc w:val="left"/>
      </w:pPr>
      <w:r>
        <w:rPr>
          <w:rFonts w:ascii="Times New Roman" w:hAnsi="Times New Roman" w:eastAsia="黑体"/>
          <w:b/>
          <w:sz w:val="30"/>
        </w:rPr>
        <w:t>（二）鲁棒性：让模型经受扰动、分布变化与异常输入</w:t>
      </w:r>
    </w:p>
    <w:p w14:paraId="13D18C7D">
      <w:pPr>
        <w:spacing w:after="80" w:line="360" w:lineRule="auto"/>
        <w:ind w:firstLine="480" w:firstLineChars="200"/>
        <w:jc w:val="both"/>
      </w:pPr>
      <w:r>
        <w:rPr>
          <w:rFonts w:ascii="Times New Roman" w:hAnsi="Times New Roman" w:eastAsia="宋体"/>
          <w:b w:val="0"/>
          <w:sz w:val="24"/>
        </w:rPr>
        <w:t>鲁棒性指模型在输入扰动、环境变化和异常样本下保持稳定可靠的能力。中医药AI的鲁棒性问题主要来自三类扰动。第一，分布偏移，即训练数据与部署数据不同。例如，训练数据来自三甲医院，部署对象为基层门诊；训练医案来自某一流派，应用于其他流派。第二，对抗扰动，即输入被人为改变以诱导错误输出。例如，在问诊文本中加入错误概念、伪造药物名称或误导性症状描述。第三，数据质量波动，即舌象图像光照、脉象设备、文本记录格式和标注习惯发生变化。</w:t>
      </w:r>
    </w:p>
    <w:p w14:paraId="2E6C6DC0">
      <w:pPr>
        <w:spacing w:after="80" w:line="360" w:lineRule="auto"/>
        <w:ind w:firstLine="480" w:firstLineChars="200"/>
        <w:jc w:val="both"/>
      </w:pPr>
      <w:r>
        <w:rPr>
          <w:rFonts w:ascii="Times New Roman" w:hAnsi="Times New Roman" w:eastAsia="宋体"/>
          <w:b w:val="0"/>
          <w:sz w:val="24"/>
        </w:rPr>
        <w:t>鲁棒性评估不应停留在标准测试集准确率。研究生可从以下步骤设计鲁棒性实验。第一，建立标准测试集和扰动测试集。第二，对症状表述、术语同义词、缺失四诊信息、方言化表达、古今术语混用、伪造实体等因素分别构造扰动。第三，比较模型在原始样本和扰动样本上的性能下降幅度。第四，记录模型是否能拒绝捏造概念、是否能提示信息不足、是否能保持用药禁忌。第五，对不同地域、年龄、性别、病种和流派进行分层分析。</w:t>
      </w:r>
    </w:p>
    <w:p w14:paraId="109F1C06">
      <w:pPr>
        <w:spacing w:after="80"/>
        <w:jc w:val="center"/>
      </w:pPr>
      <w:r>
        <w:rPr>
          <w:rFonts w:ascii="Times New Roman" w:hAnsi="Times New Roman" w:eastAsia="黑体"/>
          <w:b/>
          <w:sz w:val="21"/>
        </w:rPr>
        <w:t>表10-3　中医药AI鲁棒性测试场景</w:t>
      </w:r>
    </w:p>
    <w:p w14:paraId="3F002AC1">
      <w:pPr>
        <w:spacing w:after="80" w:line="360" w:lineRule="auto"/>
        <w:ind w:firstLine="480" w:firstLineChars="200"/>
        <w:jc w:val="both"/>
      </w:pPr>
      <w:r>
        <w:rPr>
          <w:rFonts w:ascii="Times New Roman" w:hAnsi="Times New Roman" w:eastAsia="宋体"/>
          <w:b w:val="0"/>
          <w:sz w:val="24"/>
        </w:rPr>
        <w:t>第一列“扰动类型”：同义改写、信息缺失、伪造实体、跨地域数据、设备差异。第二列“示例”：将“胃脘胀满”改写为“胃部发胀”，删除舌脉信息，加入不存在的中药名，将南方湿热地区病例用于北方人群测试，使用不同舌诊设备。第三列“观察指标”：准确率下降、幻觉率、拒识率、禁忌漏检率。第四列“风险含义”：语言脆弱、信息不足仍强行判断、对错误信息缺乏辨别、跨域泛化不足、设备依赖。第五列“改进方法”：数据增广、RAG、知识图谱约束、分布外检测、设备标准化。</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14"/>
        <w:gridCol w:w="2214"/>
        <w:gridCol w:w="2214"/>
      </w:tblGrid>
      <w:tr w14:paraId="7FF9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7C232E">
            <w:pPr>
              <w:spacing w:after="40"/>
              <w:jc w:val="left"/>
            </w:pPr>
            <w:r>
              <w:rPr>
                <w:rFonts w:ascii="Times New Roman" w:hAnsi="Times New Roman" w:eastAsia="黑体"/>
                <w:b/>
                <w:sz w:val="21"/>
              </w:rPr>
              <w:t>扰动类型</w:t>
            </w:r>
          </w:p>
        </w:tc>
        <w:tc>
          <w:tcPr>
            <w:tcW w:w="2250" w:type="dxa"/>
          </w:tcPr>
          <w:p w14:paraId="360E488E">
            <w:pPr>
              <w:spacing w:after="40"/>
              <w:jc w:val="left"/>
            </w:pPr>
            <w:r>
              <w:rPr>
                <w:rFonts w:ascii="Times New Roman" w:hAnsi="Times New Roman" w:eastAsia="黑体"/>
                <w:b/>
                <w:sz w:val="21"/>
              </w:rPr>
              <w:t>示例</w:t>
            </w:r>
          </w:p>
        </w:tc>
        <w:tc>
          <w:tcPr>
            <w:tcW w:w="2250" w:type="dxa"/>
          </w:tcPr>
          <w:p w14:paraId="532EBD25">
            <w:pPr>
              <w:spacing w:after="40"/>
              <w:jc w:val="left"/>
            </w:pPr>
            <w:r>
              <w:rPr>
                <w:rFonts w:ascii="Times New Roman" w:hAnsi="Times New Roman" w:eastAsia="黑体"/>
                <w:b/>
                <w:sz w:val="21"/>
              </w:rPr>
              <w:t>观察指标</w:t>
            </w:r>
          </w:p>
        </w:tc>
        <w:tc>
          <w:tcPr>
            <w:tcW w:w="2250" w:type="dxa"/>
          </w:tcPr>
          <w:p w14:paraId="349B8441">
            <w:pPr>
              <w:spacing w:after="40"/>
              <w:jc w:val="left"/>
            </w:pPr>
            <w:r>
              <w:rPr>
                <w:rFonts w:ascii="Times New Roman" w:hAnsi="Times New Roman" w:eastAsia="黑体"/>
                <w:b/>
                <w:sz w:val="21"/>
              </w:rPr>
              <w:t>风险含义</w:t>
            </w:r>
          </w:p>
        </w:tc>
      </w:tr>
      <w:tr w14:paraId="3152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54702B7">
            <w:pPr>
              <w:spacing w:after="40"/>
              <w:jc w:val="left"/>
            </w:pPr>
            <w:r>
              <w:rPr>
                <w:rFonts w:ascii="Times New Roman" w:hAnsi="Times New Roman" w:eastAsia="宋体"/>
                <w:b w:val="0"/>
                <w:sz w:val="21"/>
              </w:rPr>
              <w:t>同义改写</w:t>
            </w:r>
          </w:p>
        </w:tc>
        <w:tc>
          <w:tcPr>
            <w:tcW w:w="2250" w:type="dxa"/>
          </w:tcPr>
          <w:p w14:paraId="31A15FE3">
            <w:pPr>
              <w:spacing w:after="40"/>
              <w:jc w:val="left"/>
            </w:pPr>
            <w:r>
              <w:rPr>
                <w:rFonts w:ascii="Times New Roman" w:hAnsi="Times New Roman" w:eastAsia="宋体"/>
                <w:b w:val="0"/>
                <w:sz w:val="21"/>
              </w:rPr>
              <w:t>将“胃脘胀满”改写为“胃部发胀”</w:t>
            </w:r>
          </w:p>
        </w:tc>
        <w:tc>
          <w:tcPr>
            <w:tcW w:w="2250" w:type="dxa"/>
          </w:tcPr>
          <w:p w14:paraId="54E86A13">
            <w:pPr>
              <w:spacing w:after="40"/>
              <w:jc w:val="left"/>
            </w:pPr>
            <w:r>
              <w:rPr>
                <w:rFonts w:ascii="Times New Roman" w:hAnsi="Times New Roman" w:eastAsia="宋体"/>
                <w:b w:val="0"/>
                <w:sz w:val="21"/>
              </w:rPr>
              <w:t>准确率下降幅度</w:t>
            </w:r>
          </w:p>
        </w:tc>
        <w:tc>
          <w:tcPr>
            <w:tcW w:w="2250" w:type="dxa"/>
          </w:tcPr>
          <w:p w14:paraId="7C66B058">
            <w:pPr>
              <w:spacing w:after="40"/>
              <w:jc w:val="left"/>
            </w:pPr>
            <w:r>
              <w:rPr>
                <w:rFonts w:ascii="Times New Roman" w:hAnsi="Times New Roman" w:eastAsia="宋体"/>
                <w:b w:val="0"/>
                <w:sz w:val="21"/>
              </w:rPr>
              <w:t>对表述脆弱，术语鲁棒性不足</w:t>
            </w:r>
          </w:p>
        </w:tc>
      </w:tr>
      <w:tr w14:paraId="08BD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5C6635E">
            <w:pPr>
              <w:spacing w:after="40"/>
              <w:jc w:val="left"/>
            </w:pPr>
            <w:r>
              <w:rPr>
                <w:rFonts w:ascii="Times New Roman" w:hAnsi="Times New Roman" w:eastAsia="宋体"/>
                <w:b w:val="0"/>
                <w:sz w:val="21"/>
              </w:rPr>
              <w:t>信息缺失</w:t>
            </w:r>
          </w:p>
        </w:tc>
        <w:tc>
          <w:tcPr>
            <w:tcW w:w="2250" w:type="dxa"/>
          </w:tcPr>
          <w:p w14:paraId="0D55B2C6">
            <w:pPr>
              <w:spacing w:after="40"/>
              <w:jc w:val="left"/>
            </w:pPr>
            <w:r>
              <w:rPr>
                <w:rFonts w:ascii="Times New Roman" w:hAnsi="Times New Roman" w:eastAsia="宋体"/>
                <w:b w:val="0"/>
                <w:sz w:val="21"/>
              </w:rPr>
              <w:t>删除舌象与脉象信息</w:t>
            </w:r>
          </w:p>
        </w:tc>
        <w:tc>
          <w:tcPr>
            <w:tcW w:w="2250" w:type="dxa"/>
          </w:tcPr>
          <w:p w14:paraId="25B20AF8">
            <w:pPr>
              <w:spacing w:after="40"/>
              <w:jc w:val="left"/>
            </w:pPr>
            <w:r>
              <w:rPr>
                <w:rFonts w:ascii="Times New Roman" w:hAnsi="Times New Roman" w:eastAsia="宋体"/>
                <w:b w:val="0"/>
                <w:sz w:val="21"/>
              </w:rPr>
              <w:t>拒识率、幻觉率</w:t>
            </w:r>
          </w:p>
        </w:tc>
        <w:tc>
          <w:tcPr>
            <w:tcW w:w="2250" w:type="dxa"/>
          </w:tcPr>
          <w:p w14:paraId="139163DB">
            <w:pPr>
              <w:spacing w:after="40"/>
              <w:jc w:val="left"/>
            </w:pPr>
            <w:r>
              <w:rPr>
                <w:rFonts w:ascii="Times New Roman" w:hAnsi="Times New Roman" w:eastAsia="宋体"/>
                <w:b w:val="0"/>
                <w:sz w:val="21"/>
              </w:rPr>
              <w:t>缺失模态下过度自信</w:t>
            </w:r>
          </w:p>
        </w:tc>
      </w:tr>
      <w:tr w14:paraId="2BFA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36F41B5">
            <w:pPr>
              <w:spacing w:after="40"/>
              <w:jc w:val="left"/>
            </w:pPr>
            <w:r>
              <w:rPr>
                <w:rFonts w:ascii="Times New Roman" w:hAnsi="Times New Roman" w:eastAsia="宋体"/>
                <w:b w:val="0"/>
                <w:sz w:val="21"/>
              </w:rPr>
              <w:t>伪造实体</w:t>
            </w:r>
          </w:p>
        </w:tc>
        <w:tc>
          <w:tcPr>
            <w:tcW w:w="2250" w:type="dxa"/>
          </w:tcPr>
          <w:p w14:paraId="1D2FDD4C">
            <w:pPr>
              <w:spacing w:after="40"/>
              <w:jc w:val="left"/>
            </w:pPr>
            <w:r>
              <w:rPr>
                <w:rFonts w:ascii="Times New Roman" w:hAnsi="Times New Roman" w:eastAsia="宋体"/>
                <w:b w:val="0"/>
                <w:sz w:val="21"/>
              </w:rPr>
              <w:t>加入不存在的中药名或证候名</w:t>
            </w:r>
          </w:p>
        </w:tc>
        <w:tc>
          <w:tcPr>
            <w:tcW w:w="2250" w:type="dxa"/>
          </w:tcPr>
          <w:p w14:paraId="1F49E6FC">
            <w:pPr>
              <w:spacing w:after="40"/>
              <w:jc w:val="left"/>
            </w:pPr>
            <w:r>
              <w:rPr>
                <w:rFonts w:ascii="Times New Roman" w:hAnsi="Times New Roman" w:eastAsia="宋体"/>
                <w:b w:val="0"/>
                <w:sz w:val="21"/>
              </w:rPr>
              <w:t>拒识率、捏造接受率</w:t>
            </w:r>
          </w:p>
        </w:tc>
        <w:tc>
          <w:tcPr>
            <w:tcW w:w="2250" w:type="dxa"/>
          </w:tcPr>
          <w:p w14:paraId="7411F5F7">
            <w:pPr>
              <w:spacing w:after="40"/>
              <w:jc w:val="left"/>
            </w:pPr>
            <w:r>
              <w:rPr>
                <w:rFonts w:ascii="Times New Roman" w:hAnsi="Times New Roman" w:eastAsia="宋体"/>
                <w:b w:val="0"/>
                <w:sz w:val="21"/>
              </w:rPr>
              <w:t>接受并使用虚假概念</w:t>
            </w:r>
          </w:p>
        </w:tc>
      </w:tr>
      <w:tr w14:paraId="1A8A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40096C">
            <w:pPr>
              <w:spacing w:after="40"/>
              <w:jc w:val="left"/>
            </w:pPr>
            <w:r>
              <w:rPr>
                <w:rFonts w:ascii="Times New Roman" w:hAnsi="Times New Roman" w:eastAsia="宋体"/>
                <w:b w:val="0"/>
                <w:sz w:val="21"/>
              </w:rPr>
              <w:t>跨地域数据</w:t>
            </w:r>
          </w:p>
        </w:tc>
        <w:tc>
          <w:tcPr>
            <w:tcW w:w="2250" w:type="dxa"/>
          </w:tcPr>
          <w:p w14:paraId="4C007674">
            <w:pPr>
              <w:spacing w:after="40"/>
              <w:jc w:val="left"/>
            </w:pPr>
            <w:r>
              <w:rPr>
                <w:rFonts w:ascii="Times New Roman" w:hAnsi="Times New Roman" w:eastAsia="宋体"/>
                <w:b w:val="0"/>
                <w:sz w:val="21"/>
              </w:rPr>
              <w:t>南方湿热地区病例用于北方人群</w:t>
            </w:r>
          </w:p>
        </w:tc>
        <w:tc>
          <w:tcPr>
            <w:tcW w:w="2250" w:type="dxa"/>
          </w:tcPr>
          <w:p w14:paraId="39D0766F">
            <w:pPr>
              <w:spacing w:after="40"/>
              <w:jc w:val="left"/>
            </w:pPr>
            <w:r>
              <w:rPr>
                <w:rFonts w:ascii="Times New Roman" w:hAnsi="Times New Roman" w:eastAsia="宋体"/>
                <w:b w:val="0"/>
                <w:sz w:val="21"/>
              </w:rPr>
              <w:t>准确率下降、公平性差异</w:t>
            </w:r>
          </w:p>
        </w:tc>
        <w:tc>
          <w:tcPr>
            <w:tcW w:w="2250" w:type="dxa"/>
          </w:tcPr>
          <w:p w14:paraId="028A2468">
            <w:pPr>
              <w:spacing w:after="40"/>
              <w:jc w:val="left"/>
            </w:pPr>
            <w:r>
              <w:rPr>
                <w:rFonts w:ascii="Times New Roman" w:hAnsi="Times New Roman" w:eastAsia="宋体"/>
                <w:b w:val="0"/>
                <w:sz w:val="21"/>
              </w:rPr>
              <w:t>分布偏移导致泛化失败</w:t>
            </w:r>
          </w:p>
        </w:tc>
      </w:tr>
      <w:tr w14:paraId="219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F86609B">
            <w:pPr>
              <w:spacing w:after="40"/>
              <w:jc w:val="left"/>
            </w:pPr>
            <w:r>
              <w:rPr>
                <w:rFonts w:ascii="Times New Roman" w:hAnsi="Times New Roman" w:eastAsia="宋体"/>
                <w:b w:val="0"/>
                <w:sz w:val="21"/>
              </w:rPr>
              <w:t>设备差异</w:t>
            </w:r>
          </w:p>
        </w:tc>
        <w:tc>
          <w:tcPr>
            <w:tcW w:w="2250" w:type="dxa"/>
          </w:tcPr>
          <w:p w14:paraId="2E8A8591">
            <w:pPr>
              <w:spacing w:after="40"/>
              <w:jc w:val="left"/>
            </w:pPr>
            <w:r>
              <w:rPr>
                <w:rFonts w:ascii="Times New Roman" w:hAnsi="Times New Roman" w:eastAsia="宋体"/>
                <w:b w:val="0"/>
                <w:sz w:val="21"/>
              </w:rPr>
              <w:t>不同舌诊设备成像、不同脉诊仪信号</w:t>
            </w:r>
          </w:p>
        </w:tc>
        <w:tc>
          <w:tcPr>
            <w:tcW w:w="2250" w:type="dxa"/>
          </w:tcPr>
          <w:p w14:paraId="1C76935F">
            <w:pPr>
              <w:spacing w:after="40"/>
              <w:jc w:val="left"/>
            </w:pPr>
            <w:r>
              <w:rPr>
                <w:rFonts w:ascii="Times New Roman" w:hAnsi="Times New Roman" w:eastAsia="宋体"/>
                <w:b w:val="0"/>
                <w:sz w:val="21"/>
              </w:rPr>
              <w:t>准确率下降幅度</w:t>
            </w:r>
          </w:p>
        </w:tc>
        <w:tc>
          <w:tcPr>
            <w:tcW w:w="2250" w:type="dxa"/>
          </w:tcPr>
          <w:p w14:paraId="2CA9E5BC">
            <w:pPr>
              <w:spacing w:after="40"/>
              <w:jc w:val="left"/>
            </w:pPr>
            <w:r>
              <w:rPr>
                <w:rFonts w:ascii="Times New Roman" w:hAnsi="Times New Roman" w:eastAsia="宋体"/>
                <w:b w:val="0"/>
                <w:sz w:val="21"/>
              </w:rPr>
              <w:t>采集偏倚影响稳定性</w:t>
            </w:r>
          </w:p>
        </w:tc>
      </w:tr>
    </w:tbl>
    <w:p w14:paraId="668588D9">
      <w:pPr>
        <w:spacing w:after="80" w:line="360" w:lineRule="auto"/>
        <w:ind w:firstLine="480" w:firstLineChars="200"/>
        <w:jc w:val="both"/>
      </w:pPr>
      <w:r>
        <w:rPr>
          <w:rFonts w:ascii="Times New Roman" w:hAnsi="Times New Roman" w:eastAsia="宋体"/>
          <w:b w:val="0"/>
          <w:sz w:val="24"/>
        </w:rPr>
        <w:t>鲁棒性提升可采用多种方法。数据层面可进行症状同义改写、四诊缺失模拟、跨机构采样和难例扩充。模型层面可采用对抗训练、深度集成、分布外检测和置信度校准。知识层面可通过知识图谱约束和禁忌规则库限制危险输出。系统层面可设置智能体复核、人工接管和日志审计。鲁棒性研究的核心不是让模型在所有扰动下都给出答案，而是让模型在不可靠场景中知道停止、询问、检索或转交人类。</w:t>
      </w:r>
    </w:p>
    <w:p w14:paraId="06FFEA21">
      <w:pPr>
        <w:pStyle w:val="6"/>
        <w:spacing w:after="120"/>
        <w:ind w:firstLine="602" w:firstLineChars="200"/>
        <w:jc w:val="left"/>
      </w:pPr>
      <w:r>
        <w:rPr>
          <w:rFonts w:ascii="Times New Roman" w:hAnsi="Times New Roman" w:eastAsia="黑体"/>
          <w:b/>
          <w:sz w:val="30"/>
        </w:rPr>
        <w:t>（三）算法公平性：让模型避免系统性不利</w:t>
      </w:r>
    </w:p>
    <w:p w14:paraId="07A61FEF">
      <w:pPr>
        <w:spacing w:after="80" w:line="360" w:lineRule="auto"/>
        <w:ind w:firstLine="480" w:firstLineChars="200"/>
        <w:jc w:val="both"/>
      </w:pPr>
      <w:r>
        <w:rPr>
          <w:rFonts w:ascii="Times New Roman" w:hAnsi="Times New Roman" w:eastAsia="宋体"/>
          <w:b w:val="0"/>
          <w:sz w:val="24"/>
        </w:rPr>
        <w:t>算法公平性关注模型是否对不同群体产生系统性差异。中医药AI的公平性不仅包括通用医疗AI关注的年龄、性别、民族和社会经济因素，还包括地域、语言文化、流派、医疗机构级别和数据采集条件。若训练数据主要来自城市三甲医院，模型在基层、少数民族地区或老年人群中的表现就需要单独评估。</w:t>
      </w:r>
    </w:p>
    <w:p w14:paraId="4F85F8C4">
      <w:pPr>
        <w:spacing w:after="80" w:line="360" w:lineRule="auto"/>
        <w:ind w:firstLine="480" w:firstLineChars="200"/>
        <w:jc w:val="both"/>
      </w:pPr>
      <w:r>
        <w:rPr>
          <w:rFonts w:ascii="Times New Roman" w:hAnsi="Times New Roman" w:eastAsia="宋体"/>
          <w:b w:val="0"/>
          <w:sz w:val="24"/>
        </w:rPr>
        <w:t>公平性问题的来源包括四类。第一，数据代表性不足，某些地区、病种、年龄段或流派样本过少。第二，标注偏倚，专家经验差异被固化为模型规则。第三，语言文化偏倚，通用模型的预训练语料未充分覆盖中医药表达和中文医学语境。第四，采集偏倚，不同设备、光照、问诊模板和电子病历系统对某些人群更不友好。</w:t>
      </w:r>
    </w:p>
    <w:p w14:paraId="2877B170">
      <w:pPr>
        <w:spacing w:after="80" w:line="360" w:lineRule="auto"/>
        <w:ind w:firstLine="480" w:firstLineChars="200"/>
        <w:jc w:val="both"/>
      </w:pPr>
      <w:r>
        <w:rPr>
          <w:rFonts w:ascii="Times New Roman" w:hAnsi="Times New Roman" w:eastAsia="宋体"/>
          <w:b w:val="0"/>
          <w:sz w:val="24"/>
        </w:rPr>
        <w:t>常用公平性指标包括群体错误率差异、机会均等、校准公平和预测值公平。以机会均等为例，若 \(A\) 表示群体属性，\(\hat{Y}\) 表示模型预测，\(Y\) 表示真实标签，则机会均等要求在真实阳性样本中，各群体被正确识别的概率接近：</w:t>
      </w:r>
    </w:p>
    <w:p w14:paraId="1EBFF622">
      <w:pPr>
        <w:spacing w:after="80" w:line="360" w:lineRule="auto"/>
        <w:ind w:firstLine="480" w:firstLineChars="200"/>
        <w:jc w:val="both"/>
      </w:pPr>
      <w:r>
        <w:rPr>
          <w:rFonts w:ascii="Times New Roman" w:hAnsi="Times New Roman" w:eastAsia="宋体"/>
          <w:b w:val="0"/>
          <w:sz w:val="24"/>
        </w:rPr>
        <w:t>\[</w:t>
      </w:r>
    </w:p>
    <w:p w14:paraId="49555BC4">
      <w:pPr>
        <w:spacing w:after="80" w:line="360" w:lineRule="auto"/>
        <w:ind w:firstLine="480" w:firstLineChars="200"/>
        <w:jc w:val="both"/>
      </w:pPr>
      <w:r>
        <w:rPr>
          <w:rFonts w:ascii="Times New Roman" w:hAnsi="Times New Roman" w:eastAsia="宋体"/>
          <w:b w:val="0"/>
          <w:sz w:val="24"/>
        </w:rPr>
        <w:t>P(\hat{Y}=1|Y=1,A=a)=P(\hat{Y}=1|Y=1,A=b)</w:t>
      </w:r>
    </w:p>
    <w:p w14:paraId="6EA32174">
      <w:pPr>
        <w:spacing w:after="80" w:line="360" w:lineRule="auto"/>
        <w:ind w:firstLine="480" w:firstLineChars="200"/>
        <w:jc w:val="both"/>
      </w:pPr>
      <w:r>
        <w:rPr>
          <w:rFonts w:ascii="Times New Roman" w:hAnsi="Times New Roman" w:eastAsia="宋体"/>
          <w:b w:val="0"/>
          <w:sz w:val="24"/>
        </w:rPr>
        <w:t>\]</w:t>
      </w:r>
    </w:p>
    <w:p w14:paraId="1CC51A7C">
      <w:pPr>
        <w:spacing w:after="80" w:line="360" w:lineRule="auto"/>
        <w:ind w:firstLine="480" w:firstLineChars="200"/>
        <w:jc w:val="both"/>
      </w:pPr>
      <w:r>
        <w:rPr>
          <w:rFonts w:ascii="Times New Roman" w:hAnsi="Times New Roman" w:eastAsia="宋体"/>
          <w:b w:val="0"/>
          <w:sz w:val="24"/>
        </w:rPr>
        <w:t>在中医药场景中，\(A\) 可代表地域、年龄段、民族、语言文化或流派来源。若模型对某一地区患者的某类证候识别率明显低于其他地区，就需要追溯数据代表性、标注标准和模型特征学习过程。</w:t>
      </w:r>
    </w:p>
    <w:p w14:paraId="5874F875">
      <w:pPr>
        <w:spacing w:after="80" w:line="360" w:lineRule="auto"/>
        <w:ind w:firstLine="480" w:firstLineChars="200"/>
        <w:jc w:val="both"/>
      </w:pPr>
      <w:r>
        <w:rPr>
          <w:rFonts w:ascii="Times New Roman" w:hAnsi="Times New Roman" w:eastAsia="宋体"/>
          <w:b w:val="0"/>
          <w:sz w:val="24"/>
        </w:rPr>
        <w:t>关键算例：机会均等差异的计算。设某证候识别模型在两个地域群体上评价。群体 \(A\) 的真实阳性样本 200 例，其中被正确识别 170 例，真阳性率为 \(170/200=0.85\)；群体 \(B\) 的真实阳性样本 150 例，其中被正确识别 108 例，真阳性率为 \(108/150=0.72\)。机会均等差异为 \(0.85-0.72=0.13\)，即模型对群体 \(B\) 的漏诊风险系统性高于群体 \(A\)。若仅报告总体准确率，该 13 个百分点的群体差异将被掩盖。教材据此强调：公平性评价必须分层报告，并在发现显著差异后追溯数据代表性、标注标准与特征学习过程，而非以总体指标替代分层指标。</w:t>
      </w:r>
    </w:p>
    <w:p w14:paraId="77E86C95">
      <w:pPr>
        <w:spacing w:after="80" w:line="360" w:lineRule="auto"/>
        <w:ind w:firstLine="480" w:firstLineChars="200"/>
        <w:jc w:val="both"/>
      </w:pPr>
      <w:r>
        <w:rPr>
          <w:rFonts w:ascii="Times New Roman" w:hAnsi="Times New Roman" w:eastAsia="宋体"/>
          <w:b w:val="0"/>
          <w:sz w:val="24"/>
        </w:rPr>
        <w:t>公平性存在不可兼得现象。不同公平性定义在群体基础发生率不同的条件下难以同时满足。例如，要求各群体校准一致与要求各群体错误率完全一致，常会出现冲突。教材在此强调一个研究素养：公平性不是纯技术调参问题，而是技术、伦理与临床价值共同决定的问题。研究者必须说明选择何种公平性指标、牺牲何种指标、依据何种医学与伦理理由作出取舍。</w:t>
      </w:r>
    </w:p>
    <w:p w14:paraId="6ADC071A">
      <w:pPr>
        <w:spacing w:after="80" w:line="360" w:lineRule="auto"/>
        <w:ind w:firstLine="480" w:firstLineChars="200"/>
        <w:jc w:val="both"/>
      </w:pPr>
      <w:r>
        <w:rPr>
          <w:rFonts w:ascii="Times New Roman" w:hAnsi="Times New Roman" w:eastAsia="宋体"/>
          <w:b w:val="0"/>
          <w:sz w:val="24"/>
        </w:rPr>
        <w:t>中医药AI还存在一个独特问题：流派公平性。若模型训练数据主要来自某一学术流派，模型将倾向于该流派的辨证和处方习惯。流派传承是中医药的重要特征，模型不应以单一流派覆盖全部中医知识。可行做法是在数据层面保留流派标签，在模型层面支持流派条件化输出，在评价层面按流派分层报告性能，在教学层面向学生说明不同流派的适用范围与差异。</w:t>
      </w:r>
    </w:p>
    <w:p w14:paraId="41C24F4E">
      <w:pPr>
        <w:pStyle w:val="6"/>
        <w:spacing w:after="120"/>
        <w:ind w:firstLine="602" w:firstLineChars="200"/>
        <w:jc w:val="left"/>
      </w:pPr>
      <w:r>
        <w:rPr>
          <w:rFonts w:ascii="Times New Roman" w:hAnsi="Times New Roman" w:eastAsia="黑体"/>
          <w:b/>
          <w:sz w:val="30"/>
        </w:rPr>
        <w:t>（四）可信AI的整合设计：从指标集合到安全工程</w:t>
      </w:r>
    </w:p>
    <w:p w14:paraId="4C2995ED">
      <w:pPr>
        <w:spacing w:after="80" w:line="360" w:lineRule="auto"/>
        <w:ind w:firstLine="480" w:firstLineChars="200"/>
        <w:jc w:val="both"/>
      </w:pPr>
      <w:r>
        <w:rPr>
          <w:rFonts w:ascii="Times New Roman" w:hAnsi="Times New Roman" w:eastAsia="宋体"/>
          <w:b w:val="0"/>
          <w:sz w:val="24"/>
        </w:rPr>
        <w:t>不确定性量化、鲁棒性和公平性不是孤立模块，而应共同组成安全工程。一个面向中医药临床辅助的大模型系统至少应包含六个安全层。第一，数据治理层，负责术语标准化、脱敏、证据分级和代表性评估。第二，模型训练层，负责领域适配、校准和对抗样本训练。第三，知识约束层，负责RAG、知识图谱、药物禁忌和指南调用。第四，输出审查层，负责低置信拒答、危险建议拦截和解释生成。第五，人机协同层，负责医师审核、患者知情和责任归属。第六，部署监测层，负责漂移监测、不良事件记录、版本回滚和监管报告。</w:t>
      </w:r>
    </w:p>
    <w:p w14:paraId="0C641571">
      <w:pPr>
        <w:spacing w:after="80"/>
        <w:jc w:val="center"/>
      </w:pPr>
      <w:r>
        <w:rPr>
          <w:rFonts w:ascii="Times New Roman" w:hAnsi="Times New Roman" w:eastAsia="黑体"/>
          <w:b/>
          <w:sz w:val="21"/>
        </w:rPr>
        <w:t>图10-3　中医药可信AI安全工程闭环</w:t>
      </w:r>
    </w:p>
    <w:p w14:paraId="31FFB454">
      <w:pPr>
        <w:spacing w:after="80" w:line="360" w:lineRule="auto"/>
        <w:ind w:firstLine="480" w:firstLineChars="200"/>
        <w:jc w:val="both"/>
      </w:pPr>
      <w:r>
        <w:rPr>
          <w:rFonts w:ascii="Times New Roman" w:hAnsi="Times New Roman" w:eastAsia="宋体"/>
          <w:b w:val="0"/>
          <w:sz w:val="24"/>
        </w:rPr>
        <w:t>图中心为“中医药AI模型”，外层按顺时针排列数据治理、领域适配、知识约束、可信评测、临床部署、持续监测六个环节。每个环节均向审计日志汇聚，审计日志再反馈到模型更新与监管报告。图的重点是说明可信AI不是一次性评测，而是持续闭环。</w:t>
      </w:r>
    </w:p>
    <w:p w14:paraId="66FCE49F">
      <w:pPr>
        <w:pStyle w:val="6"/>
        <w:spacing w:after="120"/>
        <w:ind w:firstLine="602" w:firstLineChars="200"/>
        <w:jc w:val="left"/>
      </w:pPr>
      <w:r>
        <w:rPr>
          <w:rFonts w:ascii="Times New Roman" w:hAnsi="Times New Roman" w:eastAsia="黑体"/>
          <w:b/>
          <w:sz w:val="30"/>
        </w:rPr>
        <w:t>（五）争议与多元观点</w:t>
      </w:r>
    </w:p>
    <w:p w14:paraId="6A2C46EC">
      <w:pPr>
        <w:spacing w:after="80" w:line="360" w:lineRule="auto"/>
        <w:ind w:firstLine="480" w:firstLineChars="200"/>
        <w:jc w:val="both"/>
      </w:pPr>
      <w:r>
        <w:rPr>
          <w:rFonts w:ascii="Times New Roman" w:hAnsi="Times New Roman" w:eastAsia="宋体"/>
          <w:b w:val="0"/>
          <w:sz w:val="24"/>
        </w:rPr>
        <w:t>可信AI研究中存在若干需要学生理解的争议。</w:t>
      </w:r>
    </w:p>
    <w:p w14:paraId="75296252">
      <w:pPr>
        <w:spacing w:after="80" w:line="360" w:lineRule="auto"/>
        <w:ind w:firstLine="480" w:firstLineChars="200"/>
        <w:jc w:val="both"/>
      </w:pPr>
      <w:r>
        <w:rPr>
          <w:rFonts w:ascii="Times New Roman" w:hAnsi="Times New Roman" w:eastAsia="宋体"/>
          <w:b w:val="0"/>
          <w:sz w:val="24"/>
        </w:rPr>
        <w:t>第一，性能优先与安全优先。性能优先观点强调模型应尽快提高复杂任务能力，否则难以体现临床价值；安全优先观点强调医疗场景必须先建立边界、审查和拒答机制。教材建议在低风险教学与科研辅助场景中允许较快迭代，在用药、诊断和治疗建议等高风险场景中坚持安全优先。</w:t>
      </w:r>
    </w:p>
    <w:p w14:paraId="3CF8C44E">
      <w:pPr>
        <w:spacing w:after="80" w:line="360" w:lineRule="auto"/>
        <w:ind w:firstLine="480" w:firstLineChars="200"/>
        <w:jc w:val="both"/>
      </w:pPr>
      <w:r>
        <w:rPr>
          <w:rFonts w:ascii="Times New Roman" w:hAnsi="Times New Roman" w:eastAsia="宋体"/>
          <w:b w:val="0"/>
          <w:sz w:val="24"/>
        </w:rPr>
        <w:t>第二，开放模型与闭源系统。开放模型便于学术复现、审计和本地化适配；闭源系统在工程稳定性、持续维护和责任承担方面具有优势。中医药研究可采用开放模型进行方法学验证，在临床部署时根据监管要求、数据安全和责任边界选择合适形态。</w:t>
      </w:r>
    </w:p>
    <w:p w14:paraId="7326F5B5">
      <w:pPr>
        <w:spacing w:after="80" w:line="360" w:lineRule="auto"/>
        <w:ind w:firstLine="480" w:firstLineChars="200"/>
        <w:jc w:val="both"/>
      </w:pPr>
      <w:r>
        <w:rPr>
          <w:rFonts w:ascii="Times New Roman" w:hAnsi="Times New Roman" w:eastAsia="宋体"/>
          <w:b w:val="0"/>
          <w:sz w:val="24"/>
        </w:rPr>
        <w:t>第三，专家经验与统计证据。专家经验承载中医传承价值，统计证据提供可重复评价基础。二者不能互相替代。理想系统应把专家经验转化为可记录、可评价的规则与示范，同时通过真实世界数据和临床研究持续检验。</w:t>
      </w:r>
    </w:p>
    <w:p w14:paraId="64A2D6BA">
      <w:pPr>
        <w:spacing w:after="80" w:line="360" w:lineRule="auto"/>
        <w:ind w:firstLine="480" w:firstLineChars="200"/>
        <w:jc w:val="both"/>
      </w:pPr>
      <w:r>
        <w:rPr>
          <w:rFonts w:ascii="Times New Roman" w:hAnsi="Times New Roman" w:eastAsia="宋体"/>
          <w:b w:val="0"/>
          <w:sz w:val="24"/>
        </w:rPr>
        <w:t>第四，公平性指标的选择。不同公平性定义之间存在冲突，研究者不能笼统宣称模型“公平”。严谨做法是报告所选指标、分层结果、群体差异、改进措施和仍然存在的限制。</w:t>
      </w:r>
    </w:p>
    <w:p w14:paraId="78803A98">
      <w:pPr>
        <w:pStyle w:val="5"/>
        <w:spacing w:after="160"/>
        <w:ind w:firstLine="643" w:firstLineChars="200"/>
        <w:jc w:val="left"/>
      </w:pPr>
      <w:r>
        <w:rPr>
          <w:rFonts w:ascii="Times New Roman" w:hAnsi="Times New Roman" w:eastAsia="黑体"/>
          <w:b/>
          <w:sz w:val="32"/>
        </w:rPr>
        <w:t>三、可解释性机器学习：从经典归因到可落地的新方法</w:t>
      </w:r>
    </w:p>
    <w:p w14:paraId="4D42FA32">
      <w:pPr>
        <w:spacing w:after="80" w:line="360" w:lineRule="auto"/>
        <w:ind w:firstLine="480" w:firstLineChars="200"/>
        <w:jc w:val="both"/>
      </w:pPr>
      <w:r>
        <w:rPr>
          <w:rFonts w:ascii="Times New Roman" w:hAnsi="Times New Roman" w:eastAsia="宋体"/>
          <w:b w:val="0"/>
          <w:sz w:val="24"/>
        </w:rPr>
        <w:t>可解释性是可信人工智能的中介性属性：不确定性量化回答“模型有多大把握”，鲁棒性回答“模型是否稳定”，公平性回答“模型是否一视同仁”，可解释性则回答“模型为何如此判断”。对中医药人工智能而言，可解释性不仅要求给出特征重要性，更要求解释能够追溯到证候判断依据、病机分析、治法选择与方药禁忌，即语义层面的可追溯性。本节在经典的局部可解释模型无关解释（LIME）与沙普利可加解释（SHAP）之外，系统介绍可落地的较新方法，并讨论其与中医辨证论治逻辑的契合点。</w:t>
      </w:r>
    </w:p>
    <w:p w14:paraId="063F25C6">
      <w:pPr>
        <w:pStyle w:val="6"/>
        <w:spacing w:after="120"/>
        <w:ind w:firstLine="602" w:firstLineChars="200"/>
        <w:jc w:val="left"/>
      </w:pPr>
      <w:r>
        <w:rPr>
          <w:rFonts w:ascii="Times New Roman" w:hAnsi="Times New Roman" w:eastAsia="黑体"/>
          <w:b/>
          <w:sz w:val="30"/>
        </w:rPr>
        <w:t>（一）可解释性的层次、对象与中医药需求</w:t>
      </w:r>
    </w:p>
    <w:p w14:paraId="2BA0555E">
      <w:pPr>
        <w:spacing w:after="80" w:line="360" w:lineRule="auto"/>
        <w:ind w:firstLine="480" w:firstLineChars="200"/>
        <w:jc w:val="both"/>
      </w:pPr>
      <w:r>
        <w:rPr>
          <w:rFonts w:ascii="Times New Roman" w:hAnsi="Times New Roman" w:eastAsia="宋体"/>
          <w:b w:val="0"/>
          <w:sz w:val="24"/>
        </w:rPr>
        <w:t>可解释性方法可按三条维度划分。第一，按解释范围分为全局解释与局部解释：全局解释刻画模型整体行为，例如哪些症状对证候判断总体最重要；局部解释针对单个病例，说明本例为何被判为某证。第二，按生成时机分为内在可解释模型与事后解释方法：前者在结构上即具备可读性，后者在黑箱模型训练完成后附加解释。第三，按适用范围分为模型特定方法与模型无关方法。中医药场景对解释提出三层要求：特征层指出舌象、脉象、症状等输入的贡献；语义层将贡献映射到证候、病机与治法；临床层使解释可被医师核验并支持决策与转诊。解释的受众包括研究者、临床医师、患者与监管机构，不同受众对解释的粒度与形式要求不同。</w:t>
      </w:r>
    </w:p>
    <w:p w14:paraId="5A0DE847">
      <w:pPr>
        <w:spacing w:after="80" w:line="360" w:lineRule="auto"/>
        <w:ind w:firstLine="480" w:firstLineChars="200"/>
        <w:jc w:val="both"/>
      </w:pPr>
      <w:r>
        <w:rPr>
          <w:rFonts w:ascii="Times New Roman" w:hAnsi="Times New Roman" w:eastAsia="宋体"/>
          <w:b w:val="0"/>
          <w:sz w:val="24"/>
        </w:rPr>
        <w:t>解释本身需要被评价，否则无法判断其可信。两个核心指标是忠实度与稳定性。忠实度衡量解释是否真实反映模型的决策依据：一种常用做法是删除解释所标记的重要特征后观察模型输出的变化，变化越大说明解释越忠实；其逆操作是仅保留重要特征观察性能保持程度。稳定性衡量对相近输入或重复运行，解释是否保持一致：可对同一病例多次生成解释并计算特征重要性排序的一致性。中医药场景还须引入语义合理性这一第三指标，即解释所强调的特征是否与公认的辨证要点一致；当模型以与中医理论无关的特征作出判断时，即便忠实度与稳定性达标，该解释在临床上仍不可接受。</w:t>
      </w:r>
    </w:p>
    <w:p w14:paraId="0C5EBE27">
      <w:pPr>
        <w:pStyle w:val="6"/>
        <w:spacing w:after="120"/>
        <w:ind w:firstLine="602" w:firstLineChars="200"/>
        <w:jc w:val="left"/>
      </w:pPr>
      <w:r>
        <w:rPr>
          <w:rFonts w:ascii="Times New Roman" w:hAnsi="Times New Roman" w:eastAsia="黑体"/>
          <w:b/>
          <w:sz w:val="30"/>
        </w:rPr>
        <w:t>（二）经典归因方法及其局限：LIME 与 SHAP</w:t>
      </w:r>
    </w:p>
    <w:p w14:paraId="224990D4">
      <w:pPr>
        <w:spacing w:after="80" w:line="360" w:lineRule="auto"/>
        <w:ind w:firstLine="480" w:firstLineChars="200"/>
        <w:jc w:val="both"/>
      </w:pPr>
      <w:r>
        <w:rPr>
          <w:rFonts w:ascii="Times New Roman" w:hAnsi="Times New Roman" w:eastAsia="宋体"/>
          <w:b w:val="0"/>
          <w:sz w:val="24"/>
        </w:rPr>
        <w:t>LIME 在待解释样本的邻域内采样扰动样本，用可解释的线性模型局部拟合黑箱模型的预测，以线性系数作为特征贡献。其优点是模型无关、实现简单；其局限在于邻域范围与扰动分布的选择显著影响结果，重复运行的稳定性较差。SHAP 以合作博弈论中的沙普利值为基础，将一次预测在各特征间公平分配，满足可加性、一致性与缺失性等公理，并发展出适用于树模型的 TreeSHAP 与模型无关的 KernelSHAP。其局限在于：默认的特征独立假设在症状高度相关的中医数据中难以满足；高维特征下计算成本高；更重要的是，沙普利归因度量的是特征对预测的相关性贡献，并不等同于因果作用。这一局限正是后文从相关性转向因果推断的动因。</w:t>
      </w:r>
    </w:p>
    <w:p w14:paraId="1663030C">
      <w:pPr>
        <w:spacing w:after="80" w:line="360" w:lineRule="auto"/>
        <w:ind w:firstLine="480" w:firstLineChars="200"/>
        <w:jc w:val="both"/>
      </w:pPr>
      <w:r>
        <w:rPr>
          <w:rFonts w:ascii="Times New Roman" w:hAnsi="Times New Roman" w:eastAsia="宋体"/>
          <w:b w:val="0"/>
          <w:sz w:val="24"/>
        </w:rPr>
        <w:t>SHAP 的可加性可形式化表述如下：对一次预测 \(f(x)\)，存在基线期望 \(\phi_0=E[f(X)]\) 与各特征贡献 \(\phi_i\)，使 \(f(x)=\phi_0+\sum_{i=1}^{M}\phi_i\)，其中 \(\phi_i\) 为特征 \(i\) 在所有特征子集上边际贡献的加权平均。该式的临床意义在于：一次证候判断的概率可被分解为“群体基线 + 各症状的增减贡献”，例如基线为某证候的患病率，舌苔黄腻使该证候概率上升若干，脉象细弱使其下降若干，最终求和得到本例的预测。这种可加分解便于医师逐项核对，但其前提是特征贡献相互独立，当症状高度共现时分解结果可能在共现特征间任意分配，须结合临床知识审慎解读。</w:t>
      </w:r>
    </w:p>
    <w:p w14:paraId="0FC51E95">
      <w:pPr>
        <w:pStyle w:val="6"/>
        <w:spacing w:after="120"/>
        <w:ind w:firstLine="602" w:firstLineChars="200"/>
        <w:jc w:val="left"/>
      </w:pPr>
      <w:r>
        <w:rPr>
          <w:rFonts w:ascii="Times New Roman" w:hAnsi="Times New Roman" w:eastAsia="黑体"/>
          <w:b/>
          <w:sz w:val="30"/>
        </w:rPr>
        <w:t>（三）面向深度模型的梯度归因：积分梯度与类激活映射</w:t>
      </w:r>
    </w:p>
    <w:p w14:paraId="52F9CCEF">
      <w:pPr>
        <w:spacing w:after="80" w:line="360" w:lineRule="auto"/>
        <w:ind w:firstLine="480" w:firstLineChars="200"/>
        <w:jc w:val="both"/>
      </w:pPr>
      <w:r>
        <w:rPr>
          <w:rFonts w:ascii="Times New Roman" w:hAnsi="Times New Roman" w:eastAsia="宋体"/>
          <w:b w:val="0"/>
          <w:sz w:val="24"/>
        </w:rPr>
        <w:t>对于深度神经网络，积分梯度沿从基线 \(x'\) 到输入 \(x\) 的直线路径对梯度积分，第 \(i\) 个特征的归因定义为 \(IG_i(x)=(x_i-x'_i)\times\int_0^1 \frac{\partial F(x'+\alpha(x-x'))}{\partial x_i}\,d\alpha\)。该方法满足敏感性与实现不变性两条公理，缓解了普通梯度的饱和问题，可用于文本词元或脉象波形的逐点贡献分析；基线的选择（如全零信号、空白舌图）须结合中医临床含义确定。类激活映射（Grad-CAM）面向卷积网络的图像任务，先计算目标类别得分对最后一层卷积特征图的梯度并全局平均，得到通道权重 \(\alpha_k^c=\frac{1}{Z}\sum_i\sum_j \frac{\partial y^c}{\partial A_{ij}^k}\)，再以权重对特征图加权并经线性整流得到类激活图 \(L^c=\mathrm{ReLU}(\sum_k \alpha_k^c A^k)\)。在舌诊模型中，类激活映射可定位决定证候判断的舌质与舌苔区域，是发现捷径学习的实用工具。</w:t>
      </w:r>
    </w:p>
    <w:p w14:paraId="0B2B23FB">
      <w:pPr>
        <w:spacing w:after="80" w:line="360" w:lineRule="auto"/>
        <w:ind w:firstLine="480" w:firstLineChars="200"/>
        <w:jc w:val="both"/>
      </w:pPr>
      <w:r>
        <w:rPr>
          <w:rFonts w:ascii="Times New Roman" w:hAnsi="Times New Roman" w:eastAsia="宋体"/>
          <w:b w:val="0"/>
          <w:sz w:val="24"/>
        </w:rPr>
        <w:t>案例 10-4　舌诊模型的类激活映射核验。某舌象体质识别模型在标准测试集上准确率较高，但类激活映射显示其高激活区域集中于图像边缘的反光与标尺，而非舌体本身。该结果表明模型学到了与采集设备相关的捷径特征，须通过数据清洗、舌体区域裁剪与对抗去偏重新训练。该案例说明可解释性方法是模型质量审查的手段，而非仅用于事后展示。</w:t>
      </w:r>
    </w:p>
    <w:p w14:paraId="0A85D82B">
      <w:pPr>
        <w:pStyle w:val="6"/>
        <w:spacing w:after="120"/>
        <w:ind w:firstLine="602" w:firstLineChars="200"/>
        <w:jc w:val="left"/>
      </w:pPr>
      <w:r>
        <w:rPr>
          <w:rFonts w:ascii="Times New Roman" w:hAnsi="Times New Roman" w:eastAsia="黑体"/>
          <w:b/>
          <w:sz w:val="30"/>
        </w:rPr>
        <w:t>（四）基于概念的解释：概念激活向量与概念瓶颈模型</w:t>
      </w:r>
    </w:p>
    <w:p w14:paraId="7DE93664">
      <w:pPr>
        <w:spacing w:after="80" w:line="360" w:lineRule="auto"/>
        <w:ind w:firstLine="480" w:firstLineChars="200"/>
        <w:jc w:val="both"/>
      </w:pPr>
      <w:r>
        <w:rPr>
          <w:rFonts w:ascii="Times New Roman" w:hAnsi="Times New Roman" w:eastAsia="宋体"/>
          <w:b w:val="0"/>
          <w:sz w:val="24"/>
        </w:rPr>
        <w:t>特征级归因难以直接对应中医概念。基于概念激活向量的检验（TCAV）通过收集体现某一人类可理解概念（如“齿痕舌”“黄腻苔”）的样本，训练一个在网络中间层区分该概念的线性分类器，得到概念激活向量，再以预测得分沿该向量的方向导数度量概念对预测的影响，从而量化“黄腻苔”概念对“湿热证”判断的贡献。概念瓶颈模型在结构上设置中间概念层：模型先由原始输入预测一组中间概念（可对应四诊要素），再由概念层预测最终证候。该结构具有两项优势：其一，解释天然以临床概念表达；其二，支持人工干预——医师可修改概念层取值（如将“舌苔”由“黄”改为“白”），观察证候预测如何随之改变。概念瓶颈模型的结构与中医“四诊—辨证”的推理过程高度对应，是可落地性较强的内在可解释方案。</w:t>
      </w:r>
    </w:p>
    <w:p w14:paraId="340B79D5">
      <w:pPr>
        <w:pStyle w:val="6"/>
        <w:spacing w:after="120"/>
        <w:ind w:firstLine="602" w:firstLineChars="200"/>
        <w:jc w:val="left"/>
      </w:pPr>
      <w:r>
        <w:rPr>
          <w:rFonts w:ascii="Times New Roman" w:hAnsi="Times New Roman" w:eastAsia="黑体"/>
          <w:b/>
          <w:sz w:val="30"/>
        </w:rPr>
        <w:t>（五）基于原型的解释：原型部件网络</w:t>
      </w:r>
    </w:p>
    <w:p w14:paraId="7A70E5FA">
      <w:pPr>
        <w:spacing w:after="80" w:line="360" w:lineRule="auto"/>
        <w:ind w:firstLine="480" w:firstLineChars="200"/>
        <w:jc w:val="both"/>
      </w:pPr>
      <w:r>
        <w:rPr>
          <w:rFonts w:ascii="Times New Roman" w:hAnsi="Times New Roman" w:eastAsia="宋体"/>
          <w:b w:val="0"/>
          <w:sz w:val="24"/>
        </w:rPr>
        <w:t>原型部件网络在训练中学习一组原型部件，预测时将输入的局部表征与各原型比对，以“本例某区域与某原型相似”的形式给出解释。这种基于相似度的案例式推理与中医医案类比、以典型病例指导辨证的临床习惯相契合，可为辨证结论提供可视化的相似病例依据，便于经验传承与教学。</w:t>
      </w:r>
    </w:p>
    <w:p w14:paraId="11822E07">
      <w:pPr>
        <w:pStyle w:val="6"/>
        <w:spacing w:after="120"/>
        <w:ind w:firstLine="602" w:firstLineChars="200"/>
        <w:jc w:val="left"/>
      </w:pPr>
      <w:r>
        <w:rPr>
          <w:rFonts w:ascii="Times New Roman" w:hAnsi="Times New Roman" w:eastAsia="黑体"/>
          <w:b/>
          <w:sz w:val="30"/>
        </w:rPr>
        <w:t>（六）反事实解释与可操作解释：最小改动、多样反事实与锚规则</w:t>
      </w:r>
    </w:p>
    <w:p w14:paraId="020BDD0F">
      <w:pPr>
        <w:spacing w:after="80" w:line="360" w:lineRule="auto"/>
        <w:ind w:firstLine="480" w:firstLineChars="200"/>
        <w:jc w:val="both"/>
      </w:pPr>
      <w:r>
        <w:rPr>
          <w:rFonts w:ascii="Times New Roman" w:hAnsi="Times New Roman" w:eastAsia="宋体"/>
          <w:b w:val="0"/>
          <w:sz w:val="24"/>
        </w:rPr>
        <w:t>反事实解释回答“输入需如何最小改变才能使预测翻转”。一种经典做法通过优化目标 \(x^*=\arg\min_{x'} \lambda\,(f(x')-y')^2+d(x,x')\)，在使预测变为目标类别 \(y'\) 的同时令改动量 \(d(x,x')\) 尽量小，从而得到“若舌苔由黄转白且口苦消失，则证候由湿热证改判为脾虚证”一类解释。多样反事实解释方法在此基础上生成多样且可行的反事实集合，并施加可操作性约束，避免改动临床上不可改变的特征。锚解释给出充分条件式的规则，例如“凡见舌红少苔且脉细数者，模型必判阴虚证”，并报告该规则的精度与覆盖度，其规则形式与中医辨证要点的表达接近，便于临床核验。须强调，可解释性意义上的反事实是“改变输入特征以翻转模型输出”，与下节因果意义上的反事实“改变处理以改变临床结局”分属不同层次，不可混淆。</w:t>
      </w:r>
    </w:p>
    <w:p w14:paraId="16A2B487">
      <w:pPr>
        <w:spacing w:after="80" w:line="360" w:lineRule="auto"/>
        <w:ind w:firstLine="480" w:firstLineChars="200"/>
        <w:jc w:val="both"/>
      </w:pPr>
      <w:r>
        <w:rPr>
          <w:rFonts w:ascii="Times New Roman" w:hAnsi="Times New Roman" w:eastAsia="宋体"/>
          <w:b w:val="0"/>
          <w:sz w:val="24"/>
        </w:rPr>
        <w:t>案例 10-6　反事实解释在辨证模型中的应用。某患者就诊信息为：口苦、舌苔黄腻、脉滑数、脘腹胀满，模型判为“湿热中阻证”，置信度 0.88。为帮助医师理解判断边界，系统生成反事实解释：在保持其余症状不变的前提下，若“舌苔黄腻”改为“舌苔薄白”且“脉滑数”改为“脉细弱”，模型输出将翻转为“脾胃虚弱证”。该反事实仅改动两项与湿热直接相关的体征，改动量小且符合临床逻辑，医师据此可清楚看到模型主要依据舌苔与脉象区分两证。系统进一步以锚规则补充：“凡见舌苔黄腻且脉滑数者，模型必判湿热类证”，覆盖度与精度分别为 0.31 与 0.95。两类解释相互印证，既揭示了模型的关键依据，也提示其在舌脉信息缺失时判断可能不稳，须触发四诊补全。</w:t>
      </w:r>
    </w:p>
    <w:p w14:paraId="76CD79F4">
      <w:pPr>
        <w:spacing w:after="80" w:line="360" w:lineRule="auto"/>
        <w:ind w:firstLine="480" w:firstLineChars="200"/>
        <w:jc w:val="both"/>
      </w:pPr>
      <w:r>
        <w:rPr>
          <w:rFonts w:ascii="Times New Roman" w:hAnsi="Times New Roman" w:eastAsia="宋体"/>
          <w:b w:val="0"/>
          <w:sz w:val="24"/>
        </w:rPr>
        <w:t>案例 10-9　概念瓶颈模型的“四诊—辨证”流程示例。研究者构建一个两段式辨证模型：第一段由舌象图像与问诊文本预测一组中间概念，包括舌色、舌苔、脉象类型、寒热倾向、虚实倾向等；第二段仅以这些概念为输入预测证候。某病例第一段输出“舌红、苔黄、脉数、热象明显、实证倾向”，第二段据此判为“实热证”。当临床医师认为该患者舌苔实为“黄而少津”、提示兼有阴伤时，可直接将“津液”概念由“正常”改为“不足”，第二段随即将证候更新为“实热兼阴伤”。该案例表明，概念瓶颈结构不仅使解释以临床概念表达，更允许医师在概念层施加专业判断并即时观察结论变化，实现真正的人在回路辨证，而非被动接受黑箱输出。</w:t>
      </w:r>
    </w:p>
    <w:p w14:paraId="09560EE5">
      <w:pPr>
        <w:spacing w:after="80" w:line="360" w:lineRule="auto"/>
        <w:ind w:firstLine="480" w:firstLineChars="200"/>
        <w:jc w:val="both"/>
      </w:pPr>
      <w:r>
        <w:rPr>
          <w:rFonts w:ascii="Times New Roman" w:hAnsi="Times New Roman" w:eastAsia="宋体"/>
          <w:b w:val="0"/>
          <w:sz w:val="24"/>
        </w:rPr>
        <w:t>须辨析一个常见误区：将神经网络的注意力权重直接当作解释。注意力权重反映模型在表征计算中对各输入位置的加权，但研究表明，存在与原模型输出几乎一致、注意力分布却显著不同的替代权重，这意味着注意力高的位置未必是决策的真正依据。因此在中医药文本辨证模型中，不宜仅凭注意力热图断言模型“关注了”某症状，而应辅以积分梯度、扰动删除等忠实度可检验的方法交叉印证。这一争议提示研究生：解释方法本身的有效性是需要论证的研究对象，而非默认成立的前提。</w:t>
      </w:r>
    </w:p>
    <w:p w14:paraId="702E20FF">
      <w:pPr>
        <w:pStyle w:val="6"/>
        <w:spacing w:after="120"/>
        <w:ind w:firstLine="602" w:firstLineChars="200"/>
        <w:jc w:val="left"/>
      </w:pPr>
      <w:r>
        <w:rPr>
          <w:rFonts w:ascii="Times New Roman" w:hAnsi="Times New Roman" w:eastAsia="黑体"/>
          <w:b/>
          <w:sz w:val="30"/>
        </w:rPr>
        <w:t>（七）内在可解释模型：可解释提升机</w:t>
      </w:r>
    </w:p>
    <w:p w14:paraId="3068096C">
      <w:pPr>
        <w:spacing w:after="80" w:line="360" w:lineRule="auto"/>
        <w:ind w:firstLine="480" w:firstLineChars="200"/>
        <w:jc w:val="both"/>
      </w:pPr>
      <w:r>
        <w:rPr>
          <w:rFonts w:ascii="Times New Roman" w:hAnsi="Times New Roman" w:eastAsia="宋体"/>
          <w:b w:val="0"/>
          <w:sz w:val="24"/>
        </w:rPr>
        <w:t>对结构化的中医临床数据，可解释提升机以广义可加模型为基础，逐特征学习形状函数并可加入受控的二阶交互项，其预测精度接近梯度提升树等黑箱模型，同时每个特征的形状函数可独立可视化，便于医师审视“某症状取值如何影响某证候的预测概率”。对于以症状—证候结构化变量为主的辨证建模任务，内在可解释模型在精度与可读性之间提供了可取的折中，避免了“先建黑箱再事后解释”所带来的解释不忠实风险。</w:t>
      </w:r>
    </w:p>
    <w:p w14:paraId="73FEB8A8">
      <w:pPr>
        <w:pStyle w:val="6"/>
        <w:spacing w:after="120"/>
        <w:ind w:firstLine="602" w:firstLineChars="200"/>
        <w:jc w:val="left"/>
      </w:pPr>
      <w:r>
        <w:rPr>
          <w:rFonts w:ascii="Times New Roman" w:hAnsi="Times New Roman" w:eastAsia="黑体"/>
          <w:b/>
          <w:sz w:val="30"/>
        </w:rPr>
        <w:t>（八）影响函数：将预测追溯到训练样本</w:t>
      </w:r>
    </w:p>
    <w:p w14:paraId="4D370E34">
      <w:pPr>
        <w:spacing w:after="80" w:line="360" w:lineRule="auto"/>
        <w:ind w:firstLine="480" w:firstLineChars="200"/>
        <w:jc w:val="both"/>
      </w:pPr>
      <w:r>
        <w:rPr>
          <w:rFonts w:ascii="Times New Roman" w:hAnsi="Times New Roman" w:eastAsia="宋体"/>
          <w:b w:val="0"/>
          <w:sz w:val="24"/>
        </w:rPr>
        <w:t>影响函数估计移除或扰动某一训练样本对当前预测的影响，从而将一次预测追溯到对其贡献最大的训练医案。该方法可用于定位标注错误、发现训练数据中的偏倚医案，是数据治理与质量审查的实用工具，并与公平性分析、鲁棒性分析形成互补。</w:t>
      </w:r>
    </w:p>
    <w:p w14:paraId="0EB93BC1">
      <w:pPr>
        <w:spacing w:after="80" w:line="360" w:lineRule="auto"/>
        <w:ind w:firstLine="480" w:firstLineChars="200"/>
        <w:jc w:val="both"/>
      </w:pPr>
      <w:r>
        <w:rPr>
          <w:rFonts w:ascii="Times New Roman" w:hAnsi="Times New Roman" w:eastAsia="宋体"/>
          <w:b w:val="0"/>
          <w:sz w:val="24"/>
        </w:rPr>
        <w:t>除上述方法外，全局代理模型提供了一种理解黑箱整体行为的途径：以一个可解释模型（如决策树或规则集）拟合黑箱模型在大量样本上的输入输出，使代理模型在全局上逼近黑箱的决策边界，从而以可读形式概览“模型总体上依据哪些症状组合区分各类证候”。其代价是代理模型只能近似而非精确复现黑箱，须报告二者预测的一致性程度；当一致性偏低时，全局代理的解释仅供参考，不能替代针对个案的局部解释。在实践中，全局代理常与局部方法配合使用：前者把握整体规律，后者核验个案依据，二者共同支撑对模型的系统审查。</w:t>
      </w:r>
    </w:p>
    <w:p w14:paraId="7E69E76A">
      <w:pPr>
        <w:spacing w:after="80"/>
        <w:jc w:val="center"/>
      </w:pPr>
      <w:r>
        <w:rPr>
          <w:rFonts w:ascii="Times New Roman" w:hAnsi="Times New Roman" w:eastAsia="黑体"/>
          <w:b/>
          <w:sz w:val="21"/>
        </w:rPr>
        <w:t>表10-4　可解释性机器学习方法对照</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2210"/>
        <w:gridCol w:w="2214"/>
        <w:gridCol w:w="2213"/>
      </w:tblGrid>
      <w:tr w14:paraId="244E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61D7206">
            <w:pPr>
              <w:spacing w:after="40"/>
              <w:jc w:val="left"/>
            </w:pPr>
            <w:r>
              <w:rPr>
                <w:rFonts w:ascii="Times New Roman" w:hAnsi="Times New Roman" w:eastAsia="黑体"/>
                <w:b/>
                <w:sz w:val="21"/>
              </w:rPr>
              <w:t>方法</w:t>
            </w:r>
          </w:p>
        </w:tc>
        <w:tc>
          <w:tcPr>
            <w:tcW w:w="2250" w:type="dxa"/>
          </w:tcPr>
          <w:p w14:paraId="61884EA0">
            <w:pPr>
              <w:spacing w:after="40"/>
              <w:jc w:val="left"/>
            </w:pPr>
            <w:r>
              <w:rPr>
                <w:rFonts w:ascii="Times New Roman" w:hAnsi="Times New Roman" w:eastAsia="黑体"/>
                <w:b/>
                <w:sz w:val="21"/>
              </w:rPr>
              <w:t>类型</w:t>
            </w:r>
          </w:p>
        </w:tc>
        <w:tc>
          <w:tcPr>
            <w:tcW w:w="2250" w:type="dxa"/>
          </w:tcPr>
          <w:p w14:paraId="54FED923">
            <w:pPr>
              <w:spacing w:after="40"/>
              <w:jc w:val="left"/>
            </w:pPr>
            <w:r>
              <w:rPr>
                <w:rFonts w:ascii="Times New Roman" w:hAnsi="Times New Roman" w:eastAsia="黑体"/>
                <w:b/>
                <w:sz w:val="21"/>
              </w:rPr>
              <w:t>解释形式</w:t>
            </w:r>
          </w:p>
        </w:tc>
        <w:tc>
          <w:tcPr>
            <w:tcW w:w="2250" w:type="dxa"/>
          </w:tcPr>
          <w:p w14:paraId="56A8101B">
            <w:pPr>
              <w:spacing w:after="40"/>
              <w:jc w:val="left"/>
            </w:pPr>
            <w:r>
              <w:rPr>
                <w:rFonts w:ascii="Times New Roman" w:hAnsi="Times New Roman" w:eastAsia="黑体"/>
                <w:b/>
                <w:sz w:val="21"/>
              </w:rPr>
              <w:t>中医药适配场景</w:t>
            </w:r>
          </w:p>
        </w:tc>
      </w:tr>
      <w:tr w14:paraId="3A6A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E3B8543">
            <w:pPr>
              <w:spacing w:after="40"/>
              <w:jc w:val="left"/>
            </w:pPr>
            <w:r>
              <w:rPr>
                <w:rFonts w:ascii="Times New Roman" w:hAnsi="Times New Roman" w:eastAsia="宋体"/>
                <w:b w:val="0"/>
                <w:sz w:val="21"/>
              </w:rPr>
              <w:t>LIME</w:t>
            </w:r>
          </w:p>
        </w:tc>
        <w:tc>
          <w:tcPr>
            <w:tcW w:w="2250" w:type="dxa"/>
          </w:tcPr>
          <w:p w14:paraId="02D7204C">
            <w:pPr>
              <w:spacing w:after="40"/>
              <w:jc w:val="left"/>
            </w:pPr>
            <w:r>
              <w:rPr>
                <w:rFonts w:ascii="Times New Roman" w:hAnsi="Times New Roman" w:eastAsia="宋体"/>
                <w:b w:val="0"/>
                <w:sz w:val="21"/>
              </w:rPr>
              <w:t>事后、模型无关、局部</w:t>
            </w:r>
          </w:p>
        </w:tc>
        <w:tc>
          <w:tcPr>
            <w:tcW w:w="2250" w:type="dxa"/>
          </w:tcPr>
          <w:p w14:paraId="0676E3DD">
            <w:pPr>
              <w:spacing w:after="40"/>
              <w:jc w:val="left"/>
            </w:pPr>
            <w:r>
              <w:rPr>
                <w:rFonts w:ascii="Times New Roman" w:hAnsi="Times New Roman" w:eastAsia="宋体"/>
                <w:b w:val="0"/>
                <w:sz w:val="21"/>
              </w:rPr>
              <w:t>局部线性特征权重</w:t>
            </w:r>
          </w:p>
        </w:tc>
        <w:tc>
          <w:tcPr>
            <w:tcW w:w="2250" w:type="dxa"/>
          </w:tcPr>
          <w:p w14:paraId="31A2207B">
            <w:pPr>
              <w:spacing w:after="40"/>
              <w:jc w:val="left"/>
            </w:pPr>
            <w:r>
              <w:rPr>
                <w:rFonts w:ascii="Times New Roman" w:hAnsi="Times New Roman" w:eastAsia="宋体"/>
                <w:b w:val="0"/>
                <w:sz w:val="21"/>
              </w:rPr>
              <w:t>单病例证候判断的特征贡献</w:t>
            </w:r>
          </w:p>
        </w:tc>
      </w:tr>
      <w:tr w14:paraId="13BB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88F7B4F">
            <w:pPr>
              <w:spacing w:after="40"/>
              <w:jc w:val="left"/>
            </w:pPr>
            <w:r>
              <w:rPr>
                <w:rFonts w:ascii="Times New Roman" w:hAnsi="Times New Roman" w:eastAsia="宋体"/>
                <w:b w:val="0"/>
                <w:sz w:val="21"/>
              </w:rPr>
              <w:t>SHAP</w:t>
            </w:r>
          </w:p>
        </w:tc>
        <w:tc>
          <w:tcPr>
            <w:tcW w:w="2250" w:type="dxa"/>
          </w:tcPr>
          <w:p w14:paraId="546BF2A3">
            <w:pPr>
              <w:spacing w:after="40"/>
              <w:jc w:val="left"/>
            </w:pPr>
            <w:r>
              <w:rPr>
                <w:rFonts w:ascii="Times New Roman" w:hAnsi="Times New Roman" w:eastAsia="宋体"/>
                <w:b w:val="0"/>
                <w:sz w:val="21"/>
              </w:rPr>
              <w:t>事后、模型无关、局部/全局</w:t>
            </w:r>
          </w:p>
        </w:tc>
        <w:tc>
          <w:tcPr>
            <w:tcW w:w="2250" w:type="dxa"/>
          </w:tcPr>
          <w:p w14:paraId="3D40BF73">
            <w:pPr>
              <w:spacing w:after="40"/>
              <w:jc w:val="left"/>
            </w:pPr>
            <w:r>
              <w:rPr>
                <w:rFonts w:ascii="Times New Roman" w:hAnsi="Times New Roman" w:eastAsia="宋体"/>
                <w:b w:val="0"/>
                <w:sz w:val="21"/>
              </w:rPr>
              <w:t>沙普利值特征归因</w:t>
            </w:r>
          </w:p>
        </w:tc>
        <w:tc>
          <w:tcPr>
            <w:tcW w:w="2250" w:type="dxa"/>
          </w:tcPr>
          <w:p w14:paraId="1CB359F6">
            <w:pPr>
              <w:spacing w:after="40"/>
              <w:jc w:val="left"/>
            </w:pPr>
            <w:r>
              <w:rPr>
                <w:rFonts w:ascii="Times New Roman" w:hAnsi="Times New Roman" w:eastAsia="宋体"/>
                <w:b w:val="0"/>
                <w:sz w:val="21"/>
              </w:rPr>
              <w:t>症状对证候的可加性贡献分析</w:t>
            </w:r>
          </w:p>
        </w:tc>
      </w:tr>
      <w:tr w14:paraId="3918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6040540">
            <w:pPr>
              <w:spacing w:after="40"/>
              <w:jc w:val="left"/>
            </w:pPr>
            <w:r>
              <w:rPr>
                <w:rFonts w:ascii="Times New Roman" w:hAnsi="Times New Roman" w:eastAsia="宋体"/>
                <w:b w:val="0"/>
                <w:sz w:val="21"/>
              </w:rPr>
              <w:t>积分梯度</w:t>
            </w:r>
          </w:p>
        </w:tc>
        <w:tc>
          <w:tcPr>
            <w:tcW w:w="2250" w:type="dxa"/>
          </w:tcPr>
          <w:p w14:paraId="5E304731">
            <w:pPr>
              <w:spacing w:after="40"/>
              <w:jc w:val="left"/>
            </w:pPr>
            <w:r>
              <w:rPr>
                <w:rFonts w:ascii="Times New Roman" w:hAnsi="Times New Roman" w:eastAsia="宋体"/>
                <w:b w:val="0"/>
                <w:sz w:val="21"/>
              </w:rPr>
              <w:t>事后、模型特定、局部</w:t>
            </w:r>
          </w:p>
        </w:tc>
        <w:tc>
          <w:tcPr>
            <w:tcW w:w="2250" w:type="dxa"/>
          </w:tcPr>
          <w:p w14:paraId="6059896D">
            <w:pPr>
              <w:spacing w:after="40"/>
              <w:jc w:val="left"/>
            </w:pPr>
            <w:r>
              <w:rPr>
                <w:rFonts w:ascii="Times New Roman" w:hAnsi="Times New Roman" w:eastAsia="宋体"/>
                <w:b w:val="0"/>
                <w:sz w:val="21"/>
              </w:rPr>
              <w:t>输入逐点归因</w:t>
            </w:r>
          </w:p>
        </w:tc>
        <w:tc>
          <w:tcPr>
            <w:tcW w:w="2250" w:type="dxa"/>
          </w:tcPr>
          <w:p w14:paraId="6FEF2203">
            <w:pPr>
              <w:spacing w:after="40"/>
              <w:jc w:val="left"/>
            </w:pPr>
            <w:r>
              <w:rPr>
                <w:rFonts w:ascii="Times New Roman" w:hAnsi="Times New Roman" w:eastAsia="宋体"/>
                <w:b w:val="0"/>
                <w:sz w:val="21"/>
              </w:rPr>
              <w:t>文本词元、脉象波形贡献</w:t>
            </w:r>
          </w:p>
        </w:tc>
      </w:tr>
      <w:tr w14:paraId="441D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86C48F6">
            <w:pPr>
              <w:spacing w:after="40"/>
              <w:jc w:val="left"/>
            </w:pPr>
            <w:r>
              <w:rPr>
                <w:rFonts w:ascii="Times New Roman" w:hAnsi="Times New Roman" w:eastAsia="宋体"/>
                <w:b w:val="0"/>
                <w:sz w:val="21"/>
              </w:rPr>
              <w:t>类激活映射</w:t>
            </w:r>
          </w:p>
        </w:tc>
        <w:tc>
          <w:tcPr>
            <w:tcW w:w="2250" w:type="dxa"/>
          </w:tcPr>
          <w:p w14:paraId="1468836B">
            <w:pPr>
              <w:spacing w:after="40"/>
              <w:jc w:val="left"/>
            </w:pPr>
            <w:r>
              <w:rPr>
                <w:rFonts w:ascii="Times New Roman" w:hAnsi="Times New Roman" w:eastAsia="宋体"/>
                <w:b w:val="0"/>
                <w:sz w:val="21"/>
              </w:rPr>
              <w:t>事后、模型特定、局部</w:t>
            </w:r>
          </w:p>
        </w:tc>
        <w:tc>
          <w:tcPr>
            <w:tcW w:w="2250" w:type="dxa"/>
          </w:tcPr>
          <w:p w14:paraId="3C0EF0EC">
            <w:pPr>
              <w:spacing w:after="40"/>
              <w:jc w:val="left"/>
            </w:pPr>
            <w:r>
              <w:rPr>
                <w:rFonts w:ascii="Times New Roman" w:hAnsi="Times New Roman" w:eastAsia="宋体"/>
                <w:b w:val="0"/>
                <w:sz w:val="21"/>
              </w:rPr>
              <w:t>图像热力区域</w:t>
            </w:r>
          </w:p>
        </w:tc>
        <w:tc>
          <w:tcPr>
            <w:tcW w:w="2250" w:type="dxa"/>
          </w:tcPr>
          <w:p w14:paraId="6E306CB6">
            <w:pPr>
              <w:spacing w:after="40"/>
              <w:jc w:val="left"/>
            </w:pPr>
            <w:r>
              <w:rPr>
                <w:rFonts w:ascii="Times New Roman" w:hAnsi="Times New Roman" w:eastAsia="宋体"/>
                <w:b w:val="0"/>
                <w:sz w:val="21"/>
              </w:rPr>
              <w:t>舌象关键区域定位与捷径排查</w:t>
            </w:r>
          </w:p>
        </w:tc>
      </w:tr>
      <w:tr w14:paraId="7F6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3D2B554">
            <w:pPr>
              <w:spacing w:after="40"/>
              <w:jc w:val="left"/>
            </w:pPr>
            <w:r>
              <w:rPr>
                <w:rFonts w:ascii="Times New Roman" w:hAnsi="Times New Roman" w:eastAsia="宋体"/>
                <w:b w:val="0"/>
                <w:sz w:val="21"/>
              </w:rPr>
              <w:t>概念激活向量</w:t>
            </w:r>
          </w:p>
        </w:tc>
        <w:tc>
          <w:tcPr>
            <w:tcW w:w="2250" w:type="dxa"/>
          </w:tcPr>
          <w:p w14:paraId="1E42FBC3">
            <w:pPr>
              <w:spacing w:after="40"/>
              <w:jc w:val="left"/>
            </w:pPr>
            <w:r>
              <w:rPr>
                <w:rFonts w:ascii="Times New Roman" w:hAnsi="Times New Roman" w:eastAsia="宋体"/>
                <w:b w:val="0"/>
                <w:sz w:val="21"/>
              </w:rPr>
              <w:t>事后、概念级、全局</w:t>
            </w:r>
          </w:p>
        </w:tc>
        <w:tc>
          <w:tcPr>
            <w:tcW w:w="2250" w:type="dxa"/>
          </w:tcPr>
          <w:p w14:paraId="0AEE4F95">
            <w:pPr>
              <w:spacing w:after="40"/>
              <w:jc w:val="left"/>
            </w:pPr>
            <w:r>
              <w:rPr>
                <w:rFonts w:ascii="Times New Roman" w:hAnsi="Times New Roman" w:eastAsia="宋体"/>
                <w:b w:val="0"/>
                <w:sz w:val="21"/>
              </w:rPr>
              <w:t>概念对预测的影响度</w:t>
            </w:r>
          </w:p>
        </w:tc>
        <w:tc>
          <w:tcPr>
            <w:tcW w:w="2250" w:type="dxa"/>
          </w:tcPr>
          <w:p w14:paraId="61C9B0AD">
            <w:pPr>
              <w:spacing w:after="40"/>
              <w:jc w:val="left"/>
            </w:pPr>
            <w:r>
              <w:rPr>
                <w:rFonts w:ascii="Times New Roman" w:hAnsi="Times New Roman" w:eastAsia="宋体"/>
                <w:b w:val="0"/>
                <w:sz w:val="21"/>
              </w:rPr>
              <w:t>量化“黄腻苔”对“湿热证”的贡献</w:t>
            </w:r>
          </w:p>
        </w:tc>
      </w:tr>
      <w:tr w14:paraId="3A74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B1E5F4C">
            <w:pPr>
              <w:spacing w:after="40"/>
              <w:jc w:val="left"/>
            </w:pPr>
            <w:r>
              <w:rPr>
                <w:rFonts w:ascii="Times New Roman" w:hAnsi="Times New Roman" w:eastAsia="宋体"/>
                <w:b w:val="0"/>
                <w:sz w:val="21"/>
              </w:rPr>
              <w:t>概念瓶颈模型</w:t>
            </w:r>
          </w:p>
        </w:tc>
        <w:tc>
          <w:tcPr>
            <w:tcW w:w="2250" w:type="dxa"/>
          </w:tcPr>
          <w:p w14:paraId="254C0554">
            <w:pPr>
              <w:spacing w:after="40"/>
              <w:jc w:val="left"/>
            </w:pPr>
            <w:r>
              <w:rPr>
                <w:rFonts w:ascii="Times New Roman" w:hAnsi="Times New Roman" w:eastAsia="宋体"/>
                <w:b w:val="0"/>
                <w:sz w:val="21"/>
              </w:rPr>
              <w:t>内在、概念级、可干预</w:t>
            </w:r>
          </w:p>
        </w:tc>
        <w:tc>
          <w:tcPr>
            <w:tcW w:w="2250" w:type="dxa"/>
          </w:tcPr>
          <w:p w14:paraId="7758CB73">
            <w:pPr>
              <w:spacing w:after="40"/>
              <w:jc w:val="left"/>
            </w:pPr>
            <w:r>
              <w:rPr>
                <w:rFonts w:ascii="Times New Roman" w:hAnsi="Times New Roman" w:eastAsia="宋体"/>
                <w:b w:val="0"/>
                <w:sz w:val="21"/>
              </w:rPr>
              <w:t>四诊概念→证候</w:t>
            </w:r>
          </w:p>
        </w:tc>
        <w:tc>
          <w:tcPr>
            <w:tcW w:w="2250" w:type="dxa"/>
          </w:tcPr>
          <w:p w14:paraId="5420B345">
            <w:pPr>
              <w:spacing w:after="40"/>
              <w:jc w:val="left"/>
            </w:pPr>
            <w:r>
              <w:rPr>
                <w:rFonts w:ascii="Times New Roman" w:hAnsi="Times New Roman" w:eastAsia="宋体"/>
                <w:b w:val="0"/>
                <w:sz w:val="21"/>
              </w:rPr>
              <w:t>与“四诊—辨证”过程对齐、可人工干预</w:t>
            </w:r>
          </w:p>
        </w:tc>
      </w:tr>
      <w:tr w14:paraId="6320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4075A8B">
            <w:pPr>
              <w:spacing w:after="40"/>
              <w:jc w:val="left"/>
            </w:pPr>
            <w:r>
              <w:rPr>
                <w:rFonts w:ascii="Times New Roman" w:hAnsi="Times New Roman" w:eastAsia="宋体"/>
                <w:b w:val="0"/>
                <w:sz w:val="21"/>
              </w:rPr>
              <w:t>原型部件网络</w:t>
            </w:r>
          </w:p>
        </w:tc>
        <w:tc>
          <w:tcPr>
            <w:tcW w:w="2250" w:type="dxa"/>
          </w:tcPr>
          <w:p w14:paraId="135294CC">
            <w:pPr>
              <w:spacing w:after="40"/>
              <w:jc w:val="left"/>
            </w:pPr>
            <w:r>
              <w:rPr>
                <w:rFonts w:ascii="Times New Roman" w:hAnsi="Times New Roman" w:eastAsia="宋体"/>
                <w:b w:val="0"/>
                <w:sz w:val="21"/>
              </w:rPr>
              <w:t>内在、案例级、局部</w:t>
            </w:r>
          </w:p>
        </w:tc>
        <w:tc>
          <w:tcPr>
            <w:tcW w:w="2250" w:type="dxa"/>
          </w:tcPr>
          <w:p w14:paraId="48362176">
            <w:pPr>
              <w:spacing w:after="40"/>
              <w:jc w:val="left"/>
            </w:pPr>
            <w:r>
              <w:rPr>
                <w:rFonts w:ascii="Times New Roman" w:hAnsi="Times New Roman" w:eastAsia="宋体"/>
                <w:b w:val="0"/>
                <w:sz w:val="21"/>
              </w:rPr>
              <w:t>相似原型比对</w:t>
            </w:r>
          </w:p>
        </w:tc>
        <w:tc>
          <w:tcPr>
            <w:tcW w:w="2250" w:type="dxa"/>
          </w:tcPr>
          <w:p w14:paraId="18942DE2">
            <w:pPr>
              <w:spacing w:after="40"/>
              <w:jc w:val="left"/>
            </w:pPr>
            <w:r>
              <w:rPr>
                <w:rFonts w:ascii="Times New Roman" w:hAnsi="Times New Roman" w:eastAsia="宋体"/>
                <w:b w:val="0"/>
                <w:sz w:val="21"/>
              </w:rPr>
              <w:t>医案类比式辨证解释</w:t>
            </w:r>
          </w:p>
        </w:tc>
      </w:tr>
      <w:tr w14:paraId="6D0B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B46FD10">
            <w:pPr>
              <w:spacing w:after="40"/>
              <w:jc w:val="left"/>
            </w:pPr>
            <w:r>
              <w:rPr>
                <w:rFonts w:ascii="Times New Roman" w:hAnsi="Times New Roman" w:eastAsia="宋体"/>
                <w:b w:val="0"/>
                <w:sz w:val="21"/>
              </w:rPr>
              <w:t>反事实/锚解释</w:t>
            </w:r>
          </w:p>
        </w:tc>
        <w:tc>
          <w:tcPr>
            <w:tcW w:w="2250" w:type="dxa"/>
          </w:tcPr>
          <w:p w14:paraId="0FB21E1D">
            <w:pPr>
              <w:spacing w:after="40"/>
              <w:jc w:val="left"/>
            </w:pPr>
            <w:r>
              <w:rPr>
                <w:rFonts w:ascii="Times New Roman" w:hAnsi="Times New Roman" w:eastAsia="宋体"/>
                <w:b w:val="0"/>
                <w:sz w:val="21"/>
              </w:rPr>
              <w:t>事后、模型无关、局部</w:t>
            </w:r>
          </w:p>
        </w:tc>
        <w:tc>
          <w:tcPr>
            <w:tcW w:w="2250" w:type="dxa"/>
          </w:tcPr>
          <w:p w14:paraId="67E59B65">
            <w:pPr>
              <w:spacing w:after="40"/>
              <w:jc w:val="left"/>
            </w:pPr>
            <w:r>
              <w:rPr>
                <w:rFonts w:ascii="Times New Roman" w:hAnsi="Times New Roman" w:eastAsia="宋体"/>
                <w:b w:val="0"/>
                <w:sz w:val="21"/>
              </w:rPr>
              <w:t>最小改动或IF-THEN规则</w:t>
            </w:r>
          </w:p>
        </w:tc>
        <w:tc>
          <w:tcPr>
            <w:tcW w:w="2250" w:type="dxa"/>
          </w:tcPr>
          <w:p w14:paraId="4ED80D5E">
            <w:pPr>
              <w:spacing w:after="40"/>
              <w:jc w:val="left"/>
            </w:pPr>
            <w:r>
              <w:rPr>
                <w:rFonts w:ascii="Times New Roman" w:hAnsi="Times New Roman" w:eastAsia="宋体"/>
                <w:b w:val="0"/>
                <w:sz w:val="21"/>
              </w:rPr>
              <w:t>“改舌苔则改证候”、辨证要点规则</w:t>
            </w:r>
          </w:p>
        </w:tc>
      </w:tr>
      <w:tr w14:paraId="31D2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6220889">
            <w:pPr>
              <w:spacing w:after="40"/>
              <w:jc w:val="left"/>
            </w:pPr>
            <w:r>
              <w:rPr>
                <w:rFonts w:ascii="Times New Roman" w:hAnsi="Times New Roman" w:eastAsia="宋体"/>
                <w:b w:val="0"/>
                <w:sz w:val="21"/>
              </w:rPr>
              <w:t>可解释提升机</w:t>
            </w:r>
          </w:p>
        </w:tc>
        <w:tc>
          <w:tcPr>
            <w:tcW w:w="2250" w:type="dxa"/>
          </w:tcPr>
          <w:p w14:paraId="7248523E">
            <w:pPr>
              <w:spacing w:after="40"/>
              <w:jc w:val="left"/>
            </w:pPr>
            <w:r>
              <w:rPr>
                <w:rFonts w:ascii="Times New Roman" w:hAnsi="Times New Roman" w:eastAsia="宋体"/>
                <w:b w:val="0"/>
                <w:sz w:val="21"/>
              </w:rPr>
              <w:t>内在、全局</w:t>
            </w:r>
          </w:p>
        </w:tc>
        <w:tc>
          <w:tcPr>
            <w:tcW w:w="2250" w:type="dxa"/>
          </w:tcPr>
          <w:p w14:paraId="37494678">
            <w:pPr>
              <w:spacing w:after="40"/>
              <w:jc w:val="left"/>
            </w:pPr>
            <w:r>
              <w:rPr>
                <w:rFonts w:ascii="Times New Roman" w:hAnsi="Times New Roman" w:eastAsia="宋体"/>
                <w:b w:val="0"/>
                <w:sz w:val="21"/>
              </w:rPr>
              <w:t>特征形状函数</w:t>
            </w:r>
          </w:p>
        </w:tc>
        <w:tc>
          <w:tcPr>
            <w:tcW w:w="2250" w:type="dxa"/>
          </w:tcPr>
          <w:p w14:paraId="0AA2148C">
            <w:pPr>
              <w:spacing w:after="40"/>
              <w:jc w:val="left"/>
            </w:pPr>
            <w:r>
              <w:rPr>
                <w:rFonts w:ascii="Times New Roman" w:hAnsi="Times New Roman" w:eastAsia="宋体"/>
                <w:b w:val="0"/>
                <w:sz w:val="21"/>
              </w:rPr>
              <w:t>结构化症状—证候建模</w:t>
            </w:r>
          </w:p>
        </w:tc>
      </w:tr>
      <w:tr w14:paraId="53E2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D5706FD">
            <w:pPr>
              <w:spacing w:after="40"/>
              <w:jc w:val="left"/>
            </w:pPr>
            <w:r>
              <w:rPr>
                <w:rFonts w:ascii="Times New Roman" w:hAnsi="Times New Roman" w:eastAsia="宋体"/>
                <w:b w:val="0"/>
                <w:sz w:val="21"/>
              </w:rPr>
              <w:t>影响函数</w:t>
            </w:r>
          </w:p>
        </w:tc>
        <w:tc>
          <w:tcPr>
            <w:tcW w:w="2250" w:type="dxa"/>
          </w:tcPr>
          <w:p w14:paraId="72FB0767">
            <w:pPr>
              <w:spacing w:after="40"/>
              <w:jc w:val="left"/>
            </w:pPr>
            <w:r>
              <w:rPr>
                <w:rFonts w:ascii="Times New Roman" w:hAnsi="Times New Roman" w:eastAsia="宋体"/>
                <w:b w:val="0"/>
                <w:sz w:val="21"/>
              </w:rPr>
              <w:t>事后、训练溯源</w:t>
            </w:r>
          </w:p>
        </w:tc>
        <w:tc>
          <w:tcPr>
            <w:tcW w:w="2250" w:type="dxa"/>
          </w:tcPr>
          <w:p w14:paraId="2A416E7F">
            <w:pPr>
              <w:spacing w:after="40"/>
              <w:jc w:val="left"/>
            </w:pPr>
            <w:r>
              <w:rPr>
                <w:rFonts w:ascii="Times New Roman" w:hAnsi="Times New Roman" w:eastAsia="宋体"/>
                <w:b w:val="0"/>
                <w:sz w:val="21"/>
              </w:rPr>
              <w:t>贡献最大的训练样本</w:t>
            </w:r>
          </w:p>
        </w:tc>
        <w:tc>
          <w:tcPr>
            <w:tcW w:w="2250" w:type="dxa"/>
          </w:tcPr>
          <w:p w14:paraId="307CCF23">
            <w:pPr>
              <w:spacing w:after="40"/>
              <w:jc w:val="left"/>
            </w:pPr>
            <w:r>
              <w:rPr>
                <w:rFonts w:ascii="Times New Roman" w:hAnsi="Times New Roman" w:eastAsia="宋体"/>
                <w:b w:val="0"/>
                <w:sz w:val="21"/>
              </w:rPr>
              <w:t>定位标注错误与偏倚医案</w:t>
            </w:r>
          </w:p>
        </w:tc>
      </w:tr>
    </w:tbl>
    <w:p w14:paraId="03334FB4">
      <w:pPr>
        <w:spacing w:after="80" w:line="360" w:lineRule="auto"/>
        <w:ind w:firstLine="480" w:firstLineChars="200"/>
        <w:jc w:val="both"/>
      </w:pPr>
      <w:r>
        <w:rPr>
          <w:rFonts w:ascii="Times New Roman" w:hAnsi="Times New Roman" w:eastAsia="宋体"/>
          <w:b w:val="0"/>
          <w:sz w:val="24"/>
        </w:rPr>
        <w:t>就工程落地而言，上述方法多有成熟的开源实现可供研究生直接使用：SHAP 与 LIME 有同名库；积分梯度与类激活映射可借助主流深度学习框架的归因工具实现；多样反事实解释、概念瓶颈模型、可解释提升机、影响函数等亦有公开实现。建议的实践路径是：先以内在可解释模型或概念瓶颈模型建立可读的基线，再以事后方法交叉验证黑箱模型的解释，最后在临床医师参与下评估解释的忠实度、稳定性与语义合理性。需要避免的做法是仅调用某一解释库生成彩色热力图便宣称模型“可解释”，而不检验解释是否真实、稳定且符合中医辨证逻辑。</w:t>
      </w:r>
    </w:p>
    <w:p w14:paraId="19683292">
      <w:pPr>
        <w:pStyle w:val="6"/>
        <w:spacing w:after="120"/>
        <w:ind w:firstLine="602" w:firstLineChars="200"/>
        <w:jc w:val="left"/>
      </w:pPr>
      <w:r>
        <w:rPr>
          <w:rFonts w:ascii="Times New Roman" w:hAnsi="Times New Roman" w:eastAsia="黑体"/>
          <w:b/>
          <w:sz w:val="30"/>
        </w:rPr>
        <w:t>（九）方法选择的原则</w:t>
      </w:r>
    </w:p>
    <w:p w14:paraId="573F9558">
      <w:pPr>
        <w:spacing w:after="80" w:line="360" w:lineRule="auto"/>
        <w:ind w:firstLine="480" w:firstLineChars="200"/>
        <w:jc w:val="both"/>
      </w:pPr>
      <w:r>
        <w:rPr>
          <w:rFonts w:ascii="Times New Roman" w:hAnsi="Times New Roman" w:eastAsia="宋体"/>
          <w:b w:val="0"/>
          <w:sz w:val="24"/>
        </w:rPr>
        <w:t>可解释性方法的选择应服务于解释目的而非追求方法新颖。用于模型调试时，宜选梯度归因与影响函数；用于临床决策辅助时，宜选概念瓶颈模型、锚规则与反事实解释；用于结构化辨证建模时，宜选内在可解释模型。任何事后解释方法本身也须接受稳定性与忠实度检验：对同一病例重复生成解释应保持一致，解释所强调的特征经实际扰动后应确实改变模型输出。解释不忠实的可解释性，比没有解释更危险。</w:t>
      </w:r>
    </w:p>
    <w:p w14:paraId="2B729A33">
      <w:pPr>
        <w:pStyle w:val="5"/>
        <w:spacing w:after="160"/>
        <w:ind w:firstLine="643" w:firstLineChars="200"/>
        <w:jc w:val="left"/>
      </w:pPr>
      <w:r>
        <w:rPr>
          <w:rFonts w:ascii="Times New Roman" w:hAnsi="Times New Roman" w:eastAsia="黑体"/>
          <w:b/>
          <w:sz w:val="32"/>
        </w:rPr>
        <w:t>四、从相关性到因果推断：因果建模与反事实推断</w:t>
      </w:r>
    </w:p>
    <w:p w14:paraId="4F87E03C">
      <w:pPr>
        <w:spacing w:after="80" w:line="360" w:lineRule="auto"/>
        <w:ind w:firstLine="480" w:firstLineChars="200"/>
        <w:jc w:val="both"/>
      </w:pPr>
      <w:r>
        <w:rPr>
          <w:rFonts w:ascii="Times New Roman" w:hAnsi="Times New Roman" w:eastAsia="宋体"/>
          <w:b w:val="0"/>
          <w:sz w:val="24"/>
        </w:rPr>
        <w:t>黑箱模型从数据中学到的主要是统计相关，而统计相关可能由混杂因素造成。例如，若某季节既影响某证候的发生，又影响某类方药的使用，模型便可能在用药与转归之间学到虚假关联。临床问题在本质上是因果与反事实问题：医师关心的是“采用此治法是否会改善转归”，以及“若当初未用此药，结局是否不同”。中医鉴别诊断中“排除某证”的推理，正是一种反事实推理。因此，中医药人工智能若要支持决策而非仅作分类，必须从相关性建模走向因果建模。这一方向与可解释性紧密相连：因果解释回答“改变什么会改变结局”，比相关性归因更贴近临床决策的需要。</w:t>
      </w:r>
    </w:p>
    <w:p w14:paraId="1F1FA371">
      <w:pPr>
        <w:pStyle w:val="6"/>
        <w:spacing w:after="120"/>
        <w:ind w:firstLine="602" w:firstLineChars="200"/>
        <w:jc w:val="left"/>
      </w:pPr>
      <w:r>
        <w:rPr>
          <w:rFonts w:ascii="Times New Roman" w:hAnsi="Times New Roman" w:eastAsia="黑体"/>
          <w:b/>
          <w:sz w:val="30"/>
        </w:rPr>
        <w:t>（一）因果阶梯与结构因果模型</w:t>
      </w:r>
    </w:p>
    <w:p w14:paraId="4DC9EA9B">
      <w:pPr>
        <w:spacing w:after="80" w:line="360" w:lineRule="auto"/>
        <w:ind w:firstLine="480" w:firstLineChars="200"/>
        <w:jc w:val="both"/>
      </w:pPr>
      <w:r>
        <w:rPr>
          <w:rFonts w:ascii="Times New Roman" w:hAnsi="Times New Roman" w:eastAsia="宋体"/>
          <w:b w:val="0"/>
          <w:sz w:val="24"/>
        </w:rPr>
        <w:t>因果推断可按三个层次理解。第一层是关联，刻画观测到 \(X\) 时 \(Y\) 的条件分布 \(P(Y\mid X)\)，传统机器学习止步于此。第二层是干预，刻画主动将 \(X\) 设为某值的效果，记为 \(P(Y\mid do(X))\)，对应临床主动选择治法的决策。第三层是反事实，在已观测到事实 \((X',Y')\) 的条件下设想本可发生什么，记为 \(P(Y_x\mid X',Y')\)，对应归因与鉴别诊断。中医辨证论治中的治法选择对应第二层干预，“若不用此药会如何”对应第三层反事实。三个层次所需假设依次增强，仅凭观测数据难以直接跨越层次，须借助因果模型与额外假设。</w:t>
      </w:r>
    </w:p>
    <w:p w14:paraId="1C8C357D">
      <w:pPr>
        <w:spacing w:after="80" w:line="360" w:lineRule="auto"/>
        <w:ind w:firstLine="480" w:firstLineChars="200"/>
        <w:jc w:val="both"/>
      </w:pPr>
      <w:r>
        <w:rPr>
          <w:rFonts w:ascii="Times New Roman" w:hAnsi="Times New Roman" w:eastAsia="宋体"/>
          <w:b w:val="0"/>
          <w:sz w:val="24"/>
        </w:rPr>
        <w:t>三个层次的区分对中医药研究具有直接的方法学意义。停留在关联层的模型只能回答“具有这些症状的患者多被判为某证”，无法支持治法选择；要回答“采用某治法能否改善转归”，必须进入干预层，这要求随机对照试验或满足可识别条件的观测性因果估计；要回答“某患者的恶化是否归因于先前的某次处理”，则需进入反事实层，这要求结构因果模型与更强的假设。临床实践中，疗效评价对应干预层，医疗责任认定与鉴别诊断对应反事实层。明确研究问题所处的层次，是选择恰当方法、避免以相关性冒充因果的前提。</w:t>
      </w:r>
    </w:p>
    <w:p w14:paraId="444E8DC0">
      <w:pPr>
        <w:spacing w:after="80" w:line="360" w:lineRule="auto"/>
        <w:ind w:firstLine="480" w:firstLineChars="200"/>
        <w:jc w:val="both"/>
      </w:pPr>
      <w:r>
        <w:rPr>
          <w:rFonts w:ascii="Times New Roman" w:hAnsi="Times New Roman" w:eastAsia="宋体"/>
          <w:b w:val="0"/>
          <w:sz w:val="24"/>
        </w:rPr>
        <w:t>在厘清关联、干预与反事实三个层次之后，仍需一种形式化语言刻画变量之间的因果关系，并据以判断因果效应能否被识别；结构因果模型正是为此提供的基本工具。结构因果模型由一组变量、描述变量间生成关系的结构方程以及外生噪声构成，并以有向无环图表示变量间的因果方向。图中存在三类基本结构：链式（中介）、分叉（共因）与对撞。识别因果效应的关键在于正确处理混杂：后门准则通过选择满足条件的变量集进行调整以阻断非因果路径；当存在未观测混杂但可找到合适中介时，前门准则提供另一条识别途径；do 演算给出在图结构下将含 do 的干预分布转化为可由观测分布估计的形式化规则。以中医药为例，可构建“体质→证候→治法→转归”的因果图，并将季节、情志等同时影响证候与治法的变量标记为混杂，据此确定估计治法效应时需要调整的变量集。</w:t>
      </w:r>
    </w:p>
    <w:p w14:paraId="310C0361">
      <w:pPr>
        <w:spacing w:after="80"/>
        <w:jc w:val="center"/>
      </w:pPr>
      <w:r>
        <w:rPr>
          <w:rFonts w:ascii="Times New Roman" w:hAnsi="Times New Roman" w:eastAsia="黑体"/>
          <w:b/>
          <w:sz w:val="21"/>
        </w:rPr>
        <w:t>图10-4　中医药因果图示例。图中节点依次为体质、证候、治法、转归，主路径为“体质→证候→治法→转归”；季节与情志作为混杂变量，分别指向证候与治法；舌脉表现作为证候的观测指标（中介或代理）。图旁标注后门调整集，提示在估计“治法→转归”效应时须对季节、情志、体质进行调整。该图强调：因果效应的可识别性取决于图结构与可观测变量，而非样本量。</w:t>
      </w:r>
    </w:p>
    <w:p w14:paraId="63EDD781">
      <w:pPr>
        <w:spacing w:after="80" w:line="360" w:lineRule="auto"/>
        <w:ind w:firstLine="480" w:firstLineChars="200"/>
        <w:jc w:val="both"/>
      </w:pPr>
      <w:r>
        <w:rPr>
          <w:rFonts w:ascii="Times New Roman" w:hAnsi="Times New Roman" w:eastAsia="宋体"/>
          <w:b w:val="0"/>
          <w:sz w:val="24"/>
        </w:rPr>
        <w:t>案例 10-7　后门调整的识别与计算。设欲估计某治法 \(T\) 对转归 \(Y\) 的因果效应，已知季节 \(S\) 既影响是否采用该治法又影响转归，构成混杂。后门准则指出，调整变量集 \(\{S\}\) 可阻断后门路径 \(T\leftarrow S\rightarrow Y\)，从而 \(P(Y\mid do(T))=\sum_s P(Y\mid T,S=s)P(S=s)\)。若不作调整而直接以 \(P(Y\mid T)\) 估计效应，则混杂未被消除，所得关联包含季节的虚假成分。该式表明：因果效应的估计关键不在于更复杂的模型，而在于对正确变量集的正确调整；遗漏混杂或错误地调整中介，都会引入偏倚。</w:t>
      </w:r>
    </w:p>
    <w:p w14:paraId="7A54DA0A">
      <w:pPr>
        <w:pStyle w:val="6"/>
        <w:spacing w:after="120"/>
        <w:ind w:firstLine="602" w:firstLineChars="200"/>
        <w:jc w:val="left"/>
      </w:pPr>
      <w:r>
        <w:rPr>
          <w:rFonts w:ascii="Times New Roman" w:hAnsi="Times New Roman" w:eastAsia="黑体"/>
          <w:b/>
          <w:sz w:val="30"/>
        </w:rPr>
        <w:t>（二）从观测数据估计因果效应的可落地方法</w:t>
      </w:r>
    </w:p>
    <w:p w14:paraId="7441A753">
      <w:pPr>
        <w:spacing w:after="80" w:line="360" w:lineRule="auto"/>
        <w:ind w:firstLine="480" w:firstLineChars="200"/>
        <w:jc w:val="both"/>
      </w:pPr>
      <w:r>
        <w:rPr>
          <w:rFonts w:ascii="Times New Roman" w:hAnsi="Times New Roman" w:eastAsia="宋体"/>
          <w:b w:val="0"/>
          <w:sz w:val="24"/>
        </w:rPr>
        <w:t>在多数中医药研究中难以开展随机对照试验，须从观测数据估计因果效应。倾向评分通过建模个体接受某治法的条件概率，将高维混杂压缩为一维，再以匹配或分层平衡处理组与对照组。逆概率加权以倾向评分的倒数对样本加权，构造伪总体以消除混杂。双重机器学习以机器学习方法分别估计结局模型与处理模型，并通过正交化与样本分割降低对冗余函数估计误差的敏感性，从而在存在高维混杂时仍能较稳健地估计平均处理效应。因果森林在随机森林基础上估计异质性处理效应，输出随特征变化的条件平均处理效应，可识别“哪一类患者从某一治法获益最大”，与中医“同病异治、因人制宜”的思想高度契合。当存在未观测混杂时，工具变量方法借助仅通过处理影响结局的外生变量进行识别。</w:t>
      </w:r>
    </w:p>
    <w:p w14:paraId="6AA5D3E6">
      <w:pPr>
        <w:spacing w:after="80" w:line="360" w:lineRule="auto"/>
        <w:ind w:firstLine="480" w:firstLineChars="200"/>
        <w:jc w:val="both"/>
      </w:pPr>
      <w:r>
        <w:rPr>
          <w:rFonts w:ascii="Times New Roman" w:hAnsi="Times New Roman" w:eastAsia="宋体"/>
          <w:b w:val="0"/>
          <w:sz w:val="24"/>
        </w:rPr>
        <w:t>案例 10-8　倾向评分与逆概率加权的计算。设某治法在 200 例观测数据中应用。按基线协变量估计每例接受该治法的倾向评分后，考察一个倾向评分约为 0.8 的患者：若其实际接受了治法，则在逆概率加权中赋予权重 \(1/0.8=1.25\)；若一个倾向评分为 0.2 的患者实际未接受治法，则赋予权重 \(1/(1-0.2)=1.25\)。如此加权后，原本因高倾向而被过度代表的人群权重被压低，构造出处理分配与协变量近似独立的伪总体，再在伪总体上比较处理组与对照组的平均转归即得平均处理效应的估计。须检查正值性：若某类患者的倾向评分接近 0 或 1，其权重将极大，导致估计方差激增，提示该类患者缺乏可比对照，结论应谨慎。</w:t>
      </w:r>
    </w:p>
    <w:p w14:paraId="5E059D5F">
      <w:pPr>
        <w:pStyle w:val="6"/>
        <w:spacing w:after="120"/>
        <w:ind w:firstLine="602" w:firstLineChars="200"/>
        <w:jc w:val="left"/>
      </w:pPr>
      <w:r>
        <w:rPr>
          <w:rFonts w:ascii="Times New Roman" w:hAnsi="Times New Roman" w:eastAsia="黑体"/>
          <w:b/>
          <w:sz w:val="30"/>
        </w:rPr>
        <w:t>（三）潜在结果框架与反事实推断</w:t>
      </w:r>
    </w:p>
    <w:p w14:paraId="7BC78418">
      <w:pPr>
        <w:spacing w:after="80" w:line="360" w:lineRule="auto"/>
        <w:ind w:firstLine="480" w:firstLineChars="200"/>
        <w:jc w:val="both"/>
      </w:pPr>
      <w:r>
        <w:rPr>
          <w:rFonts w:ascii="Times New Roman" w:hAnsi="Times New Roman" w:eastAsia="宋体"/>
          <w:b w:val="0"/>
          <w:sz w:val="24"/>
        </w:rPr>
        <w:t>潜在结果框架以 \(Y(1)\) 与 \(Y(0)\) 分别表示个体在接受与不接受某处理时的结局，个体处理效应定义为二者之差 \(\tau_i=Y_i(1)-Y_i(0)\)。其根本困难在于同一个体的两个潜在结果不可能同时观测，这被称为因果推断的根本问题。研究者因而转向可识别的群体量：平均处理效应 \(ATE=E[Y(1)-Y(0)]\)，条件平均处理效应 \(CATE(x)=E[Y(1)-Y(0)\mid X=x]\)。在可忽略性（给定混杂后处理分配与潜在结果独立）、正值性与一致性等假设下，上述量可由观测数据估计。须区分两类反事实：可解释性意义上的反事实改变模型输入以翻转预测，服务于解释；因果意义上的反事实改变处理以改变结局，服务于决策。二者在中医药人工智能中都有价值，但论证强度与所需假设不同。</w:t>
      </w:r>
    </w:p>
    <w:p w14:paraId="29FB6836">
      <w:pPr>
        <w:spacing w:after="80" w:line="360" w:lineRule="auto"/>
        <w:ind w:firstLine="480" w:firstLineChars="200"/>
        <w:jc w:val="both"/>
      </w:pPr>
      <w:r>
        <w:rPr>
          <w:rFonts w:ascii="Times New Roman" w:hAnsi="Times New Roman" w:eastAsia="宋体"/>
          <w:b w:val="0"/>
          <w:sz w:val="24"/>
        </w:rPr>
        <w:t>案例 10-5　某治法对转归的异质性效应估计。研究者基于多中心真实世界数据，构建以体质、证候、季节、合并用药为协变量的因果图，采用双重机器学习估计某治法对转归的平均处理效应，并以因果森林估计条件平均处理效应。结果显示总体平均处理效应为正但幅度有限，而某一证候亚组的条件平均处理效应显著高于总体平均，提示该治法宜在该亚组优先使用。该案例说明因果方法不仅回答“是否有效”，更回答“对谁有效”，直接支持个体化辨证论治。</w:t>
      </w:r>
    </w:p>
    <w:p w14:paraId="6D98E096">
      <w:pPr>
        <w:spacing w:after="80" w:line="360" w:lineRule="auto"/>
        <w:ind w:firstLine="480" w:firstLineChars="200"/>
        <w:jc w:val="both"/>
      </w:pPr>
      <w:r>
        <w:rPr>
          <w:rFonts w:ascii="Times New Roman" w:hAnsi="Times New Roman" w:eastAsia="宋体"/>
          <w:b w:val="0"/>
          <w:sz w:val="24"/>
        </w:rPr>
        <w:t>中介分析是连接因果推断与中医病机阐释的有力工具。当关注某治法通过何种途径影响转归时，可将总效应分解为经由特定中介变量的间接效应与不经由该中介的直接效应。例如，分析某清热方对转归的作用时，可考察其效应有多大比例经由“炎症指标下降”这一中介实现。该分解在方法上要求处理与中介、中介与结局之间均无未调整混杂，假设较强；但其价值在于使“治法—病机—转归”的链条得以定量刻画，为中医病机的现代表达提供因果层面的证据，而非停留于相关描述。</w:t>
      </w:r>
    </w:p>
    <w:p w14:paraId="7538910B">
      <w:pPr>
        <w:spacing w:after="80" w:line="360" w:lineRule="auto"/>
        <w:ind w:firstLine="480" w:firstLineChars="200"/>
        <w:jc w:val="both"/>
      </w:pPr>
      <w:r>
        <w:rPr>
          <w:rFonts w:ascii="Times New Roman" w:hAnsi="Times New Roman" w:eastAsia="宋体"/>
          <w:b w:val="0"/>
          <w:sz w:val="24"/>
        </w:rPr>
        <w:t>因果估计的结论依赖无未观测混杂这一不可直接检验的假设，因而须配合敏感性分析。敏感性分析的基本思路是：假设存在一个强度未知的未观测混杂，定量考察其需达到多大强度才能使已估计的因果效应被完全解释掉或翻转方向。若结论在相当强的假设混杂下仍然稳健，则可信度提高；若一个微弱的未观测混杂即可推翻结论，则须谨慎。对于难以开展随机对照试验的中医药真实世界研究，报告敏感性分析结果应成为因果论证的常规组成部分，而非可选附加项。</w:t>
      </w:r>
    </w:p>
    <w:p w14:paraId="2638347F">
      <w:pPr>
        <w:pStyle w:val="6"/>
        <w:spacing w:after="120"/>
        <w:ind w:firstLine="602" w:firstLineChars="200"/>
        <w:jc w:val="left"/>
      </w:pPr>
      <w:r>
        <w:rPr>
          <w:rFonts w:ascii="Times New Roman" w:hAnsi="Times New Roman" w:eastAsia="黑体"/>
          <w:b/>
          <w:sz w:val="30"/>
        </w:rPr>
        <w:t>（四）因果发现</w:t>
      </w:r>
    </w:p>
    <w:p w14:paraId="72018626">
      <w:pPr>
        <w:spacing w:after="80" w:line="360" w:lineRule="auto"/>
        <w:ind w:firstLine="480" w:firstLineChars="200"/>
        <w:jc w:val="both"/>
      </w:pPr>
      <w:r>
        <w:rPr>
          <w:rFonts w:ascii="Times New Roman" w:hAnsi="Times New Roman" w:eastAsia="宋体"/>
          <w:b w:val="0"/>
          <w:sz w:val="24"/>
        </w:rPr>
        <w:t>当因果结构未知时，因果发现方法尝试从数据中学习因果图：基于约束的方法通过条件独立性检验确定边的存在与方向，基于评分的方法在图空间中搜索拟合优度与复杂度平衡的结构，基于函数因果模型的方法借助噪声的非高斯性或非线性识别方向。中医药知识图谱所编码的“症—证—治—方”关系可作为因果发现的先验约束，缩小搜索空间并提升结果的临床合理性。须注意，数据驱动的因果发现给出的是候选假设，仍须经领域知识审查与前瞻性研究检验。</w:t>
      </w:r>
    </w:p>
    <w:p w14:paraId="19F86061">
      <w:pPr>
        <w:spacing w:after="80" w:line="360" w:lineRule="auto"/>
        <w:ind w:firstLine="480" w:firstLineChars="200"/>
        <w:jc w:val="both"/>
      </w:pPr>
      <w:r>
        <w:rPr>
          <w:rFonts w:ascii="Times New Roman" w:hAnsi="Times New Roman" w:eastAsia="宋体"/>
          <w:b w:val="0"/>
          <w:sz w:val="24"/>
        </w:rPr>
        <w:t>以中医药为例，可先由专家依据“病因→体质→证候→治法→转归”的领域知识给定部分有向边作为背景约束，再令因果发现算法在剩余变量间搜索，从而既利用数据又尊重医学常识。须警惕三类陷阱：样本量不足时条件独立性检验不可靠，可能给出错误的边；存在未观测共因时，两个由共因驱动的变量会被误判为直接因果；时间信息缺失时，方向判定容易颠倒。因此，因果发现的产出应被视为有待验证的假设网络，须经前瞻性研究或干预实验逐条检验，而非直接作为定论。</w:t>
      </w:r>
    </w:p>
    <w:p w14:paraId="595B8DC8">
      <w:pPr>
        <w:pStyle w:val="6"/>
        <w:spacing w:after="120"/>
        <w:ind w:firstLine="602" w:firstLineChars="200"/>
        <w:jc w:val="left"/>
      </w:pPr>
      <w:r>
        <w:rPr>
          <w:rFonts w:ascii="Times New Roman" w:hAnsi="Times New Roman" w:eastAsia="黑体"/>
          <w:b/>
          <w:sz w:val="30"/>
        </w:rPr>
        <w:t>（五）神经符号AI与知识约束的因果解释</w:t>
      </w:r>
    </w:p>
    <w:p w14:paraId="391F7BE8">
      <w:pPr>
        <w:spacing w:after="80" w:line="360" w:lineRule="auto"/>
        <w:ind w:firstLine="480" w:firstLineChars="200"/>
        <w:jc w:val="both"/>
      </w:pPr>
      <w:r>
        <w:rPr>
          <w:rFonts w:ascii="Times New Roman" w:hAnsi="Times New Roman" w:eastAsia="宋体"/>
          <w:b w:val="0"/>
          <w:sz w:val="24"/>
        </w:rPr>
        <w:t>将中医药知识图谱作为符号化的先验知识，与神经网络的表示学习能力结合，构成神经符号人工智能系统。该类系统在经过验证的中医知识上进行推理，对模型输出施加医学理论约束，既能降低幻觉，又能提供沿知识图谱路径展开、语义可追溯的解释。例如，模型在给出“湿热证—清热利湿—某方”的推荐时，可同时输出其在知识图谱中所依据的“症状—证候—治法—方药—禁忌”路径，使解释兼具因果方向与理论依据。神经符号路径因此成为连接可解释性与因果推断的关键技术枢纽。</w:t>
      </w:r>
    </w:p>
    <w:p w14:paraId="3A778209">
      <w:pPr>
        <w:spacing w:after="80" w:line="360" w:lineRule="auto"/>
        <w:ind w:firstLine="480" w:firstLineChars="200"/>
        <w:jc w:val="both"/>
      </w:pPr>
      <w:r>
        <w:rPr>
          <w:rFonts w:ascii="Times New Roman" w:hAnsi="Times New Roman" w:eastAsia="宋体"/>
          <w:b w:val="0"/>
          <w:sz w:val="24"/>
        </w:rPr>
        <w:t>案例 10-10　知识图谱约束下的可追溯推荐。某神经符号系统接收“失眠、心烦、口舌生疮、舌尖红、脉数”的输入。神经网络模块给出候选证候“心火亢盛”，符号推理模块随即在中医知识图谱中检索并验证路径“心火亢盛→清心泻火→导赤散”，同时核查该方与患者既往史的禁忌关系；当患者合并妊娠时，图谱中的禁忌边触发警示并下调该方推荐等级，转而提示更安全的替代治法。系统最终输出不仅是结论，还附带其在图谱上所经过的“症状—证候—治法—方药—禁忌”完整路径。该案例说明，知识图谱约束既以医学理论限制了模型的自由生成、抑制了幻觉，又使每一步推理可被医师沿路径核验，从而把可解释性与因果方向统一在同一条可追溯链条上。</w:t>
      </w:r>
    </w:p>
    <w:p w14:paraId="729C53DC">
      <w:pPr>
        <w:pStyle w:val="6"/>
        <w:spacing w:after="120"/>
        <w:ind w:firstLine="602" w:firstLineChars="200"/>
        <w:jc w:val="left"/>
      </w:pPr>
      <w:r>
        <w:rPr>
          <w:rFonts w:ascii="Times New Roman" w:hAnsi="Times New Roman" w:eastAsia="黑体"/>
          <w:b/>
          <w:sz w:val="30"/>
        </w:rPr>
        <w:t>（六）评价的转向：从技术指标到临床效用</w:t>
      </w:r>
    </w:p>
    <w:p w14:paraId="45128BC3">
      <w:pPr>
        <w:spacing w:after="80" w:line="360" w:lineRule="auto"/>
        <w:ind w:firstLine="480" w:firstLineChars="200"/>
        <w:jc w:val="both"/>
      </w:pPr>
      <w:r>
        <w:rPr>
          <w:rFonts w:ascii="Times New Roman" w:hAnsi="Times New Roman" w:eastAsia="宋体"/>
          <w:b w:val="0"/>
          <w:sz w:val="24"/>
        </w:rPr>
        <w:t>可解释与因果方法的价值最终须以临床效用衡量，而非仅以技术指标评判。评价应引入人在回路设计，由临床医师参与解释质量评估，并通过随机对照试验测量解释对医师认知负荷、诊断准确率与决策时间的实际影响。研究社区还应协作构建标准化的多模态基准，并为其配置金标准解释标注，以支持方法间的公平比较。脱离临床效用的解释，可能仅是迎合评审的技术展示。</w:t>
      </w:r>
    </w:p>
    <w:p w14:paraId="12E90AD4">
      <w:pPr>
        <w:spacing w:after="80" w:line="360" w:lineRule="auto"/>
        <w:ind w:firstLine="480" w:firstLineChars="200"/>
        <w:jc w:val="both"/>
      </w:pPr>
      <w:r>
        <w:rPr>
          <w:rFonts w:ascii="Times New Roman" w:hAnsi="Times New Roman" w:eastAsia="宋体"/>
          <w:b w:val="0"/>
          <w:sz w:val="24"/>
        </w:rPr>
        <w:t>须强调，可解释性与因果推断并非独立于前述可信属性的附加模块，而与不确定性量化、鲁棒性和公平性共同构成一个相互支撑的整体。不确定性量化为解释划定适用边界——在低置信区域，任何解释都应附带“此结论把握不足”的提示；鲁棒性检验解释在扰动下是否稳定——若轻微改写症状描述即导致归因结果剧变，则该解释不可信；公平性分析依赖因果方法区分“合理的临床差异”与“不应存在的群体偏倚”——只有在因果框架下，才能判断地域间的性能差异是源于真实的疾病谱差异还是数据代表性不足。因此，面向中医药的可信人工智能应将六者纳入统一的安全工程闭环，而非分别优化各自指标。</w:t>
      </w:r>
    </w:p>
    <w:p w14:paraId="31EC82BE">
      <w:pPr>
        <w:spacing w:after="80" w:line="360" w:lineRule="auto"/>
        <w:ind w:firstLine="480" w:firstLineChars="200"/>
        <w:jc w:val="both"/>
      </w:pPr>
      <w:r>
        <w:rPr>
          <w:rFonts w:ascii="Times New Roman" w:hAnsi="Times New Roman" w:eastAsia="宋体"/>
          <w:b w:val="0"/>
          <w:sz w:val="24"/>
        </w:rPr>
        <w:t>临床效用的测量可落实为若干具体指标：诊断准确率的提升幅度、医师采纳模型建议的比例、单病例决策时间的变化、医师主观信任度评分，以及借助认知负荷量表测得的脑力负担变化。理想的评价设计是将使用解释型系统的医师组与对照组随机分配，比较上述指标的组间差异，并区分“解释正确且被采纳”“解释错误却被采纳”等情形，以防止医师对模型产生过度依赖。唯有如此，才能判断一项可解释或因果方法是真正改善了临床决策，还是仅在技术指标上自我满足。</w:t>
      </w:r>
    </w:p>
    <w:p w14:paraId="6FF7D9F1">
      <w:pPr>
        <w:pStyle w:val="6"/>
        <w:spacing w:after="120"/>
        <w:ind w:firstLine="602" w:firstLineChars="200"/>
        <w:jc w:val="left"/>
      </w:pPr>
      <w:r>
        <w:rPr>
          <w:rFonts w:ascii="Times New Roman" w:hAnsi="Times New Roman" w:eastAsia="黑体"/>
          <w:b/>
          <w:sz w:val="30"/>
        </w:rPr>
        <w:t>（七）面向监管的解释验证</w:t>
      </w:r>
    </w:p>
    <w:p w14:paraId="5A58217D">
      <w:pPr>
        <w:spacing w:after="80" w:line="360" w:lineRule="auto"/>
        <w:ind w:firstLine="480" w:firstLineChars="200"/>
        <w:jc w:val="both"/>
      </w:pPr>
      <w:r>
        <w:rPr>
          <w:rFonts w:ascii="Times New Roman" w:hAnsi="Times New Roman" w:eastAsia="宋体"/>
          <w:b w:val="0"/>
          <w:sz w:val="24"/>
        </w:rPr>
        <w:t>中医药人工智能器械进入临床须建立专门的解释验证指南，明确不同风险等级下解释的形式、内容与证据基础要求：低风险的知识检索类应用可采用较轻的解释要求；涉及诊断与治疗建议的高风险应用，则须提供可追溯、可核验且经临床验证的解释。解释的目标不是以技术语言说服评审，而是使监管者、医师与患者能够理解并质询模型的判断依据。由此，中医药与可解释人工智能形成双向关系：中医药为可解释人工智能提供了兼具系统整体观与语义结构的独特试验场，可解释人工智能则成为中医药现代化的关键枢纽，使人工智能由潜在的竞争者转变为可信赖的数字协作伙伴。</w:t>
      </w:r>
    </w:p>
    <w:p w14:paraId="10401C98">
      <w:pPr>
        <w:pStyle w:val="5"/>
        <w:spacing w:after="120"/>
        <w:ind w:firstLine="562" w:firstLineChars="200"/>
        <w:jc w:val="left"/>
      </w:pPr>
      <w:r>
        <w:rPr>
          <w:rFonts w:ascii="Times New Roman" w:hAnsi="Times New Roman" w:eastAsia="宋体"/>
          <w:b/>
          <w:sz w:val="28"/>
        </w:rPr>
        <w:t>第二节小结</w:t>
      </w:r>
    </w:p>
    <w:p w14:paraId="6747E116">
      <w:pPr>
        <w:spacing w:after="80" w:line="360" w:lineRule="auto"/>
        <w:ind w:firstLine="480" w:firstLineChars="200"/>
        <w:jc w:val="both"/>
      </w:pPr>
      <w:r>
        <w:rPr>
          <w:rFonts w:ascii="Times New Roman" w:hAnsi="Times New Roman" w:eastAsia="宋体"/>
          <w:b w:val="0"/>
          <w:sz w:val="24"/>
        </w:rPr>
        <w:t>可信AI是中医药大模型进入临床、科研和教育场景的必要前提。不确定性量化使模型表达把握程度，鲁棒性评估检验模型面对扰动与分布变化时的稳定性，算法公平性防止模型对不同人群、地域和流派产生系统性不利。研究生应把可信性视为方法学核心，而不是伦理附录。只有将数据治理、知识约束、模型校准、鲁棒评测、公平性分析、人类审核和持续监测纳入同一安全工程，中医药人工智能才能在保护患者安全的前提下发挥研究与临床价值。</w:t>
      </w:r>
    </w:p>
    <w:p w14:paraId="1412DB5B">
      <w:pPr>
        <w:spacing w:after="80" w:line="360" w:lineRule="auto"/>
        <w:ind w:firstLine="480" w:firstLineChars="200"/>
        <w:jc w:val="both"/>
      </w:pPr>
      <w:r>
        <w:rPr>
          <w:rFonts w:ascii="Times New Roman" w:hAnsi="Times New Roman" w:eastAsia="宋体"/>
          <w:b w:val="0"/>
          <w:sz w:val="24"/>
        </w:rPr>
        <w:t>在不确定性、鲁棒性与公平性之外，本节进一步阐述了可解释性与因果推断两条主线。可解释性方法已从经典的LIME、SHAP扩展到积分梯度、类激活映射、概念激活向量、概念瓶颈模型、原型部件网络、反事实与锚解释、可解释提升机及影响函数，研究生应依据解释目的与受众选择方法，并以忠实度、稳定性与语义合理性检验解释质量。因果推断则要求模型由相关走向因果，沿关联、干预、反事实三个层次，借助结构因果模型、后门调整、倾向评分、双重机器学习与因果森林估计治法的个体化效应，并通过神经符号系统将知识图谱约束与可追溯解释统一起来。可解释、因果、可信三者贯通，方能使中医药人工智能成为医师可信赖的协作伙伴。</w:t>
      </w:r>
    </w:p>
    <w:p w14:paraId="7CC9AF10">
      <w:pPr>
        <w:pStyle w:val="4"/>
        <w:spacing w:after="160"/>
        <w:ind w:firstLine="562" w:firstLineChars="200"/>
        <w:jc w:val="left"/>
      </w:pPr>
      <w:r>
        <w:rPr>
          <w:rFonts w:ascii="Times New Roman" w:hAnsi="Times New Roman" w:eastAsia="宋体"/>
          <w:b/>
          <w:sz w:val="28"/>
        </w:rPr>
        <w:t>本章思考题</w:t>
      </w:r>
    </w:p>
    <w:p w14:paraId="1F9C5356">
      <w:pPr>
        <w:spacing w:after="80" w:line="360" w:lineRule="auto"/>
        <w:ind w:firstLine="480" w:firstLineChars="200"/>
        <w:jc w:val="both"/>
      </w:pPr>
      <w:r>
        <w:rPr>
          <w:rFonts w:ascii="Times New Roman" w:hAnsi="Times New Roman" w:eastAsia="宋体"/>
          <w:b w:val="0"/>
          <w:sz w:val="24"/>
        </w:rPr>
        <w:t>1. 以“失眠中医辅助诊疗大模型”为例，设计一个包含继续预训练、RAG、知识图谱约束、低置信拒答和人工复核的系统方案，并说明每一环节解决的风险。</w:t>
      </w:r>
    </w:p>
    <w:p w14:paraId="67E63453">
      <w:pPr>
        <w:spacing w:after="80" w:line="360" w:lineRule="auto"/>
        <w:ind w:firstLine="480" w:firstLineChars="200"/>
        <w:jc w:val="both"/>
      </w:pPr>
      <w:r>
        <w:rPr>
          <w:rFonts w:ascii="Times New Roman" w:hAnsi="Times New Roman" w:eastAsia="宋体"/>
          <w:b w:val="0"/>
          <w:sz w:val="24"/>
        </w:rPr>
        <w:t>2. 面向未来的四诊合参多模态大模型，分析在模态缺失、跨模态对齐与不确定性输出三个方面仍有待突破的核心难题，并就其中一项提出可能的研究路径与相应的评价设计。</w:t>
      </w:r>
    </w:p>
    <w:p w14:paraId="02B9DF8A">
      <w:pPr>
        <w:spacing w:after="80" w:line="360" w:lineRule="auto"/>
        <w:ind w:firstLine="480" w:firstLineChars="200"/>
        <w:jc w:val="both"/>
      </w:pPr>
      <w:r>
        <w:rPr>
          <w:rFonts w:ascii="Times New Roman" w:hAnsi="Times New Roman" w:eastAsia="宋体"/>
          <w:b w:val="0"/>
          <w:sz w:val="24"/>
        </w:rPr>
        <w:t>3. 若两个专家对同一病例给出不同证候判断，研究者应如何设计标注、建模和评价流程，才能避免把主观分歧简单视为“错误标签”？</w:t>
      </w:r>
    </w:p>
    <w:p w14:paraId="22B6E6FF">
      <w:pPr>
        <w:spacing w:after="80" w:line="360" w:lineRule="auto"/>
        <w:ind w:firstLine="480" w:firstLineChars="200"/>
        <w:jc w:val="both"/>
      </w:pPr>
      <w:r>
        <w:rPr>
          <w:rFonts w:ascii="Times New Roman" w:hAnsi="Times New Roman" w:eastAsia="宋体"/>
          <w:b w:val="0"/>
          <w:sz w:val="24"/>
        </w:rPr>
        <w:t>4. 结合公平性不可兼得问题，讨论中医药AI在地域公平、流派公平和总体准确率之间如何作出研究设计取舍。</w:t>
      </w:r>
    </w:p>
    <w:p w14:paraId="66AB9EC5">
      <w:pPr>
        <w:spacing w:after="80" w:line="360" w:lineRule="auto"/>
        <w:ind w:firstLine="480" w:firstLineChars="200"/>
        <w:jc w:val="both"/>
      </w:pPr>
      <w:r>
        <w:rPr>
          <w:rFonts w:ascii="Times New Roman" w:hAnsi="Times New Roman" w:eastAsia="宋体"/>
          <w:b w:val="0"/>
          <w:sz w:val="24"/>
        </w:rPr>
        <w:t>5. 开放性题目：生成式大模型在中医药研究中既能生成假说，也能生成错误依据。请提出一套防止“合成数据污染真实证据”的制度与技术方案。</w:t>
      </w:r>
    </w:p>
    <w:p w14:paraId="21B8D365">
      <w:pPr>
        <w:spacing w:after="80" w:line="360" w:lineRule="auto"/>
        <w:ind w:firstLine="480" w:firstLineChars="200"/>
        <w:jc w:val="both"/>
      </w:pPr>
      <w:r>
        <w:rPr>
          <w:rFonts w:ascii="Times New Roman" w:hAnsi="Times New Roman" w:eastAsia="宋体"/>
          <w:b w:val="0"/>
          <w:sz w:val="24"/>
        </w:rPr>
        <w:t>6. 结合因果阶梯，说明“某治法对转归是否有效”与“该治法对哪类患者最有效”分别对应哪一因果层次，并指出在缺乏随机对照试验时可采用的观测性因果估计方法及其前提假设。</w:t>
      </w:r>
    </w:p>
    <w:p w14:paraId="530C9ADA">
      <w:pPr>
        <w:spacing w:after="80" w:line="360" w:lineRule="auto"/>
        <w:ind w:firstLine="480" w:firstLineChars="200"/>
        <w:jc w:val="both"/>
      </w:pPr>
      <w:r>
        <w:rPr>
          <w:rFonts w:ascii="Times New Roman" w:hAnsi="Times New Roman" w:eastAsia="宋体"/>
          <w:b w:val="0"/>
          <w:sz w:val="24"/>
        </w:rPr>
        <w:t>7. 开放性题目：参考神经符号AI思路，设计一个以中医药知识图谱约束辨证推荐的可解释系统，说明其如何同时降低幻觉、提供可追溯解释并支持医师在概念层干预。</w:t>
      </w:r>
    </w:p>
    <w:p w14:paraId="78F1280B">
      <w:pPr>
        <w:pStyle w:val="4"/>
        <w:spacing w:after="160"/>
        <w:ind w:firstLine="562" w:firstLineChars="200"/>
        <w:jc w:val="left"/>
      </w:pPr>
      <w:r>
        <w:rPr>
          <w:rFonts w:ascii="Times New Roman" w:hAnsi="Times New Roman" w:eastAsia="黑体"/>
          <w:b/>
          <w:sz w:val="28"/>
        </w:rPr>
        <w:t>参考文献</w:t>
      </w:r>
    </w:p>
    <w:p w14:paraId="0BC66507">
      <w:pPr>
        <w:spacing w:after="40" w:line="300" w:lineRule="auto"/>
        <w:ind w:left="480" w:hanging="480"/>
        <w:jc w:val="both"/>
      </w:pPr>
      <w:r>
        <w:rPr>
          <w:rFonts w:ascii="Times New Roman" w:hAnsi="Times New Roman" w:eastAsia="宋体"/>
          <w:b w:val="0"/>
          <w:sz w:val="21"/>
        </w:rPr>
        <w:t>[1] DAI Y, SHAO X, ZHANG J, et al., 2024. TCMChat: a generative large language model for traditional Chinese medicine [J]. Pharmacological Research, 210: 107530.</w:t>
      </w:r>
    </w:p>
    <w:p w14:paraId="7803D766">
      <w:pPr>
        <w:spacing w:after="40" w:line="300" w:lineRule="auto"/>
        <w:ind w:left="480" w:hanging="480"/>
        <w:jc w:val="both"/>
      </w:pPr>
      <w:r>
        <w:rPr>
          <w:rFonts w:ascii="Times New Roman" w:hAnsi="Times New Roman" w:eastAsia="宋体"/>
          <w:b w:val="0"/>
          <w:sz w:val="21"/>
        </w:rPr>
        <w:t>[2] ZHU J, GONG Q, ZHOU C, et al., 2023. ZhongJing: a locally deployed large language model for traditional Chinese medicine [C] // International Symposium on Artificial Intelligence in Medical Sciences: 1036-1042.</w:t>
      </w:r>
    </w:p>
    <w:p w14:paraId="46FF8B13">
      <w:pPr>
        <w:spacing w:after="40" w:line="300" w:lineRule="auto"/>
        <w:ind w:left="480" w:hanging="480"/>
        <w:jc w:val="both"/>
      </w:pPr>
      <w:r>
        <w:rPr>
          <w:rFonts w:ascii="Times New Roman" w:hAnsi="Times New Roman" w:eastAsia="宋体"/>
          <w:b w:val="0"/>
          <w:sz w:val="21"/>
        </w:rPr>
        <w:t>[3] JIA Y, JI X, WANG X, et al., 2025. Qibo: a large language model for traditional Chinese medicine [J]. Expert Systems with Applications, 284: 127672.</w:t>
      </w:r>
    </w:p>
    <w:p w14:paraId="392B7E60">
      <w:pPr>
        <w:spacing w:after="40" w:line="300" w:lineRule="auto"/>
        <w:ind w:left="480" w:hanging="480"/>
        <w:jc w:val="both"/>
      </w:pPr>
      <w:r>
        <w:rPr>
          <w:rFonts w:ascii="Times New Roman" w:hAnsi="Times New Roman" w:eastAsia="宋体"/>
          <w:b w:val="0"/>
          <w:sz w:val="21"/>
        </w:rPr>
        <w:t>[4] HUA R, DONG X, WEI Y, et al., 2024. Lingdan: enhancing encoding of traditional Chinese medicine knowledge for clinical reasoning tasks with large language models [J]. Journal of the American Medical Informatics Association, 31(9): 2019-2029.</w:t>
      </w:r>
    </w:p>
    <w:p w14:paraId="10C180F0">
      <w:pPr>
        <w:spacing w:after="40" w:line="300" w:lineRule="auto"/>
        <w:ind w:left="480" w:hanging="480"/>
        <w:jc w:val="both"/>
      </w:pPr>
      <w:r>
        <w:rPr>
          <w:rFonts w:ascii="Times New Roman" w:hAnsi="Times New Roman" w:eastAsia="宋体"/>
          <w:b w:val="0"/>
          <w:sz w:val="21"/>
        </w:rPr>
        <w:t>[5] TONG X, DING X, JIA H, et al., 2025. XuanHuGPT: parameter-efficient fine-tuning of large language model in the field of traditional Chinese medicine [J]. Chinese Medicine, 20(1): 204.</w:t>
      </w:r>
    </w:p>
    <w:p w14:paraId="72E6A13D">
      <w:pPr>
        <w:spacing w:after="40" w:line="300" w:lineRule="auto"/>
        <w:ind w:left="480" w:hanging="480"/>
        <w:jc w:val="both"/>
      </w:pPr>
      <w:r>
        <w:rPr>
          <w:rFonts w:ascii="Times New Roman" w:hAnsi="Times New Roman" w:eastAsia="宋体"/>
          <w:b w:val="0"/>
          <w:sz w:val="21"/>
        </w:rPr>
        <w:t>[6] ZHOU X, LI C, DONG X, et al., 2024. TCM-FTP: fine-tuning large language models for herbal prescription prediction [C] // IEEE International Conference on Bioinformatics and Biomedicine: 4092-4097.</w:t>
      </w:r>
    </w:p>
    <w:p w14:paraId="72068B01">
      <w:pPr>
        <w:spacing w:after="40" w:line="300" w:lineRule="auto"/>
        <w:ind w:left="480" w:hanging="480"/>
        <w:jc w:val="both"/>
      </w:pPr>
      <w:r>
        <w:rPr>
          <w:rFonts w:ascii="Times New Roman" w:hAnsi="Times New Roman" w:eastAsia="宋体"/>
          <w:b w:val="0"/>
          <w:sz w:val="21"/>
        </w:rPr>
        <w:t>[7] QIN S, WANG Y, CUI T, et al., 2025. Intelligent Chinese patent medicine recommendation framework [J]. Pharmacological Research, 219: 107883.</w:t>
      </w:r>
    </w:p>
    <w:p w14:paraId="7CD30A5E">
      <w:pPr>
        <w:spacing w:after="40" w:line="300" w:lineRule="auto"/>
        <w:ind w:left="480" w:hanging="480"/>
        <w:jc w:val="both"/>
      </w:pPr>
      <w:r>
        <w:rPr>
          <w:rFonts w:ascii="Times New Roman" w:hAnsi="Times New Roman" w:eastAsia="宋体"/>
          <w:b w:val="0"/>
          <w:sz w:val="21"/>
        </w:rPr>
        <w:t>[8] YUAN S, ZHOU Z, JIN X, et al., 2025. Enhancing herbal medicine-drug interaction prediction using large language models [J]. IEEE Journal of Biomedical and Health Informatics, 29(10): 6971-6981.</w:t>
      </w:r>
    </w:p>
    <w:p w14:paraId="02D831F2">
      <w:pPr>
        <w:spacing w:after="40" w:line="300" w:lineRule="auto"/>
        <w:ind w:left="480" w:hanging="480"/>
        <w:jc w:val="both"/>
      </w:pPr>
      <w:r>
        <w:rPr>
          <w:rFonts w:ascii="Times New Roman" w:hAnsi="Times New Roman" w:eastAsia="宋体"/>
          <w:b w:val="0"/>
          <w:sz w:val="21"/>
        </w:rPr>
        <w:t>[9] DUAN Y, ZHOU Q, LI Y, et al., 2025. Research on a traditional Chinese medicine case-based question-answering system integrating large language models and knowledge graphs [J]. Frontiers in Medicine, 11: 1512329.</w:t>
      </w:r>
    </w:p>
    <w:p w14:paraId="49881E62">
      <w:pPr>
        <w:spacing w:after="40" w:line="300" w:lineRule="auto"/>
        <w:ind w:left="480" w:hanging="480"/>
        <w:jc w:val="both"/>
      </w:pPr>
      <w:r>
        <w:rPr>
          <w:rFonts w:ascii="Times New Roman" w:hAnsi="Times New Roman" w:eastAsia="宋体"/>
          <w:b w:val="0"/>
          <w:sz w:val="21"/>
        </w:rPr>
        <w:t>[10] ZHANG Y, HAO Y, 2024. Traditional Chinese medicine knowledge graph construction based on large language models [J]. Electronics, 13(7): 1395.</w:t>
      </w:r>
    </w:p>
    <w:p w14:paraId="12D3920D">
      <w:pPr>
        <w:spacing w:after="40" w:line="300" w:lineRule="auto"/>
        <w:ind w:left="480" w:hanging="480"/>
        <w:jc w:val="both"/>
      </w:pPr>
      <w:r>
        <w:rPr>
          <w:rFonts w:ascii="Times New Roman" w:hAnsi="Times New Roman" w:eastAsia="宋体"/>
          <w:b w:val="0"/>
          <w:sz w:val="21"/>
        </w:rPr>
        <w:t>[11] WANG L, TANG K, WANG Y, et al., 2025. Advancements in artificial intelligence-driven diagnostic models for traditional Chinese medicine [J]. American Journal of Chinese Medicine, 53(3): 647-673.</w:t>
      </w:r>
    </w:p>
    <w:p w14:paraId="62F16DEE">
      <w:pPr>
        <w:spacing w:after="40" w:line="300" w:lineRule="auto"/>
        <w:ind w:left="480" w:hanging="480"/>
        <w:jc w:val="both"/>
      </w:pPr>
      <w:r>
        <w:rPr>
          <w:rFonts w:ascii="Times New Roman" w:hAnsi="Times New Roman" w:eastAsia="宋体"/>
          <w:b w:val="0"/>
          <w:sz w:val="21"/>
        </w:rPr>
        <w:t>[12] ZHENG Y, YUAN J, LIU L, et al., 2025. Evaluating large language models in traditional Chinese medicine with enhanced misinformation detection [C] // UbiComp Companion: 1358-1363.</w:t>
      </w:r>
    </w:p>
    <w:p w14:paraId="063D8FA9">
      <w:pPr>
        <w:spacing w:after="40" w:line="300" w:lineRule="auto"/>
        <w:ind w:left="480" w:hanging="480"/>
        <w:jc w:val="both"/>
      </w:pPr>
      <w:r>
        <w:rPr>
          <w:rFonts w:ascii="Times New Roman" w:hAnsi="Times New Roman" w:eastAsia="宋体"/>
          <w:b w:val="0"/>
          <w:sz w:val="21"/>
        </w:rPr>
        <w:t>[13] LIN J, DAI G, PENG W, et al., 2026. ATCMD-Bench: agentic traditional Chinese medicine diagnosis benchmark for large language models via multi-agent simulation [J]. Pattern Recognition, 179: 113679.</w:t>
      </w:r>
    </w:p>
    <w:p w14:paraId="78851AFD">
      <w:pPr>
        <w:spacing w:after="40" w:line="300" w:lineRule="auto"/>
        <w:ind w:left="480" w:hanging="480"/>
        <w:jc w:val="both"/>
      </w:pPr>
      <w:r>
        <w:rPr>
          <w:rFonts w:ascii="Times New Roman" w:hAnsi="Times New Roman" w:eastAsia="宋体"/>
          <w:b w:val="0"/>
          <w:sz w:val="21"/>
        </w:rPr>
        <w:t>[14] REN Y, LUO X, WANG Y, et al., 2025. Large language models in traditional Chinese medicine: a scoping review [J]. Journal of Evidence-Based Medicine, 18(1): e12658.</w:t>
      </w:r>
    </w:p>
    <w:p w14:paraId="7CBA1B49">
      <w:pPr>
        <w:spacing w:after="40" w:line="300" w:lineRule="auto"/>
        <w:ind w:left="480" w:hanging="480"/>
        <w:jc w:val="both"/>
      </w:pPr>
      <w:r>
        <w:rPr>
          <w:rFonts w:ascii="Times New Roman" w:hAnsi="Times New Roman" w:eastAsia="宋体"/>
          <w:b w:val="0"/>
          <w:sz w:val="21"/>
        </w:rPr>
        <w:t>[15] SHATAER D, CAO S, LIU X, et al., 2025. Application of large language models in traditional Chinese medicine: a state-of-the-art review [J]. American Journal of Chinese Medicine, 53(4): 973-997.</w:t>
      </w:r>
    </w:p>
    <w:p w14:paraId="6FD16010">
      <w:pPr>
        <w:spacing w:after="40" w:line="300" w:lineRule="auto"/>
        <w:ind w:left="480" w:hanging="480"/>
        <w:jc w:val="both"/>
      </w:pPr>
      <w:r>
        <w:rPr>
          <w:rFonts w:ascii="Times New Roman" w:hAnsi="Times New Roman" w:eastAsia="宋体"/>
          <w:b w:val="0"/>
          <w:sz w:val="21"/>
        </w:rPr>
        <w:t>[16] ZHU L, MOU W, LAI Y, et al., 2024. Language and cultural bias in AI: the need for localized models [J]. Journal of Translational Medicine, 22(1): 319.</w:t>
      </w:r>
    </w:p>
    <w:p w14:paraId="7BDE2C40">
      <w:pPr>
        <w:spacing w:after="40" w:line="300" w:lineRule="auto"/>
        <w:ind w:left="480" w:hanging="480"/>
        <w:jc w:val="both"/>
      </w:pPr>
      <w:r>
        <w:rPr>
          <w:rFonts w:ascii="Times New Roman" w:hAnsi="Times New Roman" w:eastAsia="宋体"/>
          <w:b w:val="0"/>
          <w:sz w:val="21"/>
        </w:rPr>
        <w:t>[17] HIGH-LEVEL EXPERT GROUP ON AI, 2019. Ethics guidelines for trustworthy AI [R]. Brussels: European Commission.</w:t>
      </w:r>
    </w:p>
    <w:p w14:paraId="66DB63E9">
      <w:pPr>
        <w:spacing w:after="40" w:line="300" w:lineRule="auto"/>
        <w:ind w:left="480" w:hanging="480"/>
        <w:jc w:val="both"/>
      </w:pPr>
      <w:r>
        <w:rPr>
          <w:rFonts w:ascii="Times New Roman" w:hAnsi="Times New Roman" w:eastAsia="宋体"/>
          <w:b w:val="0"/>
          <w:sz w:val="21"/>
        </w:rPr>
        <w:t>[18] NATIONAL INSTITUTE OF STANDARDS AND TECHNOLOGY, 2023. Artificial intelligence risk management framework (AI RMF 1.0): NIST AI 100-1 [S]. Gaithersburg: NIST.</w:t>
      </w:r>
    </w:p>
    <w:p w14:paraId="55A90C13">
      <w:pPr>
        <w:spacing w:after="40" w:line="300" w:lineRule="auto"/>
        <w:ind w:left="480" w:hanging="480"/>
        <w:jc w:val="both"/>
      </w:pPr>
      <w:r>
        <w:rPr>
          <w:rFonts w:ascii="Times New Roman" w:hAnsi="Times New Roman" w:eastAsia="宋体"/>
          <w:b w:val="0"/>
          <w:sz w:val="21"/>
        </w:rPr>
        <w:t>[19] WORLD HEALTH ORGANIZATION, 2021. Ethics and governance of artificial intelligence for health [R]. Geneva: WHO.</w:t>
      </w:r>
    </w:p>
    <w:p w14:paraId="0D97D050">
      <w:pPr>
        <w:spacing w:after="40" w:line="300" w:lineRule="auto"/>
        <w:ind w:left="480" w:hanging="480"/>
        <w:jc w:val="both"/>
      </w:pPr>
      <w:r>
        <w:rPr>
          <w:rFonts w:ascii="Times New Roman" w:hAnsi="Times New Roman" w:eastAsia="宋体"/>
          <w:b w:val="0"/>
          <w:sz w:val="21"/>
        </w:rPr>
        <w:t>[20] HÜLLERMEIER E, WAEGEMAN W, 2021. Aleatoric and epistemic uncertainty in machine learning: an introduction to concepts and methods [J]. Machine Learning, 110(3): 457-506.</w:t>
      </w:r>
    </w:p>
    <w:p w14:paraId="1891E0B8">
      <w:pPr>
        <w:spacing w:after="40" w:line="300" w:lineRule="auto"/>
        <w:ind w:left="480" w:hanging="480"/>
        <w:jc w:val="both"/>
      </w:pPr>
      <w:r>
        <w:rPr>
          <w:rFonts w:ascii="Times New Roman" w:hAnsi="Times New Roman" w:eastAsia="宋体"/>
          <w:b w:val="0"/>
          <w:sz w:val="21"/>
        </w:rPr>
        <w:t>[21] GAL Y, GHAHRAMANI Z, 2016. Dropout as a Bayesian approximation: representing model uncertainty in deep learning [C] // International Conference on Machine Learning: 1050-1059.</w:t>
      </w:r>
    </w:p>
    <w:p w14:paraId="3016029E">
      <w:pPr>
        <w:spacing w:after="40" w:line="300" w:lineRule="auto"/>
        <w:ind w:left="480" w:hanging="480"/>
        <w:jc w:val="both"/>
      </w:pPr>
      <w:r>
        <w:rPr>
          <w:rFonts w:ascii="Times New Roman" w:hAnsi="Times New Roman" w:eastAsia="宋体"/>
          <w:b w:val="0"/>
          <w:sz w:val="21"/>
        </w:rPr>
        <w:t>[22] GUO C, PLEISS G, SUN Y, et al., 2017. On calibration of modern neural networks [C] // International Conference on Machine Learning: 1321-1330.</w:t>
      </w:r>
    </w:p>
    <w:p w14:paraId="3FFC85B0">
      <w:pPr>
        <w:spacing w:after="40" w:line="300" w:lineRule="auto"/>
        <w:ind w:left="480" w:hanging="480"/>
        <w:jc w:val="both"/>
      </w:pPr>
      <w:r>
        <w:rPr>
          <w:rFonts w:ascii="Times New Roman" w:hAnsi="Times New Roman" w:eastAsia="宋体"/>
          <w:b w:val="0"/>
          <w:sz w:val="21"/>
        </w:rPr>
        <w:t>[23] ANGELOPOULOS A N, BATES S, 2021. A gentle introduction to conformal prediction and distribution-free uncertainty quantification [EB/OL]. arXiv: 2107.07511.</w:t>
      </w:r>
    </w:p>
    <w:p w14:paraId="4186B462">
      <w:pPr>
        <w:spacing w:after="40" w:line="300" w:lineRule="auto"/>
        <w:ind w:left="480" w:hanging="480"/>
        <w:jc w:val="both"/>
      </w:pPr>
      <w:r>
        <w:rPr>
          <w:rFonts w:ascii="Times New Roman" w:hAnsi="Times New Roman" w:eastAsia="宋体"/>
          <w:b w:val="0"/>
          <w:sz w:val="21"/>
        </w:rPr>
        <w:t>[24] HARDT M, PRICE E, SREBRO N, 2016. Equality of opportunity in supervised learning [C] // Advances in Neural Information Processing Systems: 3315-3323.</w:t>
      </w:r>
    </w:p>
    <w:p w14:paraId="756005DD">
      <w:pPr>
        <w:spacing w:after="40" w:line="300" w:lineRule="auto"/>
        <w:ind w:left="480" w:hanging="480"/>
        <w:jc w:val="both"/>
      </w:pPr>
      <w:r>
        <w:rPr>
          <w:rFonts w:ascii="Times New Roman" w:hAnsi="Times New Roman" w:eastAsia="宋体"/>
          <w:b w:val="0"/>
          <w:sz w:val="21"/>
        </w:rPr>
        <w:t>[25] OBERMEYER Z, POWERS B, VOGELI C, et al., 2019. Dissecting racial bias in an algorithm used to manage the health of populations [J]. Science, 366(6464): 447-453.</w:t>
      </w:r>
    </w:p>
    <w:p w14:paraId="6D66ECAE">
      <w:pPr>
        <w:spacing w:after="40" w:line="300" w:lineRule="auto"/>
        <w:ind w:left="480" w:hanging="480"/>
        <w:jc w:val="both"/>
      </w:pPr>
      <w:r>
        <w:rPr>
          <w:rFonts w:ascii="Times New Roman" w:hAnsi="Times New Roman" w:eastAsia="宋体"/>
          <w:b w:val="0"/>
          <w:sz w:val="21"/>
        </w:rPr>
        <w:t>[26] RIBEIRO M T, SINGH S, GUESTRIN C, 2016. Why should I trust you? Explaining the predictions of any classifier [C] // ACM SIGKDD International Conference on Knowledge Discovery and Data Mining: 1135-1144.</w:t>
      </w:r>
    </w:p>
    <w:p w14:paraId="400A1B2D">
      <w:pPr>
        <w:spacing w:after="40" w:line="300" w:lineRule="auto"/>
        <w:ind w:left="480" w:hanging="480"/>
        <w:jc w:val="both"/>
      </w:pPr>
      <w:r>
        <w:rPr>
          <w:rFonts w:ascii="Times New Roman" w:hAnsi="Times New Roman" w:eastAsia="宋体"/>
          <w:b w:val="0"/>
          <w:sz w:val="21"/>
        </w:rPr>
        <w:t>[27] LUNDBERG S M, LEE S I, 2017. A unified approach to interpreting model predictions [C] // Advances in Neural Information Processing Systems: 4765-4774.</w:t>
      </w:r>
    </w:p>
    <w:p w14:paraId="696CB804">
      <w:pPr>
        <w:spacing w:after="40" w:line="300" w:lineRule="auto"/>
        <w:ind w:left="480" w:hanging="480"/>
        <w:jc w:val="both"/>
      </w:pPr>
      <w:r>
        <w:rPr>
          <w:rFonts w:ascii="Times New Roman" w:hAnsi="Times New Roman" w:eastAsia="宋体"/>
          <w:b w:val="0"/>
          <w:sz w:val="21"/>
        </w:rPr>
        <w:t>[28] SUNDARARAJAN M, TALY A, YAN Q, 2017. Axiomatic attribution for deep networks [C] // International Conference on Machine Learning: 3319-3328.</w:t>
      </w:r>
    </w:p>
    <w:p w14:paraId="642B9372">
      <w:pPr>
        <w:spacing w:after="40" w:line="300" w:lineRule="auto"/>
        <w:ind w:left="480" w:hanging="480"/>
        <w:jc w:val="both"/>
      </w:pPr>
      <w:r>
        <w:rPr>
          <w:rFonts w:ascii="Times New Roman" w:hAnsi="Times New Roman" w:eastAsia="宋体"/>
          <w:b w:val="0"/>
          <w:sz w:val="21"/>
        </w:rPr>
        <w:t>[29] SELVARAJU R R, COGSWELL M, DAS A, et al., 2017. Grad-CAM: visual explanations from deep networks via gradient-based localization [C] // IEEE International Conference on Computer Vision: 618-626.</w:t>
      </w:r>
    </w:p>
    <w:p w14:paraId="63D435F0">
      <w:pPr>
        <w:spacing w:after="40" w:line="300" w:lineRule="auto"/>
        <w:ind w:left="480" w:hanging="480"/>
        <w:jc w:val="both"/>
      </w:pPr>
      <w:r>
        <w:rPr>
          <w:rFonts w:ascii="Times New Roman" w:hAnsi="Times New Roman" w:eastAsia="宋体"/>
          <w:b w:val="0"/>
          <w:sz w:val="21"/>
        </w:rPr>
        <w:t>[30] KIM B, WATTENBERG M, GILMER J, et al., 2018. Interpretability beyond feature attribution: quantitative testing with concept activation vectors (TCAV) [C] // International Conference on Machine Learning: 2668-2677.</w:t>
      </w:r>
    </w:p>
    <w:p w14:paraId="3A345CAB">
      <w:pPr>
        <w:spacing w:after="40" w:line="300" w:lineRule="auto"/>
        <w:ind w:left="480" w:hanging="480"/>
        <w:jc w:val="both"/>
      </w:pPr>
      <w:r>
        <w:rPr>
          <w:rFonts w:ascii="Times New Roman" w:hAnsi="Times New Roman" w:eastAsia="宋体"/>
          <w:b w:val="0"/>
          <w:sz w:val="21"/>
        </w:rPr>
        <w:t>[31] KOH P W, NGUYEN T, TANG Y S, et al., 2020. Concept bottleneck models [C] // International Conference on Machine Learning: 5338-5348.</w:t>
      </w:r>
    </w:p>
    <w:p w14:paraId="4D39FF88">
      <w:pPr>
        <w:spacing w:after="40" w:line="300" w:lineRule="auto"/>
        <w:ind w:left="480" w:hanging="480"/>
        <w:jc w:val="both"/>
      </w:pPr>
      <w:r>
        <w:rPr>
          <w:rFonts w:ascii="Times New Roman" w:hAnsi="Times New Roman" w:eastAsia="宋体"/>
          <w:b w:val="0"/>
          <w:sz w:val="21"/>
        </w:rPr>
        <w:t>[32] CHEN C, LI O, TAO D, et al., 2019. This looks like that: deep learning for interpretable image recognition [C] // Advances in Neural Information Processing Systems: 8928-8939.</w:t>
      </w:r>
    </w:p>
    <w:p w14:paraId="3237A4C2">
      <w:pPr>
        <w:spacing w:after="40" w:line="300" w:lineRule="auto"/>
        <w:ind w:left="480" w:hanging="480"/>
        <w:jc w:val="both"/>
      </w:pPr>
      <w:r>
        <w:rPr>
          <w:rFonts w:ascii="Times New Roman" w:hAnsi="Times New Roman" w:eastAsia="宋体"/>
          <w:b w:val="0"/>
          <w:sz w:val="21"/>
        </w:rPr>
        <w:t>[33] WACHTER S, MITTELSTADT B, RUSSELL C, 2017. Counterfactual explanations without opening the black box: automated decisions and the GDPR [J]. Harvard Journal of Law &amp; Technology, 31(2): 841-887.</w:t>
      </w:r>
    </w:p>
    <w:p w14:paraId="4495B38D">
      <w:pPr>
        <w:spacing w:after="40" w:line="300" w:lineRule="auto"/>
        <w:ind w:left="480" w:hanging="480"/>
        <w:jc w:val="both"/>
      </w:pPr>
      <w:r>
        <w:rPr>
          <w:rFonts w:ascii="Times New Roman" w:hAnsi="Times New Roman" w:eastAsia="宋体"/>
          <w:b w:val="0"/>
          <w:sz w:val="21"/>
        </w:rPr>
        <w:t>[34] MOTHILAL R K, SHARMA A, TAN C, 2020. Explaining machine learning classifiers through diverse counterfactual explanations [C] // Conference on Fairness, Accountability, and Transparency: 607-617.</w:t>
      </w:r>
    </w:p>
    <w:p w14:paraId="03EFC0A1">
      <w:pPr>
        <w:spacing w:after="40" w:line="300" w:lineRule="auto"/>
        <w:ind w:left="480" w:hanging="480"/>
        <w:jc w:val="both"/>
      </w:pPr>
      <w:r>
        <w:rPr>
          <w:rFonts w:ascii="Times New Roman" w:hAnsi="Times New Roman" w:eastAsia="宋体"/>
          <w:b w:val="0"/>
          <w:sz w:val="21"/>
        </w:rPr>
        <w:t>[35] RIBEIRO M T, SINGH S, GUESTRIN C, 2018. Anchors: high-precision model-agnostic explanations [C] // AAAI Conference on Artificial Intelligence: 1527-1535.</w:t>
      </w:r>
    </w:p>
    <w:p w14:paraId="25172A79">
      <w:pPr>
        <w:spacing w:after="40" w:line="300" w:lineRule="auto"/>
        <w:ind w:left="480" w:hanging="480"/>
        <w:jc w:val="both"/>
      </w:pPr>
      <w:r>
        <w:rPr>
          <w:rFonts w:ascii="Times New Roman" w:hAnsi="Times New Roman" w:eastAsia="宋体"/>
          <w:b w:val="0"/>
          <w:sz w:val="21"/>
        </w:rPr>
        <w:t>[36] KOH P W, LIANG P, 2017. Understanding black-box predictions via influence functions [C] // International Conference on Machine Learning: 1885-1894.</w:t>
      </w:r>
    </w:p>
    <w:p w14:paraId="16996B93">
      <w:pPr>
        <w:spacing w:after="40" w:line="300" w:lineRule="auto"/>
        <w:ind w:left="480" w:hanging="480"/>
        <w:jc w:val="both"/>
      </w:pPr>
      <w:r>
        <w:rPr>
          <w:rFonts w:ascii="Times New Roman" w:hAnsi="Times New Roman" w:eastAsia="宋体"/>
          <w:b w:val="0"/>
          <w:sz w:val="21"/>
        </w:rPr>
        <w:t>[37] PEARL J, 2009. Causality: models, reasoning, and inference [M]. 2nd ed. Cambridge: Cambridge University Press.</w:t>
      </w:r>
    </w:p>
    <w:p w14:paraId="0CFA599D">
      <w:pPr>
        <w:spacing w:after="40" w:line="300" w:lineRule="auto"/>
        <w:ind w:left="480" w:hanging="480"/>
        <w:jc w:val="both"/>
      </w:pPr>
      <w:r>
        <w:rPr>
          <w:rFonts w:ascii="Times New Roman" w:hAnsi="Times New Roman" w:eastAsia="宋体"/>
          <w:b w:val="0"/>
          <w:sz w:val="21"/>
        </w:rPr>
        <w:t>[38] RUBIN D B, 1974. Estimating causal effects of treatments in randomized and nonrandomized studies [J]. Journal of Educational Psychology, 66(5): 688-701.</w:t>
      </w:r>
    </w:p>
    <w:p w14:paraId="4B98A06E">
      <w:pPr>
        <w:spacing w:after="40" w:line="300" w:lineRule="auto"/>
        <w:ind w:left="480" w:hanging="480"/>
        <w:jc w:val="both"/>
      </w:pPr>
      <w:r>
        <w:rPr>
          <w:rFonts w:ascii="Times New Roman" w:hAnsi="Times New Roman" w:eastAsia="宋体"/>
          <w:b w:val="0"/>
          <w:sz w:val="21"/>
        </w:rPr>
        <w:t>[39] CHERNOZHUKOV V, CHETVERIKOV D, DEMIRER M, et al., 2018. Double/debiased machine learning for treatment and structural parameters [J]. The Econometrics Journal, 21(1): C1-C68.</w:t>
      </w:r>
    </w:p>
    <w:p w14:paraId="71D31E63">
      <w:pPr>
        <w:spacing w:after="40" w:line="300" w:lineRule="auto"/>
        <w:ind w:left="480" w:hanging="480"/>
        <w:jc w:val="both"/>
      </w:pPr>
      <w:r>
        <w:rPr>
          <w:rFonts w:ascii="Times New Roman" w:hAnsi="Times New Roman" w:eastAsia="宋体"/>
          <w:b w:val="0"/>
          <w:sz w:val="21"/>
        </w:rPr>
        <w:t>[40] WAGER S, ATHEY S, 2018. Estimation and inference of heterogeneous treatment effects using random forests [J]. Journal of the American Statistical Association, 113(523): 1228-1242.</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FDBC16A-0003-42BE-8DA3-DE1F1E98043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embedRegular r:id="rId2" w:fontKey="{5CCC7BCA-54E0-4607-9596-50911442E9B2}"/>
  </w:font>
  <w:font w:name="KaTeX_Math">
    <w:altName w:val="Segoe Print"/>
    <w:panose1 w:val="00000000000000000000"/>
    <w:charset w:val="00"/>
    <w:family w:val="auto"/>
    <w:pitch w:val="default"/>
    <w:sig w:usb0="00000000" w:usb1="00000000" w:usb2="00000000" w:usb3="00000000" w:csb0="00000000" w:csb1="00000000"/>
    <w:embedRegular r:id="rId3" w:fontKey="{37FA2D8E-24F1-4FC6-9617-6FB6542551A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1D5D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Ascii" w:hAnsiTheme="majorAscii" w:eastAsiaTheme="majorEastAsia" w:cstheme="majorBidi"/>
      <w:color w:val="000000" w:themeColor="text1"/>
      <w:szCs w:val="24"/>
      <w14:textFill>
        <w14:solidFill>
          <w14:schemeClr w14:val="tx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Ascii" w:hAnsiTheme="majorAscii" w:eastAsiaTheme="majorEastAsia" w:cstheme="majorBidi"/>
      <w:color w:val="000000" w:themeColor="text1"/>
      <w:szCs w:val="24"/>
      <w14:textFill>
        <w14:solidFill>
          <w14:schemeClr w14:val="tx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11087</Words>
  <Characters>11629</Characters>
  <Lines>0</Lines>
  <Paragraphs>0</Paragraphs>
  <TotalTime>235</TotalTime>
  <ScaleCrop>false</ScaleCrop>
  <LinksUpToDate>false</LinksUpToDate>
  <CharactersWithSpaces>11694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2026-06-23T08:17:04Z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B1F26C0F52054D39A75E4A44983B3D21_12</vt:lpwstr>
  </property>
</Properties>
</file>