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BD478">
      <w:pPr>
        <w:spacing w:before="120" w:after="120"/>
        <w:jc w:val="center"/>
      </w:pPr>
      <w:r>
        <w:rPr>
          <w:rFonts w:ascii="宋体" w:hAnsi="宋体" w:eastAsia="宋体"/>
          <w:b/>
          <w:sz w:val="32"/>
        </w:rPr>
        <w:t>中医药领域大语言模型评测研究：基准构建、能力评价与未来发展</w:t>
      </w:r>
    </w:p>
    <w:p w14:paraId="7CAC912C">
      <w:pPr>
        <w:spacing w:before="40" w:after="40"/>
        <w:ind w:firstLine="0"/>
        <w:jc w:val="both"/>
      </w:pPr>
      <w:r>
        <w:rPr>
          <w:rFonts w:ascii="宋体" w:hAnsi="宋体" w:eastAsia="宋体"/>
          <w:b/>
          <w:sz w:val="24"/>
        </w:rPr>
        <w:t>摘要：随着大语言模型（large language models，LLMs）在医疗健康领域的广泛应用，其在中医药领域的评测研究已成为人工智能与医学交叉的重要前沿。方法上，本文检索Web of Science、PubMed、中国知网与万方数据库（检索时间为2026年6月9日），按预设标准筛选并纳入相关研究，从评测基准构建、能力评价与核心场景评测实践三个方面展开综述，并对现有评测体系的主要局限进行方法学反思。研究发现：评测基准已从标准化考试延伸到辨证思维、处方审核、古汉语理解乃至多模态等细粒度能力评估；通用LLMs与中医专用LLMs在知识回忆和临床推理方面各有短板，且因模型代际、题型与评测协议不一致，跨研究结果的可比性有限；现有评测体系仍以文本封闭假设为主，在多感官诊断、安全底线与真实临床效用等维度存在高估模型真实临床能力的风险。在此基础上，本文提出构建中医药知识驱动的分层评测体系（知识—辨证—治则—方药—疗效），并从多模态数据基础设施、分层评测标准、方法学创新与真实世界验证等方面展望未来方向，以推动LLMs在中医药领域从可用走向可信、可靠。</w:t>
      </w:r>
    </w:p>
    <w:p w14:paraId="3BAA800E">
      <w:pPr>
        <w:spacing w:before="40" w:after="40"/>
        <w:ind w:firstLine="0"/>
        <w:jc w:val="both"/>
      </w:pPr>
      <w:r>
        <w:rPr>
          <w:rFonts w:ascii="宋体" w:hAnsi="宋体" w:eastAsia="宋体"/>
          <w:b/>
          <w:sz w:val="24"/>
        </w:rPr>
        <w:t>关键词：</w:t>
      </w:r>
      <w:r>
        <w:rPr>
          <w:rFonts w:ascii="宋体" w:hAnsi="宋体" w:eastAsia="宋体"/>
          <w:b w:val="0"/>
          <w:sz w:val="24"/>
        </w:rPr>
        <w:t>大语言模型；中医药；评测研究；临床推理；多模态</w:t>
      </w:r>
    </w:p>
    <w:p w14:paraId="120D7A88">
      <w:pPr>
        <w:spacing w:before="120" w:after="60"/>
      </w:pPr>
      <w:r>
        <w:rPr>
          <w:rFonts w:ascii="宋体" w:hAnsi="宋体" w:eastAsia="宋体"/>
          <w:b/>
          <w:sz w:val="28"/>
        </w:rPr>
        <w:t>1. 引言</w:t>
      </w:r>
    </w:p>
    <w:p w14:paraId="76FC5F5D">
      <w:pPr>
        <w:spacing w:before="20" w:after="20"/>
        <w:ind w:firstLine="425"/>
        <w:jc w:val="both"/>
      </w:pPr>
      <w:r>
        <w:rPr>
          <w:rFonts w:ascii="宋体" w:hAnsi="宋体" w:eastAsia="宋体"/>
          <w:b w:val="0"/>
          <w:sz w:val="24"/>
        </w:rPr>
        <w:t>大语言模型具备较强的自然语言理解、生成与推理能力，正在改变医疗健康领域的服务模式[1]。中医药学根植于中国古代哲学，辨证论治强调望闻问切、四诊合参，思维方式偏向整体和经验，与循证医学主导的现代西医诊断逻辑差异明显。LLMs能否真正掌握中医药知识、能否按照中医逻辑进行推理，并在临床辅助和教育场景中安全有效地使用，是当前需要回答的科学问题。</w:t>
      </w:r>
    </w:p>
    <w:p w14:paraId="7A0DA471">
      <w:pPr>
        <w:spacing w:before="20" w:after="20"/>
        <w:ind w:firstLine="425"/>
        <w:jc w:val="both"/>
      </w:pPr>
      <w:r>
        <w:rPr>
          <w:rFonts w:ascii="宋体" w:hAnsi="宋体" w:eastAsia="宋体"/>
          <w:b w:val="0"/>
          <w:sz w:val="24"/>
        </w:rPr>
        <w:t>近年的研究大致沿三条路径展开：一是构建贴合中医药特点的评测基准与数据集，二是评估并比较各类LLMs在中医药任务上的表现，三是开发面向具体中医场景的专用系统并检验其效果。已有综述多关注LLMs在中医药领域的调优技术与应用概览[1]，或着眼于整合医学的宏观判断[2]，对评测研究这一环节的系统梳理仍然不足。</w:t>
      </w:r>
    </w:p>
    <w:p w14:paraId="369C4C24">
      <w:pPr>
        <w:spacing w:before="20" w:after="20"/>
        <w:ind w:firstLine="425"/>
        <w:jc w:val="both"/>
      </w:pPr>
      <w:r>
        <w:rPr>
          <w:rFonts w:ascii="宋体" w:hAnsi="宋体" w:eastAsia="宋体"/>
          <w:b w:val="0"/>
          <w:sz w:val="24"/>
        </w:rPr>
        <w:t>本文针对这一空白，对截至2026年的相关研究做系统梳理（文献检索时间为2026年6月9日）：先回顾评测基准的构建进展，再分析不同类型LLMs的性能评测结果，归纳核心应用场景的评测实践，进而剖析现有评测体系的方法学局限，最后给出未来研究的重点方向。</w:t>
      </w:r>
    </w:p>
    <w:p w14:paraId="63C12477">
      <w:r>
        <w:t>2. 资料与方法</w:t>
      </w:r>
    </w:p>
    <w:p w14:paraId="7367340E">
      <w:r>
        <w:t>2.1 文献检索策略</w:t>
      </w:r>
    </w:p>
    <w:p w14:paraId="06B51559">
      <w:r>
        <w:t>本研究以“大语言模型/大模型”“中医药”与“评测/评估”三组核心概念，于2026年6月9日检索Web of Science核心合集、PubMed、中国知网（CNKI）和万方数据库。英文库采用主题词与自由词组合检索，技术词包括large language model*、LLM*、GPT*、ChatGPT、generative AI、foundation model*，领域词包括traditional Chinese medicine、Chinese medicine、acupuncture、syndrome differentiation、tongue diagnosis等，评测词包括evaluat*、assess*、benchmark*、accuracy、reasoning、examination等，三组取交集，PubMed同时使用主题词Medicine, Chinese Traditional。中文库以“大语言模型”“大模型”“中医药”“中医”“评测”“评估”“基准”等做主题或篇名检索，并排除机器翻译、英文写作等非评测主题。</w:t>
      </w:r>
    </w:p>
    <w:p w14:paraId="235C675F">
      <w:r>
        <w:t>2.2 文献筛选与纳入</w:t>
      </w:r>
    </w:p>
    <w:p w14:paraId="015725D8">
      <w:r>
        <w:t>四个数据库共检出文献276篇（Web of Science 125篇、PubMed 85篇、CNKI 57篇、万方9篇）。经去重、阅读标题与摘要剔除明显不相关文献（如中药药理、临床疗效试验、与评测无关的应用报道等），再经全文复核后纳入与中医药大语言模型评测直接相关的研究34篇，作为本文综述的证据主体，文献筛选流程见图1。此外，引言与讨论部分另引用了少量奠基性文献与相关标准用于背景铺垫和方法学论证，此类叙述性引用不属于上述检索与筛选范围，亦不计入图1的流程统计。</w:t>
      </w:r>
    </w:p>
    <w:p w14:paraId="5387D1E2">
      <w:pPr>
        <w:jc w:val="center"/>
      </w:pPr>
      <w:r>
        <w:rPr>
          <w:b/>
        </w:rPr>
        <w:drawing>
          <wp:inline distT="0" distB="0" distL="114300" distR="114300">
            <wp:extent cx="5578475" cy="4751070"/>
            <wp:effectExtent l="0" t="0" r="3175" b="11430"/>
            <wp:docPr id="1" name="图片 1" descr="未命名绘图-图1 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绘图-图1 PRISMA"/>
                    <pic:cNvPicPr>
                      <a:picLocks noChangeAspect="1"/>
                    </pic:cNvPicPr>
                  </pic:nvPicPr>
                  <pic:blipFill>
                    <a:blip r:embed="rId6"/>
                    <a:stretch>
                      <a:fillRect/>
                    </a:stretch>
                  </pic:blipFill>
                  <pic:spPr>
                    <a:xfrm>
                      <a:off x="0" y="0"/>
                      <a:ext cx="5578475" cy="4751070"/>
                    </a:xfrm>
                    <a:prstGeom prst="rect">
                      <a:avLst/>
                    </a:prstGeom>
                  </pic:spPr>
                </pic:pic>
              </a:graphicData>
            </a:graphic>
          </wp:inline>
        </w:drawing>
      </w:r>
      <w:r>
        <w:rPr>
          <w:b/>
        </w:rPr>
        <w:t>图1　文献检索与筛选流程（PRISMA）</w:t>
      </w:r>
    </w:p>
    <w:p w14:paraId="54B14227">
      <w:pPr>
        <w:spacing w:before="120" w:after="60"/>
      </w:pPr>
      <w:r>
        <w:rPr>
          <w:rFonts w:ascii="宋体" w:hAnsi="宋体" w:eastAsia="宋体"/>
          <w:b/>
          <w:sz w:val="28"/>
        </w:rPr>
        <w:t>3. 中医药领域大语言模型评测研究现状</w:t>
      </w:r>
    </w:p>
    <w:p w14:paraId="3F743A1B">
      <w:pPr>
        <w:spacing w:before="80" w:after="40"/>
      </w:pPr>
      <w:r>
        <w:rPr>
          <w:rFonts w:ascii="宋体" w:hAnsi="宋体" w:eastAsia="宋体"/>
          <w:b/>
          <w:sz w:val="26"/>
        </w:rPr>
        <w:t>3.1 评测基准的构建进展</w:t>
      </w:r>
    </w:p>
    <w:p w14:paraId="3DAC76E9">
      <w:pPr>
        <w:spacing w:before="20" w:after="20"/>
        <w:ind w:firstLine="425"/>
        <w:jc w:val="both"/>
        <w:rPr>
          <w:rFonts w:hint="eastAsia" w:ascii="宋体" w:hAnsi="宋体" w:eastAsia="宋体"/>
          <w:b w:val="0"/>
          <w:sz w:val="24"/>
          <w:lang w:eastAsia="zh-CN"/>
        </w:rPr>
      </w:pPr>
      <w:r>
        <w:rPr>
          <w:rFonts w:ascii="宋体" w:hAnsi="宋体" w:eastAsia="宋体"/>
          <w:b w:val="0"/>
          <w:sz w:val="24"/>
        </w:rPr>
        <w:t>构建高质量、有针对性的评测基准是评估LLMs领域能力的基础。中医药领域的评测基准正从通用知识考察走向深度专业能力评估，从单一模态走向多模态，从静态问答走向动态推理，其代表性类别见表1</w:t>
      </w:r>
      <w:r>
        <w:rPr>
          <w:rFonts w:hint="eastAsia" w:ascii="宋体" w:hAnsi="宋体" w:eastAsia="宋体"/>
          <w:b w:val="0"/>
          <w:sz w:val="24"/>
          <w:lang w:eastAsia="zh-CN"/>
        </w:rPr>
        <w:t>。</w:t>
      </w:r>
    </w:p>
    <w:p w14:paraId="762C511A">
      <w:pPr>
        <w:spacing w:before="20" w:after="20"/>
        <w:ind w:firstLine="425"/>
        <w:jc w:val="both"/>
        <w:rPr>
          <w:rFonts w:hint="eastAsia" w:ascii="宋体" w:hAnsi="宋体" w:eastAsia="宋体"/>
          <w:b w:val="0"/>
          <w:sz w:val="24"/>
          <w:lang w:eastAsia="zh-CN"/>
        </w:rPr>
      </w:pPr>
      <w:r>
        <w:rPr>
          <w:b/>
        </w:rPr>
        <w:t>表1　中医药大语言模型评测基准分类</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66442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279AB0D6">
            <w:pPr>
              <w:spacing w:after="0" w:line="240" w:lineRule="auto"/>
            </w:pPr>
            <w:r>
              <w:rPr>
                <w:b/>
                <w:sz w:val="21"/>
              </w:rPr>
              <w:t>类别</w:t>
            </w:r>
          </w:p>
        </w:tc>
        <w:tc>
          <w:tcPr>
            <w:tcW w:w="2929" w:type="dxa"/>
          </w:tcPr>
          <w:p w14:paraId="04F2F50E">
            <w:pPr>
              <w:spacing w:after="0" w:line="240" w:lineRule="auto"/>
            </w:pPr>
            <w:r>
              <w:rPr>
                <w:b/>
                <w:sz w:val="21"/>
              </w:rPr>
              <w:t>代表性数据集/基准</w:t>
            </w:r>
          </w:p>
        </w:tc>
        <w:tc>
          <w:tcPr>
            <w:tcW w:w="2929" w:type="dxa"/>
          </w:tcPr>
          <w:p w14:paraId="6C54B7FB">
            <w:pPr>
              <w:spacing w:after="0" w:line="240" w:lineRule="auto"/>
            </w:pPr>
            <w:r>
              <w:rPr>
                <w:b/>
                <w:sz w:val="21"/>
              </w:rPr>
              <w:t>主要评测对象</w:t>
            </w:r>
          </w:p>
        </w:tc>
      </w:tr>
      <w:tr w14:paraId="657F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1D065958">
            <w:pPr>
              <w:spacing w:after="0" w:line="240" w:lineRule="auto"/>
            </w:pPr>
            <w:r>
              <w:rPr>
                <w:sz w:val="21"/>
              </w:rPr>
              <w:t>考试类</w:t>
            </w:r>
          </w:p>
        </w:tc>
        <w:tc>
          <w:tcPr>
            <w:tcW w:w="2929" w:type="dxa"/>
          </w:tcPr>
          <w:p w14:paraId="633F739B">
            <w:pPr>
              <w:spacing w:after="0" w:line="240" w:lineRule="auto"/>
            </w:pPr>
            <w:r>
              <w:rPr>
                <w:sz w:val="21"/>
              </w:rPr>
              <w:t>中医执业医师、研究生入学考试题（CPE-TCM 等）</w:t>
            </w:r>
          </w:p>
        </w:tc>
        <w:tc>
          <w:tcPr>
            <w:tcW w:w="2929" w:type="dxa"/>
          </w:tcPr>
          <w:p w14:paraId="5FC75FF7">
            <w:pPr>
              <w:spacing w:after="0" w:line="240" w:lineRule="auto"/>
            </w:pPr>
            <w:r>
              <w:rPr>
                <w:sz w:val="21"/>
              </w:rPr>
              <w:t>知识记忆与基础能力</w:t>
            </w:r>
          </w:p>
        </w:tc>
      </w:tr>
      <w:tr w14:paraId="2AB6C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7079E4F">
            <w:pPr>
              <w:spacing w:after="0" w:line="240" w:lineRule="auto"/>
            </w:pPr>
            <w:r>
              <w:rPr>
                <w:sz w:val="21"/>
              </w:rPr>
              <w:t>辨证推理类</w:t>
            </w:r>
          </w:p>
        </w:tc>
        <w:tc>
          <w:tcPr>
            <w:tcW w:w="2929" w:type="dxa"/>
          </w:tcPr>
          <w:p w14:paraId="4905E897">
            <w:pPr>
              <w:spacing w:after="0" w:line="240" w:lineRule="auto"/>
            </w:pPr>
            <w:r>
              <w:rPr>
                <w:sz w:val="21"/>
              </w:rPr>
              <w:t>辨证思维数据集、DCB、ATCMD-Bench</w:t>
            </w:r>
          </w:p>
        </w:tc>
        <w:tc>
          <w:tcPr>
            <w:tcW w:w="2929" w:type="dxa"/>
          </w:tcPr>
          <w:p w14:paraId="6D45919D">
            <w:pPr>
              <w:spacing w:after="0" w:line="240" w:lineRule="auto"/>
            </w:pPr>
            <w:r>
              <w:rPr>
                <w:sz w:val="21"/>
              </w:rPr>
              <w:t>临床推理与辨证思维</w:t>
            </w:r>
          </w:p>
        </w:tc>
      </w:tr>
      <w:tr w14:paraId="381EF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1B0241EB">
            <w:pPr>
              <w:spacing w:after="0" w:line="240" w:lineRule="auto"/>
            </w:pPr>
            <w:r>
              <w:rPr>
                <w:sz w:val="21"/>
              </w:rPr>
              <w:t>安全类</w:t>
            </w:r>
          </w:p>
        </w:tc>
        <w:tc>
          <w:tcPr>
            <w:tcW w:w="2929" w:type="dxa"/>
          </w:tcPr>
          <w:p w14:paraId="1B716F33">
            <w:pPr>
              <w:spacing w:after="0" w:line="240" w:lineRule="auto"/>
            </w:pPr>
            <w:r>
              <w:rPr>
                <w:sz w:val="21"/>
              </w:rPr>
              <w:t>TCMEval-PA、错误信息检测框架</w:t>
            </w:r>
          </w:p>
        </w:tc>
        <w:tc>
          <w:tcPr>
            <w:tcW w:w="2929" w:type="dxa"/>
          </w:tcPr>
          <w:p w14:paraId="0D4A1248">
            <w:pPr>
              <w:spacing w:after="0" w:line="240" w:lineRule="auto"/>
            </w:pPr>
            <w:r>
              <w:rPr>
                <w:sz w:val="21"/>
              </w:rPr>
              <w:t>用药安全与风险识别</w:t>
            </w:r>
          </w:p>
        </w:tc>
      </w:tr>
      <w:tr w14:paraId="12C6C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0C92657">
            <w:pPr>
              <w:spacing w:after="0" w:line="240" w:lineRule="auto"/>
            </w:pPr>
            <w:r>
              <w:rPr>
                <w:sz w:val="21"/>
              </w:rPr>
              <w:t>古籍类</w:t>
            </w:r>
          </w:p>
        </w:tc>
        <w:tc>
          <w:tcPr>
            <w:tcW w:w="2929" w:type="dxa"/>
          </w:tcPr>
          <w:p w14:paraId="0F331A77">
            <w:pPr>
              <w:spacing w:after="0" w:line="240" w:lineRule="auto"/>
            </w:pPr>
            <w:r>
              <w:rPr>
                <w:sz w:val="21"/>
              </w:rPr>
              <w:t>负屃</w:t>
            </w:r>
          </w:p>
        </w:tc>
        <w:tc>
          <w:tcPr>
            <w:tcW w:w="2929" w:type="dxa"/>
          </w:tcPr>
          <w:p w14:paraId="38E89C72">
            <w:pPr>
              <w:spacing w:after="0" w:line="240" w:lineRule="auto"/>
            </w:pPr>
            <w:r>
              <w:rPr>
                <w:sz w:val="21"/>
              </w:rPr>
              <w:t>古汉语理解能力</w:t>
            </w:r>
          </w:p>
        </w:tc>
      </w:tr>
      <w:tr w14:paraId="38ACF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4F4DD285">
            <w:pPr>
              <w:spacing w:after="0" w:line="240" w:lineRule="auto"/>
            </w:pPr>
            <w:r>
              <w:rPr>
                <w:sz w:val="21"/>
              </w:rPr>
              <w:t>多模态类</w:t>
            </w:r>
          </w:p>
        </w:tc>
        <w:tc>
          <w:tcPr>
            <w:tcW w:w="2929" w:type="dxa"/>
          </w:tcPr>
          <w:p w14:paraId="175D8A38">
            <w:pPr>
              <w:spacing w:after="0" w:line="240" w:lineRule="auto"/>
            </w:pPr>
            <w:r>
              <w:rPr>
                <w:sz w:val="21"/>
              </w:rPr>
              <w:t>TongueVLM、舌象数据集</w:t>
            </w:r>
          </w:p>
        </w:tc>
        <w:tc>
          <w:tcPr>
            <w:tcW w:w="2929" w:type="dxa"/>
          </w:tcPr>
          <w:p w14:paraId="5717558E">
            <w:pPr>
              <w:spacing w:after="0" w:line="240" w:lineRule="auto"/>
            </w:pPr>
            <w:r>
              <w:rPr>
                <w:sz w:val="21"/>
              </w:rPr>
              <w:t>多模态感知与四诊合参</w:t>
            </w:r>
          </w:p>
        </w:tc>
      </w:tr>
    </w:tbl>
    <w:p w14:paraId="018C892E">
      <w:pPr>
        <w:spacing w:before="20" w:after="20"/>
        <w:ind w:firstLine="425"/>
        <w:jc w:val="both"/>
      </w:pPr>
      <w:r>
        <w:rPr>
          <w:rFonts w:ascii="宋体" w:hAnsi="宋体" w:eastAsia="宋体"/>
          <w:b w:val="0"/>
          <w:sz w:val="24"/>
        </w:rPr>
        <w:t>评测体系的总体演化路径见图2。</w:t>
      </w:r>
    </w:p>
    <w:p w14:paraId="343A83A2">
      <w:pPr>
        <w:jc w:val="center"/>
      </w:pPr>
    </w:p>
    <w:p w14:paraId="1340C6A9">
      <w:pPr>
        <w:pBdr>
          <w:top w:val="single" w:color="000000" w:sz="6" w:space="4"/>
          <w:left w:val="single" w:color="000000" w:sz="6" w:space="4"/>
          <w:bottom w:val="single" w:color="000000" w:sz="6" w:space="4"/>
          <w:right w:val="single" w:color="000000" w:sz="6" w:space="4"/>
        </w:pBdr>
        <w:jc w:val="center"/>
      </w:pPr>
      <w:r>
        <w:t>考试评测</w:t>
      </w:r>
    </w:p>
    <w:p w14:paraId="103B444C">
      <w:pPr>
        <w:jc w:val="center"/>
      </w:pPr>
      <w:r>
        <w:t>↓</w:t>
      </w:r>
    </w:p>
    <w:p w14:paraId="7248F663">
      <w:pPr>
        <w:pBdr>
          <w:top w:val="single" w:color="000000" w:sz="6" w:space="4"/>
          <w:left w:val="single" w:color="000000" w:sz="6" w:space="4"/>
          <w:bottom w:val="single" w:color="000000" w:sz="6" w:space="4"/>
          <w:right w:val="single" w:color="000000" w:sz="6" w:space="4"/>
        </w:pBdr>
        <w:jc w:val="center"/>
      </w:pPr>
      <w:r>
        <w:t>知识评测</w:t>
      </w:r>
    </w:p>
    <w:p w14:paraId="1D926CB4">
      <w:pPr>
        <w:jc w:val="center"/>
      </w:pPr>
      <w:r>
        <w:t>↓</w:t>
      </w:r>
    </w:p>
    <w:p w14:paraId="05CA8B64">
      <w:pPr>
        <w:pBdr>
          <w:top w:val="single" w:color="000000" w:sz="6" w:space="4"/>
          <w:left w:val="single" w:color="000000" w:sz="6" w:space="4"/>
          <w:bottom w:val="single" w:color="000000" w:sz="6" w:space="4"/>
          <w:right w:val="single" w:color="000000" w:sz="6" w:space="4"/>
        </w:pBdr>
        <w:jc w:val="center"/>
      </w:pPr>
      <w:r>
        <w:t>推理评测</w:t>
      </w:r>
    </w:p>
    <w:p w14:paraId="37C497B9">
      <w:pPr>
        <w:jc w:val="center"/>
      </w:pPr>
      <w:r>
        <w:t>↓</w:t>
      </w:r>
    </w:p>
    <w:p w14:paraId="3EF16373">
      <w:pPr>
        <w:pBdr>
          <w:top w:val="single" w:color="000000" w:sz="6" w:space="4"/>
          <w:left w:val="single" w:color="000000" w:sz="6" w:space="4"/>
          <w:bottom w:val="single" w:color="000000" w:sz="6" w:space="4"/>
          <w:right w:val="single" w:color="000000" w:sz="6" w:space="4"/>
        </w:pBdr>
        <w:jc w:val="center"/>
      </w:pPr>
      <w:r>
        <w:t>多模态评测</w:t>
      </w:r>
    </w:p>
    <w:p w14:paraId="6A85B629">
      <w:pPr>
        <w:jc w:val="center"/>
      </w:pPr>
      <w:r>
        <w:t>↓</w:t>
      </w:r>
    </w:p>
    <w:p w14:paraId="28535D69">
      <w:pPr>
        <w:pBdr>
          <w:top w:val="single" w:color="000000" w:sz="6" w:space="4"/>
          <w:left w:val="single" w:color="000000" w:sz="6" w:space="4"/>
          <w:bottom w:val="single" w:color="000000" w:sz="6" w:space="4"/>
          <w:right w:val="single" w:color="000000" w:sz="6" w:space="4"/>
        </w:pBdr>
        <w:jc w:val="center"/>
      </w:pPr>
      <w:r>
        <w:t>真实世界评测</w:t>
      </w:r>
    </w:p>
    <w:p w14:paraId="645742FA">
      <w:pPr>
        <w:jc w:val="center"/>
      </w:pPr>
      <w:r>
        <w:rPr>
          <w:b/>
        </w:rPr>
        <w:t>图2　中医药大语言模型评测体系演化路径</w:t>
      </w:r>
    </w:p>
    <w:p w14:paraId="3D039971">
      <w:pPr>
        <w:spacing w:before="40" w:after="20"/>
        <w:ind w:firstLine="425"/>
        <w:jc w:val="both"/>
      </w:pPr>
      <w:r>
        <w:rPr>
          <w:rFonts w:ascii="宋体" w:hAnsi="宋体" w:eastAsia="宋体"/>
          <w:b/>
          <w:sz w:val="24"/>
        </w:rPr>
        <w:t>（1）标准化考试与教材知识基准</w:t>
      </w:r>
    </w:p>
    <w:p w14:paraId="752CFFEF">
      <w:pPr>
        <w:spacing w:before="20" w:after="20"/>
        <w:ind w:firstLine="425"/>
        <w:jc w:val="both"/>
      </w:pPr>
      <w:r>
        <w:rPr>
          <w:rFonts w:ascii="宋体" w:hAnsi="宋体" w:eastAsia="宋体"/>
          <w:b w:val="0"/>
          <w:sz w:val="24"/>
        </w:rPr>
        <w:t>早期评测多直接采用或改编中医药标准化考试题目，权威性和客观性较好。已有研究以中医执业医师资格考试、研究生入学考试（CPE-TCM）等题目作为测试集[3]。Jang等[4]用韩国国家韩医师执照考试（K-NLEKMD）评估GPT-4，结果显示模型能够通过考试，但在本土化程度高的科目上表现偏弱。曹露等[5]构建了覆盖13个学科、近3万道题的大规模测评基准，所有被测模型在选择题上的准确率都不足60%，说明通用模型直接处理中医专业问题存在困难。这类基准便于考查模型对事实性知识的记忆和简单应用，却难以反映中医辨证思维过程。</w:t>
      </w:r>
    </w:p>
    <w:p w14:paraId="2CCC304A">
      <w:pPr>
        <w:spacing w:before="40" w:after="20"/>
        <w:ind w:firstLine="425"/>
        <w:jc w:val="both"/>
      </w:pPr>
      <w:r>
        <w:rPr>
          <w:rFonts w:ascii="宋体" w:hAnsi="宋体" w:eastAsia="宋体"/>
          <w:b/>
          <w:sz w:val="24"/>
        </w:rPr>
        <w:t>（2）辨证思维与临床推理专项基准</w:t>
      </w:r>
    </w:p>
    <w:p w14:paraId="110EE716">
      <w:pPr>
        <w:spacing w:before="20" w:after="20"/>
        <w:ind w:firstLine="425"/>
        <w:jc w:val="both"/>
      </w:pPr>
      <w:r>
        <w:rPr>
          <w:rFonts w:ascii="宋体" w:hAnsi="宋体" w:eastAsia="宋体"/>
          <w:b w:val="0"/>
          <w:sz w:val="24"/>
        </w:rPr>
        <w:t>为评估LLMs的中医临床思维能力，研究者构建了更复杂的数据集。郝梦[6]将中医辨证过程形式化为识别抽取、病机推断、证候推断、解释总结的思维链，建立了包含900例标注病案的数据集和四维量化评估体系。Chen等[7]把辨证拆分为病机推断、证候推断和诊疗建议三个核心任务，构建了对应的</w:t>
      </w:r>
      <w:bookmarkStart w:id="0" w:name="_GoBack"/>
      <w:bookmarkEnd w:id="0"/>
      <w:r>
        <w:rPr>
          <w:rFonts w:ascii="宋体" w:hAnsi="宋体" w:eastAsia="宋体"/>
          <w:b w:val="0"/>
          <w:sz w:val="24"/>
        </w:rPr>
        <w:t>评估数据集。DiagX-DT框架[8]同样基于诊断选择数据集，通过整合辨证思维与排除推理来提高诊断准确性。近期评测开始从静态病案转向动态、交互式场景，如ATCMD-Bench通过多智能体模拟构建动态诊断环境[9]，DCB则覆盖问诊、辨证、处方、分析的全流程并引入扰动以贴近真实接诊[10]。</w:t>
      </w:r>
    </w:p>
    <w:p w14:paraId="6974989F">
      <w:pPr>
        <w:spacing w:before="40" w:after="20"/>
        <w:ind w:firstLine="425"/>
        <w:jc w:val="both"/>
      </w:pPr>
      <w:r>
        <w:rPr>
          <w:rFonts w:ascii="宋体" w:hAnsi="宋体" w:eastAsia="宋体"/>
          <w:b/>
          <w:sz w:val="24"/>
        </w:rPr>
        <w:t>（3）安全与特定任务专项基准</w:t>
      </w:r>
    </w:p>
    <w:p w14:paraId="0DF93B92">
      <w:pPr>
        <w:spacing w:before="20" w:after="20"/>
        <w:ind w:firstLine="425"/>
        <w:jc w:val="both"/>
      </w:pPr>
      <w:r>
        <w:rPr>
          <w:rFonts w:ascii="宋体" w:hAnsi="宋体" w:eastAsia="宋体"/>
          <w:b w:val="0"/>
          <w:sz w:val="24"/>
        </w:rPr>
        <w:t>随着对模型安全性的重视，针对特定风险的专项基准陆续出现。Zheng等[11]指出医学LLMs存在正负向能力鸿沟，即模型善于选出正确答案，却难以识别错误信息，并据此设计了包含标准题、错误选项测试、误导性引导测试和虚构实体测试四种范式的安全评估框架。Wang等[12]面向中药处方审核这一高风险场景，构建了TCMEval-PA基准，涵盖处方规范性、适宜性等安全维度。TCM-Align框架[13]从教材自动生成与课程大纲对齐的多项选择题，设计了含源一致性准确度在内的六项指标，为教育应用提供数据生成与评测工具。</w:t>
      </w:r>
    </w:p>
    <w:p w14:paraId="51141721">
      <w:pPr>
        <w:spacing w:before="40" w:after="20"/>
        <w:ind w:firstLine="425"/>
        <w:jc w:val="both"/>
      </w:pPr>
      <w:r>
        <w:rPr>
          <w:rFonts w:ascii="宋体" w:hAnsi="宋体" w:eastAsia="宋体"/>
          <w:b/>
          <w:sz w:val="24"/>
        </w:rPr>
        <w:t>（4）古汉语理解与多模态探索基准</w:t>
      </w:r>
    </w:p>
    <w:p w14:paraId="199D6CFF">
      <w:pPr>
        <w:spacing w:before="20" w:after="20"/>
        <w:ind w:firstLine="425"/>
        <w:jc w:val="both"/>
      </w:pPr>
      <w:r>
        <w:rPr>
          <w:rFonts w:ascii="宋体" w:hAnsi="宋体" w:eastAsia="宋体"/>
          <w:b w:val="0"/>
          <w:sz w:val="24"/>
        </w:rPr>
        <w:t>大量中医药知识保存在文言文古籍中。赵尚卿等[14]提出的负屃基准评估了LLMs在古汉语文本理解与生成上的能力，发现模型在需要专业知识和文化理解的生成任务上性能明显下降，这关系到LLMs能否有效挖掘中医古籍。多模态评测也开始起步：Yu等[15]结合舌象与临床数据建立模型用于儿童过敏性鼻炎的寒热辨证，TongueVLM将视觉编码与语言模型结合，面向舌象描述生成与体质推理[16]，Fu等[17]用上下文多任务学习缓解舌诊小样本标注不足的问题。总体看，多数LLM评测仍局限于文本模态，多模态基准的数量和规模都明显不足。</w:t>
      </w:r>
    </w:p>
    <w:p w14:paraId="250B3BE7">
      <w:pPr>
        <w:spacing w:before="80" w:after="40"/>
      </w:pPr>
      <w:r>
        <w:rPr>
          <w:rFonts w:ascii="宋体" w:hAnsi="宋体" w:eastAsia="宋体"/>
          <w:b/>
          <w:sz w:val="26"/>
        </w:rPr>
        <w:t>3.2 不同类型LLMs的性能评测比较</w:t>
      </w:r>
    </w:p>
    <w:p w14:paraId="1B62B2A6">
      <w:pPr>
        <w:spacing w:before="20" w:after="20"/>
        <w:ind w:firstLine="425"/>
        <w:jc w:val="both"/>
      </w:pPr>
      <w:r>
        <w:rPr>
          <w:rFonts w:ascii="宋体" w:hAnsi="宋体" w:eastAsia="宋体"/>
          <w:b w:val="0"/>
          <w:sz w:val="24"/>
        </w:rPr>
        <w:t>在上述基准之上，许多研究对通用LLMs、医学LLMs与中医专用LLMs做了横向比较[18]，从知识回忆、临床推理、安全性、文化适应性四个维度刻画了不同模型的能力边界。</w:t>
      </w:r>
    </w:p>
    <w:p w14:paraId="12EBAC4E">
      <w:pPr>
        <w:spacing w:before="40" w:after="20"/>
        <w:ind w:firstLine="425"/>
        <w:jc w:val="both"/>
      </w:pPr>
      <w:r>
        <w:rPr>
          <w:rFonts w:ascii="宋体" w:hAnsi="宋体" w:eastAsia="宋体"/>
          <w:b/>
          <w:sz w:val="24"/>
        </w:rPr>
        <w:t>（1）知识回忆能力</w:t>
      </w:r>
    </w:p>
    <w:p w14:paraId="6991751F">
      <w:pPr>
        <w:spacing w:before="20" w:after="20"/>
        <w:ind w:firstLine="425"/>
        <w:jc w:val="both"/>
      </w:pPr>
      <w:r>
        <w:rPr>
          <w:rFonts w:ascii="宋体" w:hAnsi="宋体" w:eastAsia="宋体"/>
          <w:b w:val="0"/>
          <w:sz w:val="24"/>
        </w:rPr>
        <w:t>通用LLMs（如GPT-4、ChatGLM、Baichuan、Qwen系列）在中医药基础知识问答和标准化考试中具备较强的零样本或少样本学习能力。Li等[3]对11个模型在801道教材题上的评测显示，大规模模型单选题准确率为69.01%~90.92%、判断题为52.34%~59.38%，但多选题准确率大幅下降；曹露等[5]基于13个学科、近3万道考试与教材题的评测则发现，所有模型选择题准确率均不足60%，其中Baichuan单选题仅36.07%。两项研究的准确率差距较大，但并不矛盾，差异主要来自三方面：一是模型代际与规模不同，曹露等测试的多为2023年前后的GPT-3.5、ChatGLM3及中文医疗小模型，Li等则纳入了GPT-4、Qwen等更新、更大的模型，90.92%正出自大规模模型；二是题型与计分口径不同，单选题的难度和评分都宽于多选题（多选多为全部选对才得分），将曹露的多选结果与Li的单选结果直接比较会放大差距；三是数据集来源与评测设置不同，题库规模、学科覆盖、提示语言（中文提示通常更优）以及零样本或少样本设置都会影响结果。可见脱离模型版本、题型和评测协议谈准确率，跨研究的数字并不可比，这也反映出当前中医药LLM评测缺乏统一、可复现的协议。经过领域微调，中医专用LLMs在知识回忆任务上往往能超过同规模的通用基础模型，TCMChat[19]、XuanHuGPT[20]、Qibo[21]在各自基准上都优于通用模型。Li等[3]还发现轻量级模型Qwen3-1.7B的表现超过了领域专用的TCMChat-7B，说明有效的领域优化策略可能比单纯增大模型规模更关键。</w:t>
      </w:r>
    </w:p>
    <w:p w14:paraId="16F1F264">
      <w:pPr>
        <w:spacing w:before="40" w:after="20"/>
        <w:ind w:firstLine="425"/>
        <w:jc w:val="both"/>
      </w:pPr>
      <w:r>
        <w:rPr>
          <w:rFonts w:ascii="宋体" w:hAnsi="宋体" w:eastAsia="宋体"/>
          <w:b/>
          <w:sz w:val="24"/>
        </w:rPr>
        <w:t>（2）临床推理能力</w:t>
      </w:r>
    </w:p>
    <w:p w14:paraId="55149761">
      <w:pPr>
        <w:spacing w:before="20" w:after="20"/>
        <w:ind w:firstLine="425"/>
        <w:jc w:val="both"/>
      </w:pPr>
      <w:r>
        <w:rPr>
          <w:rFonts w:ascii="宋体" w:hAnsi="宋体" w:eastAsia="宋体"/>
          <w:b w:val="0"/>
          <w:sz w:val="24"/>
        </w:rPr>
        <w:t>在需要综合知识进行临床推理的任务上，各类模型都面临较大困难，症状诊断通常被视为最具挑战性的推理类别[3]。Chen等[7]的评估显示，未经优化的通用和中医专用LLMs在病机推断和证候推断上准确率有限，而采用其提出的开卷考试式指令微调方法后，模型性能明显提升。DiagX-DT框架[8]引入外部知识库做迭代排除推理，也提高了诊断的准确性和鲁棒性。这些结果说明，单纯灌输知识不足以让模型掌握中医辨证思维，需要用特定方法引导模型按照中医逻辑推理[7]。</w:t>
      </w:r>
    </w:p>
    <w:p w14:paraId="06F21FF5">
      <w:pPr>
        <w:spacing w:before="40" w:after="20"/>
        <w:ind w:firstLine="425"/>
        <w:jc w:val="both"/>
      </w:pPr>
      <w:r>
        <w:rPr>
          <w:rFonts w:ascii="宋体" w:hAnsi="宋体" w:eastAsia="宋体"/>
          <w:b/>
          <w:sz w:val="24"/>
        </w:rPr>
        <w:t>（3）安全性评估</w:t>
      </w:r>
    </w:p>
    <w:p w14:paraId="5F27850C">
      <w:pPr>
        <w:spacing w:before="20" w:after="20"/>
        <w:ind w:firstLine="425"/>
        <w:jc w:val="both"/>
      </w:pPr>
      <w:r>
        <w:rPr>
          <w:rFonts w:ascii="宋体" w:hAnsi="宋体" w:eastAsia="宋体"/>
          <w:b w:val="0"/>
          <w:sz w:val="24"/>
        </w:rPr>
        <w:t>Zheng等[11]的测试发现，一些在标准考试中表现良好的模型，在错误信息检测任务中准确率会跌到20%~39%，会答题与能辨伪之间存在明显落差。Wang等[12]的处方审核基准直接对应用药安全这一核心临床风险。Zhao等[22]从临床实践指南符合度的角度评估了八个模型，发现其在用药安全提示和指南一致性上参差不齐。相关评估还表明，即便在中医考试中合格的模型，其生成内容的内部逻辑一致性、与外部知识的一致性及安全性仍需严格审查[23]。未来的评测应把安全性放在与准确性同等、甚至更重要的位置[11]。</w:t>
      </w:r>
    </w:p>
    <w:p w14:paraId="094449A3">
      <w:pPr>
        <w:spacing w:before="40" w:after="20"/>
        <w:ind w:firstLine="425"/>
        <w:jc w:val="both"/>
      </w:pPr>
      <w:r>
        <w:rPr>
          <w:rFonts w:ascii="宋体" w:hAnsi="宋体" w:eastAsia="宋体"/>
          <w:b/>
          <w:sz w:val="24"/>
        </w:rPr>
        <w:t>（4）文化适应性</w:t>
      </w:r>
    </w:p>
    <w:p w14:paraId="0425E742">
      <w:pPr>
        <w:spacing w:before="20" w:after="20"/>
        <w:ind w:firstLine="425"/>
        <w:jc w:val="both"/>
      </w:pPr>
      <w:r>
        <w:rPr>
          <w:rFonts w:ascii="宋体" w:hAnsi="宋体" w:eastAsia="宋体"/>
          <w:b w:val="0"/>
          <w:sz w:val="24"/>
        </w:rPr>
        <w:t>语言和文化背景会明显影响模型表现。Jang等[4]对GPT-4在韩医考试中的评估，反映出模型处理文化适应性医学知识时的困难；Ghanad等[24]比较GPT与ERNIE在中国中医执业医师考试上的表现，国产ERNIE-4.0以81.7%领先，明显高于GPT-4 turbo的50.7%，而在西医内科题上各模型差距很小。Zhu等[25]进一步指出不同国家研发的模型在中医任务上存在偏差，强调本地化模型的必要性。Li等[3]也发现多数模型在中文提示下表现更好。要构建具备跨文化中医药服务能力的LLM，评测数据需要覆盖多语言和多地域。</w:t>
      </w:r>
    </w:p>
    <w:p w14:paraId="7E904054">
      <w:pPr>
        <w:spacing w:before="80" w:after="40"/>
      </w:pPr>
      <w:r>
        <w:rPr>
          <w:rFonts w:ascii="宋体" w:hAnsi="宋体" w:eastAsia="宋体"/>
          <w:b/>
          <w:sz w:val="26"/>
        </w:rPr>
        <w:t>3.3 中医药核心场景下的评测实践</w:t>
      </w:r>
    </w:p>
    <w:p w14:paraId="796447B3">
      <w:pPr>
        <w:spacing w:before="20" w:after="20"/>
        <w:ind w:firstLine="425"/>
        <w:jc w:val="both"/>
      </w:pPr>
      <w:r>
        <w:rPr>
          <w:rFonts w:ascii="宋体" w:hAnsi="宋体" w:eastAsia="宋体"/>
          <w:b w:val="0"/>
          <w:sz w:val="24"/>
        </w:rPr>
        <w:t>除横向比较模型能力外，评测还用于检验集成系统在具体场景中的落地效果，关注点从单纯的答题准确率转向系统如何融合外部知识、与专家意见是否一致以及能否支撑完整诊疗流程。</w:t>
      </w:r>
    </w:p>
    <w:p w14:paraId="2E122161">
      <w:pPr>
        <w:spacing w:before="40" w:after="20"/>
        <w:ind w:firstLine="425"/>
        <w:jc w:val="both"/>
      </w:pPr>
      <w:r>
        <w:rPr>
          <w:rFonts w:ascii="宋体" w:hAnsi="宋体" w:eastAsia="宋体"/>
          <w:b/>
          <w:sz w:val="24"/>
        </w:rPr>
        <w:t>（1）知识增强型问答与辨证系统</w:t>
      </w:r>
    </w:p>
    <w:p w14:paraId="79760088">
      <w:pPr>
        <w:spacing w:before="20" w:after="20"/>
        <w:ind w:firstLine="425"/>
        <w:jc w:val="both"/>
      </w:pPr>
      <w:r>
        <w:rPr>
          <w:rFonts w:ascii="宋体" w:hAnsi="宋体" w:eastAsia="宋体"/>
          <w:b w:val="0"/>
          <w:sz w:val="24"/>
        </w:rPr>
        <w:t>为提升回答的准确性与可靠性，研究者多在LLM之外引入知识库、知识图谱与检索增强。TCMChat[19]、Tianyi[26]、XuanHuGPT[20]等中医专用模型以高质量知识库支撑问答；知识图谱增强的问答系统[27]与融合知识图谱的医案问答系统[28]通过结构化知识约束生成、减少臆测。在辨证方向，Lingdan通过思维链做症状分析与中成药推荐[29]，DiagX-DT结合排除推理用于诊断[8]，AcuGPT-Agent面向针灸治疗不孕症集成领域模型、知识图谱与检索机制[30]。这类系统的评测不只看准确率，更强调推理逻辑与专家意见的一致性。</w:t>
      </w:r>
    </w:p>
    <w:p w14:paraId="4E7A7336">
      <w:pPr>
        <w:spacing w:before="40" w:after="20"/>
        <w:ind w:firstLine="425"/>
        <w:jc w:val="both"/>
      </w:pPr>
      <w:r>
        <w:rPr>
          <w:rFonts w:ascii="宋体" w:hAnsi="宋体" w:eastAsia="宋体"/>
          <w:b/>
          <w:sz w:val="24"/>
        </w:rPr>
        <w:t>（2）处方审核与方剂应用</w:t>
      </w:r>
    </w:p>
    <w:p w14:paraId="2E8124F7">
      <w:pPr>
        <w:spacing w:before="20" w:after="20"/>
        <w:ind w:firstLine="425"/>
        <w:jc w:val="both"/>
      </w:pPr>
      <w:r>
        <w:rPr>
          <w:rFonts w:ascii="宋体" w:hAnsi="宋体" w:eastAsia="宋体"/>
          <w:b w:val="0"/>
          <w:sz w:val="24"/>
        </w:rPr>
        <w:t>Wang等[31]用加权投票集成多个微调LLM做方剂分类，提高了分类准确性；Lingdan在草药处方推荐任务上取得领先性能[29]；TCMEval-PA基准用于评估模型审核处方安全性的能力[12]。这些评测强调模型对中药配伍禁忌、证候与方药对应关系等复杂知识的掌握。</w:t>
      </w:r>
    </w:p>
    <w:p w14:paraId="247104B5">
      <w:pPr>
        <w:spacing w:before="40" w:after="20"/>
        <w:ind w:firstLine="425"/>
        <w:jc w:val="both"/>
      </w:pPr>
      <w:r>
        <w:rPr>
          <w:rFonts w:ascii="宋体" w:hAnsi="宋体" w:eastAsia="宋体"/>
          <w:b/>
          <w:sz w:val="24"/>
        </w:rPr>
        <w:t>（3）多模态与真实交互场景</w:t>
      </w:r>
    </w:p>
    <w:p w14:paraId="6EF5C4CC">
      <w:pPr>
        <w:spacing w:before="20" w:after="20"/>
        <w:ind w:firstLine="425"/>
        <w:jc w:val="both"/>
      </w:pPr>
      <w:r>
        <w:rPr>
          <w:rFonts w:ascii="宋体" w:hAnsi="宋体" w:eastAsia="宋体"/>
          <w:b w:val="0"/>
          <w:sz w:val="24"/>
        </w:rPr>
        <w:t>中医诊疗依赖望闻问切的多感官信息，相关系统与评测正向多模态和交互式延伸。TongueVLM面向舌象描述与体质推理，模拟医师依据舌象特征进行专业对话[16]；DCB等动态基准以医患对话形式还原接诊过程[10]。这类场景对模型的跨模态理解和多轮交互能力提出了文本问答之外的新要求。</w:t>
      </w:r>
    </w:p>
    <w:p w14:paraId="37BB7E5C">
      <w:pPr>
        <w:spacing w:before="40" w:after="20"/>
        <w:ind w:firstLine="425"/>
        <w:jc w:val="both"/>
      </w:pPr>
      <w:r>
        <w:rPr>
          <w:rFonts w:ascii="宋体" w:hAnsi="宋体" w:eastAsia="宋体"/>
          <w:b/>
          <w:sz w:val="24"/>
        </w:rPr>
        <w:t>（4）教育与考试辅助</w:t>
      </w:r>
    </w:p>
    <w:p w14:paraId="296FC302">
      <w:pPr>
        <w:spacing w:before="20" w:after="20"/>
        <w:ind w:firstLine="425"/>
        <w:jc w:val="both"/>
      </w:pPr>
      <w:r>
        <w:rPr>
          <w:rFonts w:ascii="宋体" w:hAnsi="宋体" w:eastAsia="宋体"/>
          <w:b w:val="0"/>
          <w:sz w:val="24"/>
        </w:rPr>
        <w:t>TCM-Align可自动生成与课程大纲对齐的多项选择题[13]。多项研究评估了LLMs在中医研究生、执业医师考试中的表现[23]，除答题正确率外，还分析其解题逻辑和信息使用方式，以判断其作为教育工具的可行性和潜在风险。</w:t>
      </w:r>
    </w:p>
    <w:p w14:paraId="79B65A5A">
      <w:pPr>
        <w:spacing w:before="40" w:after="20"/>
        <w:ind w:firstLine="425"/>
        <w:jc w:val="both"/>
      </w:pPr>
      <w:r>
        <w:rPr>
          <w:rFonts w:ascii="宋体" w:hAnsi="宋体" w:eastAsia="宋体"/>
          <w:b/>
          <w:sz w:val="24"/>
        </w:rPr>
        <w:t>（5）科研与知识发现</w:t>
      </w:r>
    </w:p>
    <w:p w14:paraId="3ECC1A4A">
      <w:pPr>
        <w:spacing w:before="20" w:after="20"/>
        <w:ind w:firstLine="425"/>
        <w:jc w:val="both"/>
      </w:pPr>
      <w:r>
        <w:rPr>
          <w:rFonts w:ascii="宋体" w:hAnsi="宋体" w:eastAsia="宋体"/>
          <w:b w:val="0"/>
          <w:sz w:val="24"/>
        </w:rPr>
        <w:t>Zhang等[32]提出的TEmbed-DDI利用LLM嵌入和双向神经网络做跨领域药物相互作用注释，展示了LLMs发现潜在药物相互作用的能力。Xu等[33]的字符级卷积循环交互网络（CCRIN）从中医临床文本中联合抽取实体和关系，为构建知识图谱提供支持。</w:t>
      </w:r>
    </w:p>
    <w:p w14:paraId="2BABBE2D">
      <w:pPr>
        <w:spacing w:before="120" w:after="60"/>
      </w:pPr>
      <w:r>
        <w:rPr>
          <w:rFonts w:ascii="宋体" w:hAnsi="宋体" w:eastAsia="宋体"/>
          <w:b/>
          <w:sz w:val="28"/>
        </w:rPr>
        <w:t>4. 现有评测体系的主要局限及方法学反思</w:t>
      </w:r>
    </w:p>
    <w:p w14:paraId="60981517">
      <w:r>
        <w:t>需要说明的是，指出局限并非否定既有评测的价值。标准化考试、静态病例与知识问答基准在数据可获得性、客观性和可重复性方面具有不可替代的作用，是模型能力评价的重要基础，也是后续复杂评测得以展开的前提。本章在肯定其价值的基础上，针对当前评测在能力刻画、安全覆盖与临床效用三方面的不足进行方法学反思。</w:t>
      </w:r>
    </w:p>
    <w:p w14:paraId="7C55A824">
      <w:pPr>
        <w:spacing w:before="80" w:after="40"/>
      </w:pPr>
      <w:r>
        <w:rPr>
          <w:rFonts w:ascii="宋体" w:hAnsi="宋体" w:eastAsia="宋体"/>
          <w:b/>
          <w:sz w:val="26"/>
        </w:rPr>
        <w:t>4.1 文本封闭假设与多感官诊断范式的错位</w:t>
      </w:r>
    </w:p>
    <w:p w14:paraId="0553C4E0">
      <w:pPr>
        <w:spacing w:before="20" w:after="20"/>
        <w:ind w:firstLine="425"/>
        <w:jc w:val="both"/>
      </w:pPr>
      <w:r>
        <w:rPr>
          <w:rFonts w:ascii="宋体" w:hAnsi="宋体" w:eastAsia="宋体"/>
          <w:b w:val="0"/>
          <w:sz w:val="24"/>
        </w:rPr>
        <w:t>大语言模型通过执业考试[4]或在选择题上取得超过90%的准确率[3]，所体现的主要是文本到文本映射任务中的能力，与真实中医诊疗所需的跨模态综合判断仍有较大距离。一个能背出舌红苔黄腻主湿热的模型，未必能在真实舌象图像中识别该特征，也难以结合脉象、面色和问诊信息完成综合辨证。Moor等[34]在医学通用人工智能基础模型的综述中指出，医学AI要实现真正的临床价值，必须系统构建多模态感知能力。</w:t>
      </w:r>
    </w:p>
    <w:p w14:paraId="2A7DFB51">
      <w:pPr>
        <w:spacing w:before="20" w:after="20"/>
        <w:ind w:firstLine="425"/>
        <w:jc w:val="both"/>
      </w:pPr>
      <w:r>
        <w:rPr>
          <w:rFonts w:ascii="宋体" w:hAnsi="宋体" w:eastAsia="宋体"/>
          <w:b w:val="0"/>
          <w:sz w:val="24"/>
        </w:rPr>
        <w:t>换言之，文本映射任务上的良好表现可能在一定程度上掩盖了中医临床所需的多感官、具身、情境依赖认知过程的评估缺失，从而带来高估模型真实临床能力的风险。</w:t>
      </w:r>
    </w:p>
    <w:p w14:paraId="49F4D26B">
      <w:pPr>
        <w:spacing w:before="80" w:after="40"/>
      </w:pPr>
      <w:r>
        <w:rPr>
          <w:rFonts w:ascii="宋体" w:hAnsi="宋体" w:eastAsia="宋体"/>
          <w:b/>
          <w:sz w:val="26"/>
        </w:rPr>
        <w:t>4.2 安全评价维度的覆盖不足</w:t>
      </w:r>
    </w:p>
    <w:p w14:paraId="56F93169">
      <w:pPr>
        <w:spacing w:before="20" w:after="20"/>
        <w:ind w:firstLine="425"/>
        <w:jc w:val="both"/>
      </w:pPr>
      <w:r>
        <w:rPr>
          <w:rFonts w:ascii="宋体" w:hAnsi="宋体" w:eastAsia="宋体"/>
          <w:b w:val="0"/>
          <w:sz w:val="24"/>
        </w:rPr>
        <w:t>Zheng等[11]发现的正负向能力鸿沟，即模型在标准测试中合格但错误信息检测率很低，只是文本层面安全问题的一部分。现有评测大多只看文本准确率，对幻觉、错误信息识别和不确定性校准等核心安全问题关注不够。在多模态临床场景中，还存在图像质量欺骗（如色彩被篡改的舌诊图）、跨模态信息矛盾（舌脉不一致时如何取舍）以及模态缺失时的过度自信推断等风险，而这些在现有评测体系中几乎没有涉及。</w:t>
      </w:r>
    </w:p>
    <w:p w14:paraId="07917C06">
      <w:pPr>
        <w:spacing w:before="20" w:after="20"/>
        <w:ind w:firstLine="425"/>
        <w:jc w:val="both"/>
      </w:pPr>
      <w:r>
        <w:rPr>
          <w:rFonts w:ascii="宋体" w:hAnsi="宋体" w:eastAsia="宋体"/>
          <w:b w:val="0"/>
          <w:sz w:val="24"/>
        </w:rPr>
        <w:t>Singhal等[35]在Med-PaLM研究中强调，医学LLMs的安全评测应超越准确率，把模型是否知道自己不知道的不确定性校准纳入核心指标。Wang等[12]的处方审核基准在用药安全维度上前进了一步，但整个领域对多模态安全漏洞的系统研究仍然缺乏。中医药直接关系健康安全，安全评价缺位的风险不容忽视。</w:t>
      </w:r>
    </w:p>
    <w:p w14:paraId="6E716038">
      <w:pPr>
        <w:spacing w:before="80" w:after="40"/>
      </w:pPr>
      <w:r>
        <w:rPr>
          <w:rFonts w:ascii="宋体" w:hAnsi="宋体" w:eastAsia="宋体"/>
          <w:b/>
          <w:sz w:val="26"/>
        </w:rPr>
        <w:t>4.3 离线基准与真实临床场景的脱节</w:t>
      </w:r>
    </w:p>
    <w:p w14:paraId="34FE3858">
      <w:pPr>
        <w:spacing w:before="20" w:after="20"/>
        <w:ind w:firstLine="425"/>
        <w:jc w:val="both"/>
      </w:pPr>
      <w:r>
        <w:rPr>
          <w:rFonts w:ascii="宋体" w:hAnsi="宋体" w:eastAsia="宋体"/>
          <w:b w:val="0"/>
          <w:sz w:val="24"/>
        </w:rPr>
        <w:t>现有研究很少考察LLMs作为辅助工具在真实临床环境中对诊疗质量的实际影响。多数评测为静态离线测试，脱离真实临床的动态诊疗过程，缺少以患者结局为终点的闭环验证，结果难以预测模型的真实临床价值。近期出现一些改进尝试：Liu等[36]以真实针灸病案、由中韩美28名专家多语言盲评，比较模型与针灸师的诊疗建议；ATCMD-Bench[9]与DCB[10]则用多智能体或全流程动态环境逼近真实接诊。但这些工作仍以专家评分或模拟环境为主，离以患者结局为终点的前瞻性验证尚远。Topol[37]指出，医疗AI与临床实践之间的差距，不在于技术精度，而在于缺乏以患者结局为终点的验证范式。</w:t>
      </w:r>
    </w:p>
    <w:p w14:paraId="6B2F5005">
      <w:pPr>
        <w:spacing w:before="20" w:after="20"/>
        <w:ind w:firstLine="425"/>
        <w:jc w:val="both"/>
      </w:pPr>
      <w:r>
        <w:rPr>
          <w:rFonts w:ascii="宋体" w:hAnsi="宋体" w:eastAsia="宋体"/>
          <w:b w:val="0"/>
          <w:sz w:val="24"/>
        </w:rPr>
        <w:t>中医诊疗是医患共建的动态过程，而不是一次性的问答任务，脱离临床情境的离线基准因此带有系统性偏差。真实临床中，医师要根据患者反馈不断调整辨证和治疗方案；而现有基准里，模型给出一次回答即视为完成。这种评测设计上的局限，是当前中医药LLM评测研究共同面对的问题。</w:t>
      </w:r>
    </w:p>
    <w:p w14:paraId="7E5C9D2A">
      <w:pPr>
        <w:spacing w:before="120" w:after="60"/>
      </w:pPr>
      <w:r>
        <w:rPr>
          <w:rFonts w:ascii="宋体" w:hAnsi="宋体" w:eastAsia="宋体"/>
          <w:b/>
          <w:sz w:val="28"/>
        </w:rPr>
        <w:t>5. 中医药大语言模型评测体系的未来发展方向</w:t>
      </w:r>
    </w:p>
    <w:p w14:paraId="42BD0D90">
      <w:r>
        <w:t>5.1 构建中医药知识驱动的分层评测体系</w:t>
      </w:r>
    </w:p>
    <w:p w14:paraId="523FA518">
      <w:r>
        <w:t>现有方向多与国际医学AI评测的通行思路一致，仍需进一步凸显中医药自身的知识结构与诊疗逻辑。中医临床遵循由四诊信息到证候、由证候到治法、由治法到方药、再以疗效检验的递进链条，评测体系也应循此分层展开，构建知识驱动的五层评测框架：知识层考查中医基础理论、术语与中药知识的掌握；辨证层考查由四诊信息到证候的推理与病机分析；治则层考查依证立法的合理性；方药层考查依法处方的配伍、剂量恰当性与禁忌识别；疗效层以随访结局和复诊调方的合理性检验闭环能力。各层逐层递进、逐层设阈，下层能力以上层为前提。这一思路在标准化层面已有呼应，GB/T 45288.2—2025确立了通用大模型的评测指标与方法[38]，《多模态中医药人工智能模型评测标准》（研制中）进一步针对舌象、脉象、四诊合参等中医特色模态建立了分层指标与推荐阈值[39]，为知识驱动评测体系提供了制度支撑。以中医药知识链条而非通用自然语言处理任务来组织评测，有助于把对中医的真正理解落实到辨证论治的每一个环节，也是中医药大语言模型评测区别于通用医学AI评测的关键。</w:t>
      </w:r>
    </w:p>
    <w:p w14:paraId="795CD980">
      <w:r>
        <w:t>需要强调的是，五层之间是逐层递进、下层为上层前提的条件依赖关系：辨证错误会使其后的治则与方药评测失去意义，因此应采用条件化评分（在上一层正确的前提下评估下一层），并报告误差沿链条的传导与放大；同时为各层设定准入阈值，未通过知识层与辨证层阈值者，其方药层、疗效层的高分不予采信。此外，疗效层有赖真实世界随访与前瞻性数据，目前仍属亟待建设的目标层，不宜视为已成熟的评测环节。各层与评测内容、代表指标及对应基准类别的对应关系见表2，整体框架见图3。</w:t>
      </w:r>
    </w:p>
    <w:p w14:paraId="3A230A2F">
      <w:pPr>
        <w:jc w:val="center"/>
      </w:pPr>
      <w:r>
        <w:rPr>
          <w:b/>
        </w:rPr>
        <w:t>表2　中医药知识驱动五层评测框架的层级映射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58C8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4B403B5C">
            <w:pPr>
              <w:spacing w:after="0" w:line="240" w:lineRule="auto"/>
            </w:pPr>
            <w:r>
              <w:rPr>
                <w:b/>
                <w:sz w:val="21"/>
              </w:rPr>
              <w:t>层级</w:t>
            </w:r>
          </w:p>
        </w:tc>
        <w:tc>
          <w:tcPr>
            <w:tcW w:w="2197" w:type="dxa"/>
          </w:tcPr>
          <w:p w14:paraId="5C6C25BD">
            <w:pPr>
              <w:spacing w:after="0" w:line="240" w:lineRule="auto"/>
            </w:pPr>
            <w:r>
              <w:rPr>
                <w:b/>
                <w:sz w:val="21"/>
              </w:rPr>
              <w:t>评测重点</w:t>
            </w:r>
          </w:p>
        </w:tc>
        <w:tc>
          <w:tcPr>
            <w:tcW w:w="2197" w:type="dxa"/>
          </w:tcPr>
          <w:p w14:paraId="07C41AA7">
            <w:pPr>
              <w:spacing w:after="0" w:line="240" w:lineRule="auto"/>
            </w:pPr>
            <w:r>
              <w:rPr>
                <w:b/>
                <w:sz w:val="21"/>
              </w:rPr>
              <w:t>代表指标</w:t>
            </w:r>
          </w:p>
        </w:tc>
        <w:tc>
          <w:tcPr>
            <w:tcW w:w="2197" w:type="dxa"/>
          </w:tcPr>
          <w:p w14:paraId="46258CF8">
            <w:pPr>
              <w:spacing w:after="0" w:line="240" w:lineRule="auto"/>
            </w:pPr>
            <w:r>
              <w:rPr>
                <w:b/>
                <w:sz w:val="21"/>
              </w:rPr>
              <w:t>对应基准类别</w:t>
            </w:r>
          </w:p>
        </w:tc>
      </w:tr>
      <w:tr w14:paraId="02622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7C26B358">
            <w:pPr>
              <w:spacing w:after="0" w:line="240" w:lineRule="auto"/>
            </w:pPr>
            <w:r>
              <w:rPr>
                <w:sz w:val="21"/>
              </w:rPr>
              <w:t>知识层</w:t>
            </w:r>
          </w:p>
        </w:tc>
        <w:tc>
          <w:tcPr>
            <w:tcW w:w="2197" w:type="dxa"/>
          </w:tcPr>
          <w:p w14:paraId="4BF6A43A">
            <w:pPr>
              <w:spacing w:after="0" w:line="240" w:lineRule="auto"/>
            </w:pPr>
            <w:r>
              <w:rPr>
                <w:sz w:val="21"/>
              </w:rPr>
              <w:t>中医理论、术语与中药知识</w:t>
            </w:r>
          </w:p>
        </w:tc>
        <w:tc>
          <w:tcPr>
            <w:tcW w:w="2197" w:type="dxa"/>
          </w:tcPr>
          <w:p w14:paraId="63207CD0">
            <w:pPr>
              <w:spacing w:after="0" w:line="240" w:lineRule="auto"/>
            </w:pPr>
            <w:r>
              <w:rPr>
                <w:sz w:val="21"/>
              </w:rPr>
              <w:t>准确率、术语规范率</w:t>
            </w:r>
          </w:p>
        </w:tc>
        <w:tc>
          <w:tcPr>
            <w:tcW w:w="2197" w:type="dxa"/>
          </w:tcPr>
          <w:p w14:paraId="08787DE1">
            <w:pPr>
              <w:spacing w:after="0" w:line="240" w:lineRule="auto"/>
            </w:pPr>
            <w:r>
              <w:rPr>
                <w:sz w:val="21"/>
              </w:rPr>
              <w:t>考试类</w:t>
            </w:r>
          </w:p>
        </w:tc>
      </w:tr>
      <w:tr w14:paraId="5DA56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35AD6A9C">
            <w:pPr>
              <w:spacing w:after="0" w:line="240" w:lineRule="auto"/>
            </w:pPr>
            <w:r>
              <w:rPr>
                <w:sz w:val="21"/>
              </w:rPr>
              <w:t>辨证层</w:t>
            </w:r>
          </w:p>
        </w:tc>
        <w:tc>
          <w:tcPr>
            <w:tcW w:w="2197" w:type="dxa"/>
          </w:tcPr>
          <w:p w14:paraId="659092A9">
            <w:pPr>
              <w:spacing w:after="0" w:line="240" w:lineRule="auto"/>
            </w:pPr>
            <w:r>
              <w:rPr>
                <w:sz w:val="21"/>
              </w:rPr>
              <w:t>四诊信息到证候、病机推断</w:t>
            </w:r>
          </w:p>
        </w:tc>
        <w:tc>
          <w:tcPr>
            <w:tcW w:w="2197" w:type="dxa"/>
          </w:tcPr>
          <w:p w14:paraId="07DBF670">
            <w:pPr>
              <w:spacing w:after="0" w:line="240" w:lineRule="auto"/>
            </w:pPr>
            <w:r>
              <w:rPr>
                <w:sz w:val="21"/>
              </w:rPr>
              <w:t>辨证准确率、推理思路评分</w:t>
            </w:r>
          </w:p>
        </w:tc>
        <w:tc>
          <w:tcPr>
            <w:tcW w:w="2197" w:type="dxa"/>
          </w:tcPr>
          <w:p w14:paraId="622083C3">
            <w:pPr>
              <w:spacing w:after="0" w:line="240" w:lineRule="auto"/>
            </w:pPr>
            <w:r>
              <w:rPr>
                <w:sz w:val="21"/>
              </w:rPr>
              <w:t>辨证推理类</w:t>
            </w:r>
          </w:p>
        </w:tc>
      </w:tr>
      <w:tr w14:paraId="747A6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512AC5B4">
            <w:pPr>
              <w:spacing w:after="0" w:line="240" w:lineRule="auto"/>
            </w:pPr>
            <w:r>
              <w:rPr>
                <w:sz w:val="21"/>
              </w:rPr>
              <w:t>治则层</w:t>
            </w:r>
          </w:p>
        </w:tc>
        <w:tc>
          <w:tcPr>
            <w:tcW w:w="2197" w:type="dxa"/>
          </w:tcPr>
          <w:p w14:paraId="63137E4C">
            <w:pPr>
              <w:spacing w:after="0" w:line="240" w:lineRule="auto"/>
            </w:pPr>
            <w:r>
              <w:rPr>
                <w:sz w:val="21"/>
              </w:rPr>
              <w:t>依证立法的合理性</w:t>
            </w:r>
          </w:p>
        </w:tc>
        <w:tc>
          <w:tcPr>
            <w:tcW w:w="2197" w:type="dxa"/>
          </w:tcPr>
          <w:p w14:paraId="4BBD4D0F">
            <w:pPr>
              <w:spacing w:after="0" w:line="240" w:lineRule="auto"/>
            </w:pPr>
            <w:r>
              <w:rPr>
                <w:sz w:val="21"/>
              </w:rPr>
              <w:t>治法推荐准确率、合理性评分</w:t>
            </w:r>
          </w:p>
        </w:tc>
        <w:tc>
          <w:tcPr>
            <w:tcW w:w="2197" w:type="dxa"/>
          </w:tcPr>
          <w:p w14:paraId="5B5CEB38">
            <w:pPr>
              <w:spacing w:after="0" w:line="240" w:lineRule="auto"/>
            </w:pPr>
            <w:r>
              <w:rPr>
                <w:sz w:val="21"/>
              </w:rPr>
              <w:t>辨证推理类（待加强）</w:t>
            </w:r>
          </w:p>
        </w:tc>
      </w:tr>
      <w:tr w14:paraId="2EE87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10CD8641">
            <w:pPr>
              <w:spacing w:after="0" w:line="240" w:lineRule="auto"/>
            </w:pPr>
            <w:r>
              <w:rPr>
                <w:sz w:val="21"/>
              </w:rPr>
              <w:t>方药层</w:t>
            </w:r>
          </w:p>
        </w:tc>
        <w:tc>
          <w:tcPr>
            <w:tcW w:w="2197" w:type="dxa"/>
          </w:tcPr>
          <w:p w14:paraId="23B9289B">
            <w:pPr>
              <w:spacing w:after="0" w:line="240" w:lineRule="auto"/>
            </w:pPr>
            <w:r>
              <w:rPr>
                <w:sz w:val="21"/>
              </w:rPr>
              <w:t>处方、配伍、剂量与禁忌</w:t>
            </w:r>
          </w:p>
        </w:tc>
        <w:tc>
          <w:tcPr>
            <w:tcW w:w="2197" w:type="dxa"/>
          </w:tcPr>
          <w:p w14:paraId="37BBC944">
            <w:pPr>
              <w:spacing w:after="0" w:line="240" w:lineRule="auto"/>
            </w:pPr>
            <w:r>
              <w:rPr>
                <w:sz w:val="21"/>
              </w:rPr>
              <w:t>方剂适配度、禁忌识别召回率</w:t>
            </w:r>
          </w:p>
        </w:tc>
        <w:tc>
          <w:tcPr>
            <w:tcW w:w="2197" w:type="dxa"/>
          </w:tcPr>
          <w:p w14:paraId="063CF68C">
            <w:pPr>
              <w:spacing w:after="0" w:line="240" w:lineRule="auto"/>
            </w:pPr>
            <w:r>
              <w:rPr>
                <w:sz w:val="21"/>
              </w:rPr>
              <w:t>安全/处方类</w:t>
            </w:r>
          </w:p>
        </w:tc>
      </w:tr>
      <w:tr w14:paraId="25918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3BC462D1">
            <w:pPr>
              <w:spacing w:after="0" w:line="240" w:lineRule="auto"/>
            </w:pPr>
            <w:r>
              <w:rPr>
                <w:sz w:val="21"/>
              </w:rPr>
              <w:t>疗效层</w:t>
            </w:r>
          </w:p>
        </w:tc>
        <w:tc>
          <w:tcPr>
            <w:tcW w:w="2197" w:type="dxa"/>
          </w:tcPr>
          <w:p w14:paraId="11849E5B">
            <w:pPr>
              <w:spacing w:after="0" w:line="240" w:lineRule="auto"/>
            </w:pPr>
            <w:r>
              <w:rPr>
                <w:sz w:val="21"/>
              </w:rPr>
              <w:t>随访结局与复诊调方（目标层）</w:t>
            </w:r>
          </w:p>
        </w:tc>
        <w:tc>
          <w:tcPr>
            <w:tcW w:w="2197" w:type="dxa"/>
          </w:tcPr>
          <w:p w14:paraId="074CF6D5">
            <w:pPr>
              <w:spacing w:after="0" w:line="240" w:lineRule="auto"/>
            </w:pPr>
            <w:r>
              <w:rPr>
                <w:sz w:val="21"/>
              </w:rPr>
              <w:t>结局预测、加减合理性</w:t>
            </w:r>
          </w:p>
        </w:tc>
        <w:tc>
          <w:tcPr>
            <w:tcW w:w="2197" w:type="dxa"/>
          </w:tcPr>
          <w:p w14:paraId="592CC99A">
            <w:pPr>
              <w:spacing w:after="0" w:line="240" w:lineRule="auto"/>
            </w:pPr>
            <w:r>
              <w:rPr>
                <w:sz w:val="21"/>
              </w:rPr>
              <w:t>真实世界类（待建设）</w:t>
            </w:r>
          </w:p>
        </w:tc>
      </w:tr>
    </w:tbl>
    <w:p w14:paraId="77EBFDFB">
      <w:pPr>
        <w:spacing w:before="80" w:after="40"/>
      </w:pPr>
      <w:r>
        <w:rPr>
          <w:rFonts w:ascii="宋体" w:hAnsi="宋体" w:eastAsia="宋体"/>
          <w:b/>
          <w:sz w:val="26"/>
        </w:rPr>
        <w:t>5.2 加快推进多模态评测数据基础设施建设</w:t>
      </w:r>
    </w:p>
    <w:p w14:paraId="30D3BB5C">
      <w:pPr>
        <w:spacing w:before="20" w:after="20"/>
        <w:ind w:firstLine="425"/>
        <w:jc w:val="both"/>
      </w:pPr>
      <w:r>
        <w:rPr>
          <w:rFonts w:ascii="宋体" w:hAnsi="宋体" w:eastAsia="宋体"/>
          <w:b w:val="0"/>
          <w:sz w:val="24"/>
        </w:rPr>
        <w:t>多模态评测的前提是有高质量的多模态标注数据集。建议依托国内中医临床研究网络，参照多中心临床研究的数据治理规范，优先建设覆盖舌象图像、标准化脉象波形、结构化四诊文本和随访结局的多模态中医临床评测语料库。数据采集要满足多中心、多地域、多体质类型的代表性要求，并建立开放共享机制，形成公共基准平台。王忆勤等[40]梳理了中医四诊客观化的仪器与方法积累，这些基础具备向评测数据集转化的条件，需要政策和资金层面协同推进。</w:t>
      </w:r>
    </w:p>
    <w:p w14:paraId="405C2F66">
      <w:pPr>
        <w:spacing w:before="80" w:after="40"/>
      </w:pPr>
      <w:r>
        <w:rPr>
          <w:rFonts w:ascii="宋体" w:hAnsi="宋体" w:eastAsia="宋体"/>
          <w:b/>
          <w:sz w:val="26"/>
        </w:rPr>
        <w:t>5.3 构建分层递进的临床多模态能力评测标准体系</w:t>
      </w:r>
    </w:p>
    <w:p w14:paraId="57A6CB38">
      <w:pPr>
        <w:spacing w:before="20" w:after="20"/>
        <w:ind w:firstLine="425"/>
        <w:jc w:val="both"/>
      </w:pPr>
      <w:r>
        <w:rPr>
          <w:rFonts w:ascii="宋体" w:hAnsi="宋体" w:eastAsia="宋体"/>
          <w:b w:val="0"/>
          <w:sz w:val="24"/>
        </w:rPr>
        <w:t>建议按三层递进的思路建设评测标准体系。第一层为模态基础准入层，以单模态识别精度（如舌色分类准确率、脉象参数识别准确率）作为模型进入临床推理评测的门槛；第二层为临床推理核心层，重点考查跨模态融合增益率、模态冲突处置准确率、不确定性校准误差等反映真实临床智能水平的指标，并把有害诊疗建议率设为硬性红线；第三层为临床效用验证层，通过前瞻性临床研究评价诊断辅助增效率、医师采纳与合理修改率以及纵向治疗结局预测准确度，以患者结局数据作为最终验证标准[37]。这套标准的形成，需要中医临床专家、AI研究者、医学统计学家和医疗器械监管专家共同参与论证。</w:t>
      </w:r>
    </w:p>
    <w:p w14:paraId="7ED47818">
      <w:pPr>
        <w:spacing w:before="80" w:after="40"/>
      </w:pPr>
      <w:r>
        <w:rPr>
          <w:rFonts w:ascii="宋体" w:hAnsi="宋体" w:eastAsia="宋体"/>
          <w:b/>
          <w:sz w:val="26"/>
        </w:rPr>
        <w:t>5.4 发展面向中医认知特质的评测方法论创新</w:t>
      </w:r>
    </w:p>
    <w:p w14:paraId="30BF635F">
      <w:pPr>
        <w:spacing w:before="20" w:after="20"/>
        <w:ind w:firstLine="425"/>
        <w:jc w:val="both"/>
      </w:pPr>
      <w:r>
        <w:rPr>
          <w:rFonts w:ascii="宋体" w:hAnsi="宋体" w:eastAsia="宋体"/>
          <w:b w:val="0"/>
          <w:sz w:val="24"/>
        </w:rPr>
        <w:t>现有评测方法论多借鉴通用医学AI领域，对中医特有的认知结构关注不足。未来需要重点解决几个问题。一是辨证整体性的量化表达，中医辨证看重整体符合度，而非各分项指标的简单相加，如何设计反映辨证结论整体合理性的评估方法是关键。二是同病异治、异病同治的个体化评测设计，需要构建同种疾病、不同体质患者的标准化案例集，考查模型能否给出有差异且有依据的辨证处方[6]。三是纵向推理能力的评测框架，中医诊疗是随访观察、动态调方的连续过程，需要开发覆盖多次就诊记录的纵向评测范式，替代目前大多锚定单次就诊横断面的评测设计。</w:t>
      </w:r>
    </w:p>
    <w:p w14:paraId="651FCC3C">
      <w:pPr>
        <w:spacing w:before="80" w:after="40"/>
      </w:pPr>
      <w:r>
        <w:rPr>
          <w:rFonts w:ascii="宋体" w:hAnsi="宋体" w:eastAsia="宋体"/>
          <w:b/>
          <w:sz w:val="26"/>
        </w:rPr>
        <w:t>5.5 推动真实世界临床验证与国际标准化协同推进</w:t>
      </w:r>
    </w:p>
    <w:p w14:paraId="10BF66C7">
      <w:pPr>
        <w:spacing w:before="20" w:after="20"/>
        <w:ind w:firstLine="425"/>
        <w:jc w:val="both"/>
      </w:pPr>
      <w:r>
        <w:rPr>
          <w:rFonts w:ascii="宋体" w:hAnsi="宋体" w:eastAsia="宋体"/>
          <w:b w:val="0"/>
          <w:sz w:val="24"/>
        </w:rPr>
        <w:t>在国内，建议把LLMs临床多模态评测研究纳入国家中医药科技创新的重点部署，依托现有中医临床研究基地开展人机协同的前瞻性试点，逐步积累AI辅助与人工独立对照条件下的临床证据。在国际层面，可参照WHO传统医学战略框架和国际医疗AI评估规范（如FDA的AI/ML行动计划），推动中医药LLM评测标准的国际化表达，使其成为全球传统医学AI治理体系的一部分[2]。</w:t>
      </w:r>
    </w:p>
    <w:p w14:paraId="370EC0CB">
      <w:pPr>
        <w:spacing w:before="120" w:after="60"/>
      </w:pPr>
      <w:r>
        <w:rPr>
          <w:rFonts w:ascii="宋体" w:hAnsi="宋体" w:eastAsia="宋体"/>
          <w:b/>
          <w:sz w:val="28"/>
        </w:rPr>
        <w:t>6. 小结</w:t>
      </w:r>
    </w:p>
    <w:p w14:paraId="04A6F33F">
      <w:pPr>
        <w:spacing w:before="20" w:after="20"/>
        <w:ind w:firstLine="425"/>
        <w:jc w:val="both"/>
      </w:pPr>
      <w:r>
        <w:rPr>
          <w:rFonts w:ascii="宋体" w:hAnsi="宋体" w:eastAsia="宋体"/>
          <w:b w:val="0"/>
          <w:sz w:val="24"/>
        </w:rPr>
        <w:t>目前LLMs在中医药领域的评测，已从标准化考试评估走向辨证思维、处方安全等深度专业能力评估，但整体上仍以文本单模态为主，存在能力评估虚高、安全评价缺位和临床效用偏估等系统性局限。要让LLMs在中医药领域从可用走向可信、可靠，关键在于建立以临床多模态能力为核心、以患者结局为终点的新一代评测范式。这既是方法学上的前沿挑战，也是人工智能服务中医药现代化的基础性工程。</w:t>
      </w:r>
    </w:p>
    <w:p w14:paraId="5E8A0C6F">
      <w:pPr>
        <w:spacing w:before="20" w:after="20"/>
        <w:ind w:firstLine="425"/>
        <w:jc w:val="both"/>
      </w:pPr>
      <w:r>
        <w:rPr>
          <w:rFonts w:ascii="宋体" w:hAnsi="宋体" w:eastAsia="宋体"/>
          <w:b w:val="0"/>
          <w:sz w:val="24"/>
        </w:rPr>
        <w:t>利益冲突声明：作者声明无利益冲突。</w:t>
      </w:r>
    </w:p>
    <w:p w14:paraId="4DDBC2D1">
      <w:pPr>
        <w:spacing w:before="120" w:after="60"/>
      </w:pPr>
      <w:r>
        <w:rPr>
          <w:rFonts w:ascii="宋体" w:hAnsi="宋体" w:eastAsia="宋体"/>
          <w:b/>
          <w:sz w:val="28"/>
        </w:rPr>
        <w:t>参考文献</w:t>
      </w:r>
    </w:p>
    <w:p w14:paraId="75832CEA">
      <w:pPr>
        <w:spacing w:before="20" w:after="20"/>
        <w:ind w:left="480" w:hanging="480"/>
        <w:jc w:val="both"/>
      </w:pPr>
      <w:r>
        <w:rPr>
          <w:rFonts w:ascii="宋体" w:hAnsi="宋体" w:eastAsia="宋体"/>
          <w:b w:val="0"/>
          <w:sz w:val="21"/>
        </w:rPr>
        <w:t>[1] HAN C X, YANG G Y, LI H T, et al. Tuning and clinical application of large language models in traditional Chinese medicine: scoping review[J]. Chinese Medicine, 2026, 21(1): 71.</w:t>
      </w:r>
    </w:p>
    <w:p w14:paraId="0C9064C8">
      <w:pPr>
        <w:spacing w:before="20" w:after="20"/>
        <w:ind w:left="480" w:hanging="480"/>
        <w:jc w:val="both"/>
      </w:pPr>
      <w:r>
        <w:rPr>
          <w:rFonts w:ascii="宋体" w:hAnsi="宋体" w:eastAsia="宋体"/>
          <w:b w:val="0"/>
          <w:sz w:val="21"/>
        </w:rPr>
        <w:t>[2] YIP H F, LI Z M, ZHANG L, et al. Large language models in integrative medicine: progress, challenges, and opportunities[J]. Journal of Evidence-Based Medicine, 2025, 18(2): e70031.</w:t>
      </w:r>
    </w:p>
    <w:p w14:paraId="71F6B05C">
      <w:pPr>
        <w:spacing w:before="20" w:after="20"/>
        <w:ind w:left="480" w:hanging="480"/>
        <w:jc w:val="both"/>
      </w:pPr>
      <w:r>
        <w:rPr>
          <w:rFonts w:ascii="宋体" w:hAnsi="宋体" w:eastAsia="宋体"/>
          <w:b w:val="0"/>
          <w:sz w:val="21"/>
        </w:rPr>
        <w:t>[3] LI Y Z, HUANG S H, QI J X, et al. Evaluating large-scale and lightweight large language models for traditional Chinese medicine exam questions: a comparative study[J]. Journal of Evidence-Based Medicine, 2026, 19(1): e70118.</w:t>
      </w:r>
    </w:p>
    <w:p w14:paraId="712D39FC">
      <w:pPr>
        <w:spacing w:before="20" w:after="20"/>
        <w:ind w:left="480" w:hanging="480"/>
        <w:jc w:val="both"/>
      </w:pPr>
      <w:r>
        <w:rPr>
          <w:rFonts w:ascii="宋体" w:hAnsi="宋体" w:eastAsia="宋体"/>
          <w:b w:val="0"/>
          <w:sz w:val="21"/>
        </w:rPr>
        <w:t>[4] JANG D Y, YUN T R, LEE C Y, et al. GPT-4 can pass the Korean National Licensing Examination for Korean Medicine Doctors[J]. PLOS Digital Health, 2023, 2(12): e0000416.</w:t>
      </w:r>
    </w:p>
    <w:p w14:paraId="2DF21668">
      <w:pPr>
        <w:spacing w:before="20" w:after="20"/>
        <w:ind w:left="480" w:hanging="480"/>
        <w:jc w:val="both"/>
      </w:pPr>
      <w:r>
        <w:rPr>
          <w:rFonts w:ascii="宋体" w:hAnsi="宋体" w:eastAsia="宋体"/>
          <w:b w:val="0"/>
          <w:sz w:val="21"/>
        </w:rPr>
        <w:t>[5] 曹露, 许林, 张宇洁, 等. 大语言模型在中医领域的标准化评估[J]. 南京中医药大学学报, 2024, 40(12): 1383-1392.</w:t>
      </w:r>
    </w:p>
    <w:p w14:paraId="356AC2A3">
      <w:pPr>
        <w:spacing w:before="20" w:after="20"/>
        <w:ind w:left="480" w:hanging="480"/>
        <w:jc w:val="both"/>
      </w:pPr>
      <w:r>
        <w:rPr>
          <w:rFonts w:ascii="宋体" w:hAnsi="宋体" w:eastAsia="宋体"/>
          <w:b w:val="0"/>
          <w:sz w:val="21"/>
        </w:rPr>
        <w:t>[6] 郝梦. 面向大语言模型的中医辨证思维测评数据集构建研究[D]. 北京: 中国中医科学院, 2025.</w:t>
      </w:r>
    </w:p>
    <w:p w14:paraId="377327EE">
      <w:pPr>
        <w:spacing w:before="20" w:after="20"/>
        <w:ind w:left="480" w:hanging="480"/>
        <w:jc w:val="both"/>
      </w:pPr>
      <w:r>
        <w:rPr>
          <w:rFonts w:ascii="宋体" w:hAnsi="宋体" w:eastAsia="宋体"/>
          <w:b w:val="0"/>
          <w:sz w:val="21"/>
        </w:rPr>
        <w:t>[7] CHEN C L, WANG X Y, GUAN M, et al. Evaluating and improving syndrome differentiation thinking ability in large language models: method development study[J]. JMIR Medical Informatics, 2025, 13: e75103.</w:t>
      </w:r>
    </w:p>
    <w:p w14:paraId="2E0D5CDD">
      <w:pPr>
        <w:spacing w:before="20" w:after="20"/>
        <w:ind w:left="480" w:hanging="480"/>
        <w:jc w:val="both"/>
      </w:pPr>
      <w:r>
        <w:rPr>
          <w:rFonts w:ascii="宋体" w:hAnsi="宋体" w:eastAsia="宋体"/>
          <w:b w:val="0"/>
          <w:sz w:val="21"/>
        </w:rPr>
        <w:t>[8] NIE G X, ZHOU Y L, XU D Y, et al. DiagX-DT: diagnostic exclusion reasoning with dialectical thinking for traditional Chinese medicine in large language models[J]. Journal of King Saud University-Computer and Information Sciences, 2025, 37(5): 102.</w:t>
      </w:r>
    </w:p>
    <w:p w14:paraId="1F711D5D">
      <w:pPr>
        <w:spacing w:before="20" w:after="20"/>
        <w:ind w:left="480" w:hanging="480"/>
        <w:jc w:val="both"/>
      </w:pPr>
      <w:r>
        <w:rPr>
          <w:rFonts w:ascii="宋体" w:hAnsi="宋体" w:eastAsia="宋体"/>
          <w:b w:val="0"/>
          <w:sz w:val="21"/>
        </w:rPr>
        <w:t>[9] LIN J X, DAI G, PENG W J, et al. ATCMD-Bench: agentic traditional Chinese medicine diagnosis benchmark for large language models via multi-agent simulation[J]. Pattern Recognition, 2026, 179: 113679.</w:t>
      </w:r>
    </w:p>
    <w:p w14:paraId="2652F5E4">
      <w:pPr>
        <w:spacing w:before="20" w:after="20"/>
        <w:ind w:left="480" w:hanging="480"/>
        <w:jc w:val="both"/>
      </w:pPr>
      <w:r>
        <w:rPr>
          <w:rFonts w:ascii="宋体" w:hAnsi="宋体" w:eastAsia="宋体"/>
          <w:b w:val="0"/>
          <w:sz w:val="21"/>
        </w:rPr>
        <w:t>[10] SHI D S, YI X, LI Y, et al. Benchmarking large language models for end-to-end clinical support in traditional Chinese medicine[J]. Expert Systems with Applications, 2026, 325: 132267.</w:t>
      </w:r>
    </w:p>
    <w:p w14:paraId="6C42147B">
      <w:pPr>
        <w:spacing w:before="20" w:after="20"/>
        <w:ind w:left="480" w:hanging="480"/>
        <w:jc w:val="both"/>
      </w:pPr>
      <w:r>
        <w:rPr>
          <w:rFonts w:ascii="宋体" w:hAnsi="宋体" w:eastAsia="宋体"/>
          <w:b w:val="0"/>
          <w:sz w:val="21"/>
        </w:rPr>
        <w:t>[11] ZHENG Y W, YUAN J L, LIU L, et al. Evaluating large language models in traditional Chinese medicine with enhanced misinformation detection[C]// Companion of the 2025 ACM International Joint Conference on Pervasive and Ubiquitous Computing. New York: ACM, 2025: 1358-1363.</w:t>
      </w:r>
    </w:p>
    <w:p w14:paraId="42A2F5F0">
      <w:pPr>
        <w:spacing w:before="20" w:after="20"/>
        <w:ind w:left="480" w:hanging="480"/>
        <w:jc w:val="both"/>
      </w:pPr>
      <w:r>
        <w:rPr>
          <w:rFonts w:ascii="宋体" w:hAnsi="宋体" w:eastAsia="宋体"/>
          <w:b w:val="0"/>
          <w:sz w:val="21"/>
        </w:rPr>
        <w:t>[12] WANG B F, LU Y W, WANG Z, et al. TCMEval-PA: a question-answering benchmark dataset for the prescription audit of traditional Chinese medicine[J]. Scientific Data, 2025, 12: 79.</w:t>
      </w:r>
    </w:p>
    <w:p w14:paraId="079C8228">
      <w:pPr>
        <w:spacing w:before="20" w:after="20"/>
        <w:ind w:left="480" w:hanging="480"/>
        <w:jc w:val="both"/>
      </w:pPr>
      <w:r>
        <w:rPr>
          <w:rFonts w:ascii="宋体" w:hAnsi="宋体" w:eastAsia="宋体"/>
          <w:b w:val="0"/>
          <w:sz w:val="21"/>
        </w:rPr>
        <w:t>[13] LU H M, LIU L, YUAN J L, et al. TCM-Align: curriculum-aligned MCQ generation for traditional Chinese medicine[C]// Companion of the 2025 ACM International Joint Conference on Pervasive and Ubiquitous Computing. New York: ACM, 2025: 1382-1387.</w:t>
      </w:r>
    </w:p>
    <w:p w14:paraId="072C555E">
      <w:pPr>
        <w:spacing w:before="20" w:after="20"/>
        <w:ind w:left="480" w:hanging="480"/>
        <w:jc w:val="both"/>
      </w:pPr>
      <w:r>
        <w:rPr>
          <w:rFonts w:ascii="宋体" w:hAnsi="宋体" w:eastAsia="宋体"/>
          <w:b w:val="0"/>
          <w:sz w:val="21"/>
        </w:rPr>
        <w:t>[14] 赵尚卿, 兰曼, 柏晓鹏, 等. 负屃：古汉语文本理解与生成能力评测基准[J]. 中文信息学报, 2026.</w:t>
      </w:r>
    </w:p>
    <w:p w14:paraId="68769BDA">
      <w:pPr>
        <w:spacing w:before="20" w:after="20"/>
        <w:ind w:left="480" w:hanging="480"/>
        <w:jc w:val="both"/>
      </w:pPr>
      <w:r>
        <w:rPr>
          <w:rFonts w:ascii="宋体" w:hAnsi="宋体" w:eastAsia="宋体"/>
          <w:b w:val="0"/>
          <w:sz w:val="21"/>
        </w:rPr>
        <w:t>[15] YU N, HUANG J, LIU J, et al. Development of a cold-heat syndrome classification model for children with allergic rhinitis based on multimodal data[J]. Translational Pediatrics, 2025, 14(12): 3375-3386.</w:t>
      </w:r>
    </w:p>
    <w:p w14:paraId="1FAD5EF8">
      <w:pPr>
        <w:spacing w:before="20" w:after="20"/>
        <w:ind w:left="480" w:hanging="480"/>
        <w:jc w:val="both"/>
      </w:pPr>
      <w:r>
        <w:rPr>
          <w:rFonts w:ascii="宋体" w:hAnsi="宋体" w:eastAsia="宋体"/>
          <w:b w:val="0"/>
          <w:sz w:val="21"/>
        </w:rPr>
        <w:t>[16] PENG C D, GAO J, YANG N, et al. Application of a large visual language model on tongue image description generation and physical constitution reasoning in traditional Chinese medicine (TongueVLM): model development and validation study[J]. JMIR Medical Informatics, 2026, 14: e87237.</w:t>
      </w:r>
    </w:p>
    <w:p w14:paraId="51F0A36E">
      <w:pPr>
        <w:spacing w:before="20" w:after="20"/>
        <w:ind w:left="480" w:hanging="480"/>
        <w:jc w:val="both"/>
      </w:pPr>
      <w:r>
        <w:rPr>
          <w:rFonts w:ascii="宋体" w:hAnsi="宋体" w:eastAsia="宋体"/>
          <w:b w:val="0"/>
          <w:sz w:val="21"/>
        </w:rPr>
        <w:t>[17] FU C Z, FU Z L, YAN S J, et al. In-context multitask learning for few-shot fine-tuning of large language models in traditional Chinese medicine tongue diagnosis[C]// ICASSP 2025-2025 IEEE International Conference on Acoustics, Speech and Signal Processing (ICASSP). Piscataway: IEEE, 2025.</w:t>
      </w:r>
    </w:p>
    <w:p w14:paraId="1E9FE302">
      <w:pPr>
        <w:spacing w:before="20" w:after="20"/>
        <w:ind w:left="480" w:hanging="480"/>
        <w:jc w:val="both"/>
      </w:pPr>
      <w:r>
        <w:rPr>
          <w:rFonts w:ascii="宋体" w:hAnsi="宋体" w:eastAsia="宋体"/>
          <w:b w:val="0"/>
          <w:sz w:val="21"/>
        </w:rPr>
        <w:t>[18] 张童, 王一凡, 王若佳, 等. 面向中医药领域专业能力的生成式大语言模型对比研究[J]. 中华中医药学刊, 2025.</w:t>
      </w:r>
    </w:p>
    <w:p w14:paraId="36DCE217">
      <w:pPr>
        <w:spacing w:before="20" w:after="20"/>
        <w:ind w:left="480" w:hanging="480"/>
        <w:jc w:val="both"/>
      </w:pPr>
      <w:r>
        <w:rPr>
          <w:rFonts w:ascii="宋体" w:hAnsi="宋体" w:eastAsia="宋体"/>
          <w:b w:val="0"/>
          <w:sz w:val="21"/>
        </w:rPr>
        <w:t>[19] DAI Y Z, SHAO X, ZHANG J L, et al. TCMChat: a generative large language model for traditional Chinese medicine[J]. Pharmacological Research, 2024, 210: 107530.</w:t>
      </w:r>
    </w:p>
    <w:p w14:paraId="123D2536">
      <w:pPr>
        <w:spacing w:before="20" w:after="20"/>
        <w:ind w:left="480" w:hanging="480"/>
        <w:jc w:val="both"/>
      </w:pPr>
      <w:r>
        <w:rPr>
          <w:rFonts w:ascii="宋体" w:hAnsi="宋体" w:eastAsia="宋体"/>
          <w:b w:val="0"/>
          <w:sz w:val="21"/>
        </w:rPr>
        <w:t>[20] TONG X M, DING X Z, JIA H R, et al. XuanHuGPT: parameter-efficient fine-tuning of large language model in the field of traditional Chinese medicine[J]. Chinese Medicine, 2025, 20(1): 204.</w:t>
      </w:r>
    </w:p>
    <w:p w14:paraId="7491DE76">
      <w:pPr>
        <w:spacing w:before="20" w:after="20"/>
        <w:ind w:left="480" w:hanging="480"/>
        <w:jc w:val="both"/>
      </w:pPr>
      <w:r>
        <w:rPr>
          <w:rFonts w:ascii="宋体" w:hAnsi="宋体" w:eastAsia="宋体"/>
          <w:b w:val="0"/>
          <w:sz w:val="21"/>
        </w:rPr>
        <w:t>[21] JIA Y Z, JI X Y, WANG X, et al. Qibo: a large language model for traditional Chinese medicine[J]. Expert Systems with Applications, 2025, 284: 127672.</w:t>
      </w:r>
    </w:p>
    <w:p w14:paraId="46EC66DC">
      <w:pPr>
        <w:spacing w:before="20" w:after="20"/>
        <w:ind w:left="480" w:hanging="480"/>
        <w:jc w:val="both"/>
      </w:pPr>
      <w:r>
        <w:rPr>
          <w:rFonts w:ascii="宋体" w:hAnsi="宋体" w:eastAsia="宋体"/>
          <w:b w:val="0"/>
          <w:sz w:val="21"/>
        </w:rPr>
        <w:t>[22] ZHAO W L, LAI H H, PAN B, et al. Assessing the adherence of large language models to clinical practice guidelines in Chinese medicine: a content analysis[J]. Frontiers in Pharmacology, 2025, 16: 1649041.</w:t>
      </w:r>
    </w:p>
    <w:p w14:paraId="164667C6">
      <w:pPr>
        <w:spacing w:before="20" w:after="20"/>
        <w:ind w:left="480" w:hanging="480"/>
        <w:jc w:val="both"/>
      </w:pPr>
      <w:r>
        <w:rPr>
          <w:rFonts w:ascii="宋体" w:hAnsi="宋体" w:eastAsia="宋体"/>
          <w:b w:val="0"/>
          <w:sz w:val="21"/>
        </w:rPr>
        <w:t>[23] WANG B F, ZHANG M W, WANG Z, et al. Supporting postgraduate exam preparation with large language models: implications for traditional Chinese medicine education[J]. Frontiers in Medicine, 2026, 12: 1667104.</w:t>
      </w:r>
    </w:p>
    <w:p w14:paraId="5BEBAE63">
      <w:pPr>
        <w:spacing w:before="20" w:after="20"/>
        <w:ind w:left="480" w:hanging="480"/>
        <w:jc w:val="both"/>
      </w:pPr>
      <w:r>
        <w:rPr>
          <w:rFonts w:ascii="宋体" w:hAnsi="宋体" w:eastAsia="宋体"/>
          <w:b w:val="0"/>
          <w:sz w:val="21"/>
        </w:rPr>
        <w:t>[24] GHANAD E, WEISS C, GAO H, et al. GPT versus ERNIE for national traditional Chinese medicine licensing examination: does cultural background matter?[J]. Journal of Integrative and Complementary Medicine, 2025, 31(9): 844-848.</w:t>
      </w:r>
    </w:p>
    <w:p w14:paraId="6F866D5A">
      <w:pPr>
        <w:spacing w:before="20" w:after="20"/>
        <w:ind w:left="480" w:hanging="480"/>
        <w:jc w:val="both"/>
      </w:pPr>
      <w:r>
        <w:rPr>
          <w:rFonts w:ascii="宋体" w:hAnsi="宋体" w:eastAsia="宋体"/>
          <w:b w:val="0"/>
          <w:sz w:val="21"/>
        </w:rPr>
        <w:t>[25] ZHU L X, MOU W M, LAI Y C, et al. Language and cultural bias in AI: comparing the performance of large language models developed in different countries on traditional Chinese medicine highlights the need for localized models[J]. Journal of Translational Medicine, 2024, 22(1): 319.</w:t>
      </w:r>
    </w:p>
    <w:p w14:paraId="3918B8CA">
      <w:pPr>
        <w:spacing w:before="20" w:after="20"/>
        <w:ind w:left="480" w:hanging="480"/>
        <w:jc w:val="both"/>
      </w:pPr>
      <w:r>
        <w:rPr>
          <w:rFonts w:ascii="宋体" w:hAnsi="宋体" w:eastAsia="宋体"/>
          <w:b w:val="0"/>
          <w:sz w:val="21"/>
        </w:rPr>
        <w:t>[26] LIU Z, YANG T, WANG J, et al. Tianyi: a traditional Chinese medicine all-rounder language model and its real-world clinical practice[J]. Information Fusion, 2026, 126: 103663.</w:t>
      </w:r>
    </w:p>
    <w:p w14:paraId="3A29072C">
      <w:pPr>
        <w:spacing w:before="20" w:after="20"/>
        <w:ind w:left="480" w:hanging="480"/>
        <w:jc w:val="both"/>
      </w:pPr>
      <w:r>
        <w:rPr>
          <w:rFonts w:ascii="宋体" w:hAnsi="宋体" w:eastAsia="宋体"/>
          <w:b w:val="0"/>
          <w:sz w:val="21"/>
        </w:rPr>
        <w:t>[27] YANG Q R, HAN J X, WANG H Z, et al. Knowledge graph enhanced large language models for traditional Chinese medicine question-answering[C]// 2026 IEEE International Conference on Big Data and Smart Computing (BigComp). Piscataway: IEEE, 2025: 96-103.</w:t>
      </w:r>
    </w:p>
    <w:p w14:paraId="7BEBD892">
      <w:pPr>
        <w:spacing w:before="20" w:after="20"/>
        <w:ind w:left="480" w:hanging="480"/>
        <w:jc w:val="both"/>
      </w:pPr>
      <w:r>
        <w:rPr>
          <w:rFonts w:ascii="宋体" w:hAnsi="宋体" w:eastAsia="宋体"/>
          <w:b w:val="0"/>
          <w:sz w:val="21"/>
        </w:rPr>
        <w:t>[28] DUAN Y C, ZHOU Q Q, LI Y, et al. Research on a traditional Chinese medicine case-based question-answering system integrating large language models and knowledge graphs[J]. Frontiers in Medicine, 2025, 11: 1512329.</w:t>
      </w:r>
    </w:p>
    <w:p w14:paraId="715737E0">
      <w:r>
        <w:t>[29] HUA R, DONG X, WEI Y, et al. Lingdan: enhancing encoding of traditional Chinese medicine knowledge for clinical reasoning tasks with large language models[J]. Journal of the American Medical Informatics Association, 2024, 31(9): 2019-2029.</w:t>
      </w:r>
    </w:p>
    <w:p w14:paraId="2645D137">
      <w:r>
        <w:t>[30] WEN J, LIU D D, XIE Y X, et al. AcuGPT-Agent: an LLM-powered intelligent system for acupuncture-based infertility treatment[J]. Neurocomputing, 2025, 652: 131116.</w:t>
      </w:r>
    </w:p>
    <w:p w14:paraId="1D14CBFD">
      <w:r>
        <w:t>[31] WANG Z, LI K Q, PENG S Y, et al. A weighted voting approach for traditional Chinese medicine formula classification using large language models: algorithm development and validation study[J]. JMIR Medical Informatics, 2025, 13: e69286.</w:t>
      </w:r>
    </w:p>
    <w:p w14:paraId="4B4084EE">
      <w:r>
        <w:t>[32] ZHANG R X, XIE W D, LIN Q Z, et al. When East meets West: cross-domain drug interaction annotations with large language models and bidirectional neural networks[J]. IEEE Journal of Biomedical and Health Informatics, 2025, 29(10): 7694-7703.</w:t>
      </w:r>
    </w:p>
    <w:p w14:paraId="236BA6D2">
      <w:r>
        <w:t>[33] XU Q, ZHAO Z H, LIU W W, et al. A character-level convolutional recurrent interaction network for joint traditional Chinese medicine clinical named entity recognition and relation extraction[J]. Artificial Intelligence in Medicine, 2026.</w:t>
      </w:r>
    </w:p>
    <w:p w14:paraId="30036A3A">
      <w:r>
        <w:t>[34] MOOR M, BANERJEE O, ABAD Z S H, et al. Foundation models for generalist medical artificial intelligence[J]. Nature, 2023, 616(7956): 259-265.</w:t>
      </w:r>
    </w:p>
    <w:p w14:paraId="12BECE31">
      <w:r>
        <w:t>[35] SINGHAL K, AZIZI S, TU T, et al. Large language models encode clinical knowledge[J]. Nature, 2023, 620(7972): 172-180.</w:t>
      </w:r>
    </w:p>
    <w:p w14:paraId="1073A324">
      <w:r>
        <w:t>[36] LIU Y, YUAN Y S, YAN K M, et al. Evaluating the role of large language models in traditional Chinese medicine diagnosis and treatment recommendations[J]. npj Digital Medicine, 2025, 8(1): 466.</w:t>
      </w:r>
    </w:p>
    <w:p w14:paraId="447FAA95">
      <w:r>
        <w:t>[37] TOPOL E J. High-performance medicine: the convergence of human and artificial intelligence[J]. Nature Medicine, 2019, 25(1): 44-56.</w:t>
      </w:r>
    </w:p>
    <w:p w14:paraId="0BD84470">
      <w:r>
        <w:t>[38] 全国信息技术标准化技术委员会. 人工智能 大模型 第2部分：评测指标与方法: GB/T 45288.2—2025[S]. 北京: 中国标准出版社, 2025.</w:t>
      </w:r>
    </w:p>
    <w:p w14:paraId="23B5D87B">
      <w:r>
        <w:t>[39] 中国中医科学院中医药信息研究所, 陕西中医药大学. 多模态中医药人工智能模型评测标准（征求意见稿）[S]. 北京: 国家中医药管理局, 2025.</w:t>
      </w:r>
    </w:p>
    <w:p w14:paraId="523B2A6A">
      <w:r>
        <w:t>[40] 王忆勤, 郭睿. 中医四诊信息采集规范化研究思路与方法[J]. 中医杂志, 2014, 55(8): 635-638.</w:t>
      </w:r>
    </w:p>
    <w:sectPr>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仿宋_GB2312">
    <w:altName w:val="仿宋"/>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0763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9276</Words>
  <Characters>15362</Characters>
  <Lines>0</Lines>
  <Paragraphs>0</Paragraphs>
  <TotalTime>1006</TotalTime>
  <ScaleCrop>false</ScaleCrop>
  <LinksUpToDate>false</LinksUpToDate>
  <CharactersWithSpaces>16484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zhuzhu</cp:lastModifiedBy>
  <dcterms:modified xsi:type="dcterms:W3CDTF">2026-06-10T01:52:16Z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eyJoZGlkIjoiZThiMjczMWFlOTBlMmU1M2QxMjJjNTA2OGU1MDMyZDEiLCJ1c2VySWQiOiIzMDA4NTg3MjIifQ==</vt:lpwstr>
  </property>
  <property fmtid="{D5CDD505-2E9C-101B-9397-08002B2CF9AE}" pid="3" name="KSOProductBuildVer">
    <vt:lpwstr>2052-12.1.0.26895</vt:lpwstr>
  </property>
  <property fmtid="{D5CDD505-2E9C-101B-9397-08002B2CF9AE}" pid="4" name="ICV">
    <vt:lpwstr>D1A29596F6E54C77BC5EEAF4DE30DB57_12</vt:lpwstr>
  </property>
</Properties>
</file>