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0A298">
      <w:pPr>
        <w:jc w:val="center"/>
        <w:rPr>
          <w:rFonts w:hint="eastAsia" w:ascii="宋体" w:hAnsi="宋体" w:eastAsia="宋体" w:cs="宋体"/>
        </w:rPr>
      </w:pPr>
      <w:r>
        <w:rPr>
          <w:rFonts w:hint="eastAsia" w:ascii="宋体" w:hAnsi="宋体" w:eastAsia="宋体" w:cs="宋体"/>
          <w:b/>
          <w:sz w:val="32"/>
        </w:rPr>
        <w:t>中医药领域大语言模型评测综述：基准构建、能力评价与未来方向</w:t>
      </w:r>
    </w:p>
    <w:p w14:paraId="0D94DD9E">
      <w:pPr>
        <w:jc w:val="center"/>
        <w:rPr>
          <w:rFonts w:hint="eastAsia" w:ascii="宋体" w:hAnsi="宋体" w:eastAsia="宋体" w:cs="宋体"/>
        </w:rPr>
      </w:pPr>
      <w:r>
        <w:rPr>
          <w:rFonts w:hint="eastAsia" w:ascii="宋体" w:hAnsi="宋体" w:eastAsia="宋体" w:cs="宋体"/>
          <w:sz w:val="22"/>
        </w:rPr>
        <w:t>朱玲，张琼，张竹绿</w:t>
      </w:r>
    </w:p>
    <w:p w14:paraId="540E2B11">
      <w:pPr>
        <w:rPr>
          <w:rFonts w:hint="eastAsia" w:ascii="宋体" w:hAnsi="宋体" w:eastAsia="宋体" w:cs="宋体"/>
        </w:rPr>
      </w:pPr>
    </w:p>
    <w:p w14:paraId="66495A11">
      <w:pPr>
        <w:pStyle w:val="4"/>
        <w:rPr>
          <w:rFonts w:hint="eastAsia" w:ascii="宋体" w:hAnsi="宋体" w:eastAsia="宋体" w:cs="宋体"/>
        </w:rPr>
      </w:pPr>
      <w:r>
        <w:rPr>
          <w:rFonts w:hint="eastAsia" w:ascii="宋体" w:hAnsi="宋体" w:eastAsia="宋体" w:cs="宋体"/>
          <w:color w:val="000000"/>
        </w:rPr>
        <w:t>摘要</w:t>
      </w:r>
    </w:p>
    <w:p w14:paraId="28776A2A">
      <w:pPr>
        <w:spacing w:line="360" w:lineRule="auto"/>
        <w:ind w:firstLine="440" w:firstLineChars="200"/>
        <w:jc w:val="both"/>
        <w:rPr>
          <w:rFonts w:hint="eastAsia" w:ascii="Times New Roman" w:hAnsi="Times New Roman" w:eastAsia="宋体" w:cs="Times New Roman"/>
          <w:color w:val="FF0000"/>
          <w:lang w:eastAsia="zh-CN"/>
        </w:rPr>
      </w:pPr>
      <w:r>
        <w:rPr>
          <w:rFonts w:hint="default" w:ascii="Times New Roman" w:hAnsi="Times New Roman" w:eastAsia="宋体" w:cs="Times New Roman"/>
          <w:color w:val="FF0000"/>
        </w:rPr>
        <w:t>大语言模型（Large Language Models, LLMs）正加速渗透至医疗健康领域，其</w:t>
      </w:r>
      <w:r>
        <w:rPr>
          <w:rFonts w:hint="eastAsia" w:ascii="Times New Roman" w:hAnsi="Times New Roman" w:eastAsia="宋体" w:cs="Times New Roman"/>
          <w:color w:val="FF0000"/>
          <w:lang w:val="en-US" w:eastAsia="zh-CN"/>
        </w:rPr>
        <w:t>在</w:t>
      </w:r>
      <w:r>
        <w:rPr>
          <w:rFonts w:hint="default" w:ascii="Times New Roman" w:hAnsi="Times New Roman" w:eastAsia="宋体" w:cs="Times New Roman"/>
          <w:color w:val="FF0000"/>
        </w:rPr>
        <w:t>中医药</w:t>
      </w:r>
      <w:r>
        <w:rPr>
          <w:rFonts w:hint="eastAsia" w:ascii="Times New Roman" w:hAnsi="Times New Roman" w:eastAsia="宋体" w:cs="Times New Roman"/>
          <w:color w:val="FF0000"/>
          <w:lang w:val="en-US" w:eastAsia="zh-CN"/>
        </w:rPr>
        <w:t>临床实践</w:t>
      </w:r>
      <w:r>
        <w:rPr>
          <w:rFonts w:hint="default" w:ascii="Times New Roman" w:hAnsi="Times New Roman" w:eastAsia="宋体" w:cs="Times New Roman"/>
          <w:color w:val="FF0000"/>
        </w:rPr>
        <w:t>场景</w:t>
      </w:r>
      <w:r>
        <w:rPr>
          <w:rFonts w:hint="eastAsia" w:ascii="Times New Roman" w:hAnsi="Times New Roman" w:eastAsia="宋体" w:cs="Times New Roman"/>
          <w:color w:val="FF0000"/>
          <w:lang w:val="en-US" w:eastAsia="zh-CN"/>
        </w:rPr>
        <w:t>的应用</w:t>
      </w:r>
      <w:r>
        <w:rPr>
          <w:rFonts w:hint="default" w:ascii="Times New Roman" w:hAnsi="Times New Roman" w:eastAsia="宋体" w:cs="Times New Roman"/>
          <w:color w:val="FF0000"/>
        </w:rPr>
        <w:t>能力与潜在风险亟需建立系统化的评测框架。本文系统检索</w:t>
      </w:r>
      <w:r>
        <w:rPr>
          <w:rFonts w:hint="eastAsia" w:ascii="Times New Roman" w:hAnsi="Times New Roman" w:eastAsia="宋体" w:cs="Times New Roman"/>
          <w:color w:val="FF0000"/>
          <w:lang w:val="en-US" w:eastAsia="zh-CN"/>
        </w:rPr>
        <w:t>自建库至2026年6月9日</w:t>
      </w:r>
      <w:r>
        <w:rPr>
          <w:rFonts w:hint="default" w:ascii="Times New Roman" w:hAnsi="Times New Roman" w:eastAsia="宋体" w:cs="Times New Roman"/>
          <w:color w:val="FF0000"/>
        </w:rPr>
        <w:t>Web of Science、PubMed、中国知网</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万方</w:t>
      </w:r>
      <w:r>
        <w:rPr>
          <w:rFonts w:hint="eastAsia" w:ascii="Times New Roman" w:hAnsi="Times New Roman" w:eastAsia="宋体" w:cs="Times New Roman"/>
          <w:color w:val="FF0000"/>
          <w:lang w:val="en-US" w:eastAsia="zh-CN"/>
        </w:rPr>
        <w:t>等</w:t>
      </w:r>
      <w:r>
        <w:rPr>
          <w:rFonts w:hint="default" w:ascii="Times New Roman" w:hAnsi="Times New Roman" w:eastAsia="宋体" w:cs="Times New Roman"/>
          <w:color w:val="FF0000"/>
        </w:rPr>
        <w:t>数据库</w:t>
      </w:r>
      <w:r>
        <w:rPr>
          <w:rFonts w:hint="eastAsia" w:ascii="Times New Roman" w:hAnsi="Times New Roman" w:eastAsia="宋体" w:cs="Times New Roman"/>
          <w:color w:val="FF0000"/>
          <w:lang w:val="en-US" w:eastAsia="zh-CN"/>
        </w:rPr>
        <w:t>的相关核心研究文献276篇</w:t>
      </w:r>
      <w:r>
        <w:rPr>
          <w:rFonts w:hint="default" w:ascii="Times New Roman" w:hAnsi="Times New Roman" w:eastAsia="宋体" w:cs="Times New Roman"/>
          <w:color w:val="FF0000"/>
        </w:rPr>
        <w:t>，</w:t>
      </w:r>
      <w:r>
        <w:rPr>
          <w:rFonts w:hint="eastAsia" w:ascii="Times New Roman" w:hAnsi="Times New Roman" w:eastAsia="宋体" w:cs="Times New Roman"/>
          <w:color w:val="FF0000"/>
          <w:lang w:val="en-US" w:eastAsia="zh-CN"/>
        </w:rPr>
        <w:t>根据纳排除标准</w:t>
      </w:r>
      <w:r>
        <w:rPr>
          <w:rFonts w:hint="default" w:ascii="Times New Roman" w:hAnsi="Times New Roman" w:eastAsia="宋体" w:cs="Times New Roman"/>
          <w:color w:val="FF0000"/>
        </w:rPr>
        <w:t>筛选纳入34篇文献，从评测基准构建、模型能力比较与核心场景评测实践三个维度进行梳理，并对现有体系的方法学局限进行深层反思。</w:t>
      </w:r>
      <w:r>
        <w:rPr>
          <w:rFonts w:hint="eastAsia" w:ascii="Times New Roman" w:hAnsi="Times New Roman" w:eastAsia="宋体" w:cs="Times New Roman"/>
          <w:color w:val="FF0000"/>
          <w:lang w:val="en-US" w:eastAsia="zh-CN"/>
        </w:rPr>
        <w:t>结果表明</w:t>
      </w:r>
      <w:r>
        <w:rPr>
          <w:rFonts w:hint="default" w:ascii="Times New Roman" w:hAnsi="Times New Roman" w:eastAsia="宋体" w:cs="Times New Roman"/>
          <w:color w:val="FF0000"/>
        </w:rPr>
        <w:t>：当前评测基准已从标准化考试拓展至辨证思维、处方审核、古汉语理解及多模态感知等细粒度方向；通用LLM与中医专用LLM在知识记忆与临床推理方面各存局限，而模型代际差异、题型设置与评测协议的不一致严重制约了跨研究结果的可比性；现有评测多基于</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文本封闭世界</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假设，在多感官诊断、安全边界及真实临床效用维度上可能显著高估模型的实际能力。据此，本文提出构建中医药知识驱动的分层评测体系</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知识→辨证→治则→方药→疗效，并从多模态数据基础设施、分层标准建设、方法论创新及真实世界验证等方面探讨未来方向，以期推动LLM在中医药领域从</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可用</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走向</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可信、可靠</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p>
    <w:p w14:paraId="714887D8">
      <w:pPr>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大语言模型；中医药；评测研究；临床推理；多模态</w:t>
      </w:r>
    </w:p>
    <w:p w14:paraId="59276059">
      <w:pPr>
        <w:rPr>
          <w:rFonts w:hint="eastAsia" w:ascii="宋体" w:hAnsi="宋体" w:eastAsia="宋体" w:cs="宋体"/>
        </w:rPr>
      </w:pPr>
    </w:p>
    <w:p w14:paraId="111467D2">
      <w:pPr>
        <w:pStyle w:val="4"/>
        <w:rPr>
          <w:rFonts w:hint="eastAsia" w:ascii="宋体" w:hAnsi="宋体" w:eastAsia="宋体" w:cs="宋体"/>
        </w:rPr>
      </w:pPr>
      <w:r>
        <w:rPr>
          <w:rFonts w:hint="eastAsia" w:ascii="宋体" w:hAnsi="宋体" w:eastAsia="宋体" w:cs="宋体"/>
          <w:color w:val="000000"/>
        </w:rPr>
        <w:t>Abstract</w:t>
      </w:r>
    </w:p>
    <w:p w14:paraId="346FDA8F">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Large Language Models ( LLMs ) are accelerating their penetration into the field of medical health, and their application capabilities and potential risks in clinical practice scenarios of traditional Chinese medicine need to establish a systematic evaluation framework. This paper systematically searched 276 core research literatures related to Web of Science, PubMed, CNKI, Wanfang and other databases from the establishment of the database to June 9,2026.According to the inclusion and exclusion criteria, 34 literatures were screened and included, and the three dimensions of evaluation benchmark construction, model capability comparison and core scenario evaluation practice were sorted out, and the methodological limitations of the existing system were deeply reflected. The results show that the current evaluation benchmark has expanded from standardized tests to fine-grained directions such as dialectical thinking, prescription review, ancient Chinese understanding and multimodal perception. General LLM and TCM-specific LLM have their own limitations in knowledge memory and clinical reasoning, while the intergenerational differences of models, the inconsistency of question type setting and evaluation protocol seriously restrict the comparability of cross-study results. Most of the existing evaluations are based on the ' text closed world ' hypothesis, which may significantly overestimate the actual ability of the model in the dimensions of multi-sensory diagnosis, safety boundary and real clinical utility. Based on this, this paper proposes to construct a hierarchical evaluation system driven by TCM knowledge </w:t>
      </w:r>
      <w:r>
        <w:rPr>
          <w:rFonts w:hint="eastAsia" w:ascii="Times New Roman" w:hAnsi="Times New Roman" w:eastAsia="宋体" w:cs="Times New Roman"/>
          <w:color w:val="FF0000"/>
          <w:lang w:val="en-US" w:eastAsia="zh-CN"/>
        </w:rPr>
        <w:t>:</w:t>
      </w:r>
      <w:r>
        <w:rPr>
          <w:rFonts w:hint="default" w:ascii="Times New Roman" w:hAnsi="Times New Roman" w:eastAsia="宋体" w:cs="Times New Roman"/>
          <w:color w:val="FF0000"/>
        </w:rPr>
        <w:t xml:space="preserve"> knowledge → syndrome differentiation → treatment principle → prescription → curative effect , and discusses the future direction from the aspects of multimodal data infrastructure, hierarchical standard construction, methodological innovation and real world verification, in order to promote LLM from ' available ' to ' credible and reliable ' in the field of TCM.</w:t>
      </w:r>
    </w:p>
    <w:p w14:paraId="50642DA4">
      <w:pPr>
        <w:spacing w:line="360" w:lineRule="auto"/>
        <w:jc w:val="both"/>
        <w:rPr>
          <w:rFonts w:hint="default" w:ascii="Times New Roman" w:hAnsi="Times New Roman" w:eastAsia="宋体" w:cs="Times New Roman"/>
          <w:color w:val="FF0000"/>
        </w:rPr>
      </w:pPr>
      <w:r>
        <w:rPr>
          <w:rFonts w:hint="default" w:ascii="Times New Roman" w:hAnsi="Times New Roman" w:eastAsia="宋体" w:cs="Times New Roman"/>
          <w:b/>
          <w:color w:val="FF0000"/>
        </w:rPr>
        <w:t>Key words</w:t>
      </w:r>
      <w:r>
        <w:rPr>
          <w:rFonts w:hint="default" w:ascii="Times New Roman" w:hAnsi="Times New Roman" w:eastAsia="宋体" w:cs="Times New Roman"/>
          <w:b/>
          <w:color w:val="FF0000"/>
          <w:lang w:eastAsia="zh-CN"/>
        </w:rPr>
        <w:t>：</w:t>
      </w:r>
      <w:r>
        <w:rPr>
          <w:rFonts w:hint="default" w:ascii="Times New Roman" w:hAnsi="Times New Roman" w:eastAsia="宋体" w:cs="Times New Roman"/>
          <w:color w:val="FF0000"/>
        </w:rPr>
        <w:t>Large language models; Traditional Chinese medicine; Evaluation research; Clinical reasoning; Multimodal</w:t>
      </w:r>
    </w:p>
    <w:p w14:paraId="2E319569">
      <w:pPr>
        <w:spacing w:line="360" w:lineRule="auto"/>
        <w:jc w:val="both"/>
        <w:rPr>
          <w:rFonts w:hint="default" w:ascii="Times New Roman" w:hAnsi="Times New Roman" w:eastAsia="宋体" w:cs="Times New Roman"/>
          <w:color w:val="FF0000"/>
        </w:rPr>
      </w:pPr>
      <w:r>
        <w:rPr>
          <w:rFonts w:hint="default" w:ascii="Times New Roman" w:hAnsi="Times New Roman" w:eastAsia="宋体" w:cs="Times New Roman"/>
          <w:color w:val="FF0000"/>
        </w:rPr>
        <w:br w:type="page"/>
      </w:r>
    </w:p>
    <w:p w14:paraId="14991F9D">
      <w:pPr>
        <w:pStyle w:val="4"/>
        <w:rPr>
          <w:rFonts w:hint="eastAsia" w:ascii="宋体" w:hAnsi="宋体" w:eastAsia="宋体" w:cs="宋体"/>
        </w:rPr>
      </w:pPr>
      <w:r>
        <w:rPr>
          <w:rFonts w:hint="eastAsia" w:ascii="宋体" w:hAnsi="宋体" w:eastAsia="宋体" w:cs="宋体"/>
          <w:color w:val="000000"/>
        </w:rPr>
        <w:t>1 引言</w:t>
      </w:r>
    </w:p>
    <w:p w14:paraId="2B05B1CA">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大语言模型具备较强的自然语言理解、生成与推理能力，正在改变医疗健康领域的服务模式与知识获取方式。中医药学根植于中国古代哲学，辨证论治强调望闻问切、四诊合参，以整体观念与经验传承为核心，与现代医学基于循证证据的还原论逻辑存在明显差异。在此背景下，大语言模型能否真正内化中医药知识体系、遵循中医逻辑完成临床推理，并在教学辅助与临床决策中安全有效地应用，已成为中医药信息化与智能化研究亟待回答的问题。近年来相关研究大致沿三条路径展开：一是构建符合中医药认知特点的评测基准与数据集，二是系统评估各类模型在中医特定任务上的表现，三是开发面向临床、教育等具体场景的专用系统并检验其效果。已有综述多侧重大语言模型在中医药领域的微调技术与应用概览[1]，或从中西医结合视角作出宏观判断[2]，对评测方法论这一关键环节的系统梳理与理论建构仍显不足。本文据此系统梳理评测基准的构建进展，比较不同类型模型的性能差异，归纳核心场景的评测实践，并剖析现有体系的方法学局限与未来方向，以期为中医药大语言模型的科学评价与规范应用提供参考。</w:t>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lang w:eastAsia="zh-CN"/>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eastAsia="zh-CN"/>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lang w:eastAsia="zh-CN"/>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p>
    <w:p w14:paraId="3538B0DD">
      <w:pPr>
        <w:pStyle w:val="4"/>
        <w:rPr>
          <w:rFonts w:hint="eastAsia" w:ascii="宋体" w:hAnsi="宋体" w:eastAsia="宋体" w:cs="宋体"/>
        </w:rPr>
      </w:pPr>
      <w:r>
        <w:rPr>
          <w:rFonts w:hint="eastAsia" w:ascii="宋体" w:hAnsi="宋体" w:eastAsia="宋体" w:cs="宋体"/>
          <w:color w:val="000000"/>
        </w:rPr>
        <w:t>2 资料与方法</w:t>
      </w:r>
    </w:p>
    <w:p w14:paraId="5DE9B0F1">
      <w:pPr>
        <w:pStyle w:val="5"/>
        <w:rPr>
          <w:rFonts w:hint="eastAsia" w:ascii="宋体" w:hAnsi="宋体" w:eastAsia="宋体" w:cs="宋体"/>
        </w:rPr>
      </w:pPr>
      <w:r>
        <w:rPr>
          <w:rFonts w:hint="eastAsia" w:ascii="宋体" w:hAnsi="宋体" w:eastAsia="宋体" w:cs="宋体"/>
          <w:color w:val="000000"/>
        </w:rPr>
        <w:t>2.1 文献检索策略</w:t>
      </w:r>
    </w:p>
    <w:p w14:paraId="23FCAB81">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lang w:val="en-US" w:eastAsia="zh-CN"/>
        </w:rPr>
        <w:t>以</w:t>
      </w:r>
      <w:r>
        <w:rPr>
          <w:rFonts w:hint="eastAsia" w:ascii="Times New Roman" w:hAnsi="Times New Roman" w:eastAsia="宋体" w:cs="Times New Roman"/>
          <w:color w:val="FF0000"/>
          <w:lang w:val="en-US" w:eastAsia="zh-CN"/>
        </w:rPr>
        <w:t>“</w:t>
      </w:r>
      <w:r>
        <w:rPr>
          <w:rFonts w:hint="default" w:ascii="Times New Roman" w:hAnsi="Times New Roman" w:eastAsia="宋体" w:cs="Times New Roman"/>
          <w:color w:val="FF0000"/>
        </w:rPr>
        <w:t>大语言模型/大模型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、“中医药”与“评测/评估”三组核心概念，</w:t>
      </w:r>
      <w:r>
        <w:rPr>
          <w:rFonts w:hint="default" w:ascii="Times New Roman" w:hAnsi="Times New Roman" w:eastAsia="宋体" w:cs="Times New Roman"/>
          <w:color w:val="FF0000"/>
          <w:lang w:val="en-US" w:eastAsia="zh-CN"/>
        </w:rPr>
        <w:t>检索建库至2026年6月9日</w:t>
      </w:r>
      <w:r>
        <w:rPr>
          <w:rFonts w:hint="default" w:ascii="Times New Roman" w:hAnsi="Times New Roman" w:eastAsia="宋体" w:cs="Times New Roman"/>
          <w:color w:val="FF0000"/>
        </w:rPr>
        <w:t>Web of Science核心合</w:t>
      </w:r>
      <w:r>
        <w:rPr>
          <w:rFonts w:hint="default" w:ascii="Times New Roman" w:hAnsi="Times New Roman" w:eastAsia="宋体" w:cs="Times New Roman"/>
          <w:color w:val="FF0000"/>
          <w:lang w:val="en-US" w:eastAsia="zh-CN"/>
        </w:rPr>
        <w:t>集</w:t>
      </w:r>
      <w:r>
        <w:rPr>
          <w:rFonts w:hint="default" w:ascii="Times New Roman" w:hAnsi="Times New Roman" w:eastAsia="宋体" w:cs="Times New Roman"/>
          <w:color w:val="FF0000"/>
        </w:rPr>
        <w:t>、PubMed、中国知网及万方数据库</w:t>
      </w:r>
      <w:r>
        <w:rPr>
          <w:rFonts w:hint="default" w:ascii="Times New Roman" w:hAnsi="Times New Roman" w:eastAsia="宋体" w:cs="Times New Roman"/>
          <w:color w:val="FF0000"/>
          <w:lang w:val="en-US" w:eastAsia="zh-CN"/>
        </w:rPr>
        <w:t>的</w:t>
      </w:r>
      <w:r>
        <w:rPr>
          <w:rFonts w:hint="eastAsia" w:ascii="Times New Roman" w:hAnsi="Times New Roman" w:eastAsia="宋体" w:cs="Times New Roman"/>
          <w:color w:val="FF0000"/>
          <w:lang w:val="en-US" w:eastAsia="zh-CN"/>
        </w:rPr>
        <w:t>相关</w:t>
      </w:r>
      <w:r>
        <w:rPr>
          <w:rFonts w:hint="default" w:ascii="Times New Roman" w:hAnsi="Times New Roman" w:eastAsia="宋体" w:cs="Times New Roman"/>
          <w:color w:val="FF0000"/>
          <w:lang w:val="en-US" w:eastAsia="zh-CN"/>
        </w:rPr>
        <w:t>文献</w:t>
      </w:r>
      <w:r>
        <w:rPr>
          <w:rFonts w:hint="default" w:ascii="Times New Roman" w:hAnsi="Times New Roman" w:eastAsia="宋体" w:cs="Times New Roman"/>
          <w:color w:val="FF0000"/>
        </w:rPr>
        <w:t>。英文</w:t>
      </w:r>
      <w:r>
        <w:rPr>
          <w:rFonts w:hint="default" w:ascii="Times New Roman" w:hAnsi="Times New Roman" w:eastAsia="宋体" w:cs="Times New Roman"/>
          <w:color w:val="FF0000"/>
          <w:lang w:val="en-US" w:eastAsia="zh-CN"/>
        </w:rPr>
        <w:t>文献</w:t>
      </w:r>
      <w:r>
        <w:rPr>
          <w:rFonts w:hint="default" w:ascii="Times New Roman" w:hAnsi="Times New Roman" w:eastAsia="宋体" w:cs="Times New Roman"/>
          <w:color w:val="FF0000"/>
        </w:rPr>
        <w:t>采用主题词与自由词组合检索：技术词（large language model, LLM, GPT, ChatGPT, generative AI, foundation model）、领域词（traditional Chinese medicine, Chinese medicine, acupuncture, syndrome differentiation, tongue diagnosis等）、评测词（evaluat, assess, benchmark, accuracy, reasoning, examination等），三组取交集；PubMed同时采用MeSH词“Medicine, Chinese Traditional”。中文</w:t>
      </w:r>
      <w:r>
        <w:rPr>
          <w:rFonts w:hint="eastAsia" w:ascii="Times New Roman" w:hAnsi="Times New Roman" w:eastAsia="宋体" w:cs="Times New Roman"/>
          <w:color w:val="FF0000"/>
          <w:lang w:val="en-US" w:eastAsia="zh-CN"/>
        </w:rPr>
        <w:t>文献</w:t>
      </w:r>
      <w:r>
        <w:rPr>
          <w:rFonts w:hint="default" w:ascii="Times New Roman" w:hAnsi="Times New Roman" w:eastAsia="宋体" w:cs="Times New Roman"/>
          <w:color w:val="FF0000"/>
        </w:rPr>
        <w:t>以</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大语言模型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大模型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中医药</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评测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评估</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基准</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等为主题或篇名进行检索。排除机器翻译、英文写作及非评测主题的文献。</w:t>
      </w:r>
    </w:p>
    <w:p w14:paraId="613CB8B6">
      <w:pPr>
        <w:pStyle w:val="5"/>
        <w:rPr>
          <w:rFonts w:hint="eastAsia" w:ascii="宋体" w:hAnsi="宋体" w:eastAsia="宋体" w:cs="宋体"/>
        </w:rPr>
      </w:pPr>
      <w:r>
        <w:rPr>
          <w:rFonts w:hint="eastAsia" w:ascii="宋体" w:hAnsi="宋体" w:eastAsia="宋体" w:cs="宋体"/>
          <w:color w:val="000000"/>
        </w:rPr>
        <w:t>2.2 文献筛选与纳入</w:t>
      </w:r>
    </w:p>
    <w:p w14:paraId="04C849B1">
      <w:pPr>
        <w:spacing w:line="360" w:lineRule="auto"/>
        <w:ind w:firstLine="440" w:firstLineChars="200"/>
        <w:jc w:val="both"/>
        <w:rPr>
          <w:rFonts w:hint="eastAsia" w:ascii="宋体" w:hAnsi="宋体" w:eastAsia="宋体" w:cs="宋体"/>
          <w:color w:val="FF0000"/>
        </w:rPr>
      </w:pPr>
      <w:r>
        <w:rPr>
          <w:rFonts w:hint="eastAsia" w:eastAsia="宋体" w:cs="宋体"/>
          <w:color w:val="FF0000"/>
          <w:lang w:val="en-US" w:eastAsia="zh-CN"/>
        </w:rPr>
        <w:t>共检索出相关</w:t>
      </w:r>
      <w:r>
        <w:rPr>
          <w:rFonts w:hint="eastAsia" w:ascii="宋体" w:hAnsi="宋体" w:eastAsia="宋体" w:cs="宋体"/>
          <w:color w:val="FF0000"/>
        </w:rPr>
        <w:t>文献276篇</w:t>
      </w:r>
      <w:r>
        <w:rPr>
          <w:rFonts w:hint="eastAsia" w:eastAsia="宋体" w:cs="宋体"/>
          <w:color w:val="FF0000"/>
          <w:lang w:eastAsia="zh-CN"/>
        </w:rPr>
        <w:t>，</w:t>
      </w:r>
      <w:r>
        <w:rPr>
          <w:rFonts w:hint="eastAsia" w:eastAsia="宋体" w:cs="宋体"/>
          <w:color w:val="FF0000"/>
          <w:lang w:val="en-US" w:eastAsia="zh-CN"/>
        </w:rPr>
        <w:t>其中</w:t>
      </w:r>
      <w:r>
        <w:rPr>
          <w:rFonts w:hint="eastAsia" w:ascii="宋体" w:hAnsi="宋体" w:eastAsia="宋体" w:cs="宋体"/>
          <w:color w:val="FF0000"/>
        </w:rPr>
        <w:t>Web of Science 125篇、PubMed 85篇、CNKI 57篇、万方9篇。经去重、标题与摘要初筛、全文复筛，最终纳入与中医药大语言模型评测相关核心研究</w:t>
      </w:r>
      <w:r>
        <w:rPr>
          <w:rFonts w:hint="eastAsia" w:eastAsia="宋体" w:cs="宋体"/>
          <w:color w:val="FF0000"/>
          <w:lang w:val="en-US" w:eastAsia="zh-CN"/>
        </w:rPr>
        <w:t>文献</w:t>
      </w:r>
      <w:r>
        <w:rPr>
          <w:rFonts w:hint="eastAsia" w:ascii="宋体" w:hAnsi="宋体" w:eastAsia="宋体" w:cs="宋体"/>
          <w:color w:val="FF0000"/>
        </w:rPr>
        <w:t>34篇，作为综述的证据主体（文献筛选流程见图1）。引言与讨论部分另引用少量奠基性文献与相关标准用于背景铺垫与方法学论证，此类叙述性引用不属于上述系统检索与筛选范围，亦不计入图1的流程统计。</w:t>
      </w:r>
    </w:p>
    <w:p w14:paraId="3B8CC7EE">
      <w:pPr>
        <w:rPr>
          <w:rFonts w:hint="eastAsia" w:ascii="宋体" w:hAnsi="宋体" w:eastAsia="宋体" w:cs="宋体"/>
        </w:rPr>
      </w:pPr>
      <w:r>
        <w:rPr>
          <w:rFonts w:hint="eastAsia" w:ascii="宋体" w:hAnsi="宋体" w:eastAsia="宋体" w:cs="宋体"/>
          <w:b/>
          <w:sz w:val="18"/>
        </w:rPr>
        <w:drawing>
          <wp:inline distT="0" distB="0" distL="114300" distR="114300">
            <wp:extent cx="5481320" cy="3710305"/>
            <wp:effectExtent l="0" t="0" r="5080" b="4445"/>
            <wp:docPr id="4" name="图片 4" descr="图1-图1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图1 PRISMA"/>
                    <pic:cNvPicPr>
                      <a:picLocks noChangeAspect="1"/>
                    </pic:cNvPicPr>
                  </pic:nvPicPr>
                  <pic:blipFill>
                    <a:blip r:embed="rId6"/>
                    <a:stretch>
                      <a:fillRect/>
                    </a:stretch>
                  </pic:blipFill>
                  <pic:spPr>
                    <a:xfrm>
                      <a:off x="0" y="0"/>
                      <a:ext cx="5481320" cy="3710305"/>
                    </a:xfrm>
                    <a:prstGeom prst="rect">
                      <a:avLst/>
                    </a:prstGeom>
                  </pic:spPr>
                </pic:pic>
              </a:graphicData>
            </a:graphic>
          </wp:inline>
        </w:drawing>
      </w:r>
    </w:p>
    <w:p w14:paraId="1C33FC96">
      <w:pPr>
        <w:rPr>
          <w:rFonts w:hint="eastAsia" w:ascii="宋体" w:hAnsi="宋体" w:eastAsia="宋体" w:cs="宋体"/>
        </w:rPr>
      </w:pPr>
      <w:r>
        <w:rPr>
          <w:rFonts w:hint="eastAsia" w:ascii="宋体" w:hAnsi="宋体" w:eastAsia="宋体" w:cs="宋体"/>
        </w:rPr>
        <w:t>图1 文献检索与筛选流程（PRISMA）</w:t>
      </w:r>
    </w:p>
    <w:p w14:paraId="779A05D1">
      <w:pPr>
        <w:rPr>
          <w:rFonts w:hint="eastAsia" w:ascii="宋体" w:hAnsi="宋体" w:eastAsia="宋体" w:cs="宋体"/>
        </w:rPr>
      </w:pPr>
      <w:r>
        <w:rPr>
          <w:rFonts w:hint="eastAsia" w:ascii="宋体" w:hAnsi="宋体" w:eastAsia="宋体" w:cs="宋体"/>
        </w:rPr>
        <w:br w:type="page"/>
      </w:r>
    </w:p>
    <w:p w14:paraId="1BE23856">
      <w:pPr>
        <w:pStyle w:val="4"/>
        <w:rPr>
          <w:rFonts w:hint="eastAsia" w:ascii="宋体" w:hAnsi="宋体" w:eastAsia="宋体" w:cs="宋体"/>
        </w:rPr>
      </w:pPr>
      <w:r>
        <w:rPr>
          <w:rFonts w:hint="eastAsia" w:ascii="宋体" w:hAnsi="宋体" w:eastAsia="宋体" w:cs="宋体"/>
          <w:color w:val="000000"/>
        </w:rPr>
        <w:t>3 中医药领域大语言模型评测研究现状</w:t>
      </w:r>
    </w:p>
    <w:p w14:paraId="6EC4EAFB">
      <w:pPr>
        <w:pStyle w:val="4"/>
        <w:bidi w:val="0"/>
        <w:rPr>
          <w:rFonts w:hint="eastAsia" w:ascii="宋体" w:hAnsi="宋体" w:eastAsia="宋体" w:cs="宋体"/>
        </w:rPr>
      </w:pPr>
      <w:r>
        <w:rPr>
          <w:rFonts w:hint="eastAsia" w:ascii="宋体" w:hAnsi="宋体" w:eastAsia="宋体" w:cs="宋体"/>
        </w:rPr>
        <w:t>3.1 评测基准的构建进展</w:t>
      </w:r>
    </w:p>
    <w:p w14:paraId="3C7BC53A">
      <w:pPr>
        <w:spacing w:line="360" w:lineRule="auto"/>
        <w:ind w:firstLine="440" w:firstLineChars="200"/>
        <w:rPr>
          <w:rFonts w:hint="eastAsia" w:ascii="宋体" w:hAnsi="宋体" w:eastAsia="宋体" w:cs="宋体"/>
          <w:color w:val="FF0000"/>
        </w:rPr>
      </w:pPr>
      <w:r>
        <w:rPr>
          <w:rFonts w:hint="eastAsia" w:ascii="宋体" w:hAnsi="宋体" w:eastAsia="宋体" w:cs="宋体"/>
          <w:color w:val="FF0000"/>
        </w:rPr>
        <w:t>评测基准是评估LLM领域能力的基础设施。中医领域的基准构建正经历由通用知识考察向专业能力评估、由单一文本模态向多模态融合、由静态问答向动态交互推理的演进。代表性基准的分类见表1。</w:t>
      </w:r>
    </w:p>
    <w:p w14:paraId="679A9CD1">
      <w:pPr>
        <w:jc w:val="center"/>
        <w:rPr>
          <w:rFonts w:hint="eastAsia" w:ascii="宋体" w:hAnsi="宋体" w:eastAsia="宋体" w:cs="宋体"/>
          <w:color w:val="FF0000"/>
        </w:rPr>
      </w:pPr>
      <w:r>
        <w:rPr>
          <w:rFonts w:hint="eastAsia" w:eastAsia="宋体" w:cs="宋体"/>
          <w:color w:val="FF0000"/>
          <w:lang w:val="en-US" w:eastAsia="zh-CN"/>
        </w:rPr>
        <w:t>表1</w:t>
      </w:r>
      <w:r>
        <w:rPr>
          <w:rFonts w:hint="eastAsia" w:ascii="宋体" w:hAnsi="宋体" w:eastAsia="宋体" w:cs="宋体"/>
          <w:color w:val="FF0000"/>
        </w:rPr>
        <w:t>中医药大语言模型评测基准代表性分类</w:t>
      </w:r>
    </w:p>
    <w:tbl>
      <w:tblPr>
        <w:tblStyle w:val="33"/>
        <w:tblW w:w="0" w:type="auto"/>
        <w:jc w:val="center"/>
        <w:tblLayout w:type="autofit"/>
        <w:tblCellMar>
          <w:top w:w="0" w:type="dxa"/>
          <w:left w:w="108" w:type="dxa"/>
          <w:bottom w:w="0" w:type="dxa"/>
          <w:right w:w="108" w:type="dxa"/>
        </w:tblCellMar>
      </w:tblPr>
      <w:tblGrid>
        <w:gridCol w:w="1236"/>
        <w:gridCol w:w="4556"/>
        <w:gridCol w:w="2848"/>
      </w:tblGrid>
      <w:tr w14:paraId="70161F94">
        <w:tblPrEx>
          <w:tblCellMar>
            <w:top w:w="0" w:type="dxa"/>
            <w:left w:w="108" w:type="dxa"/>
            <w:bottom w:w="0" w:type="dxa"/>
            <w:right w:w="108" w:type="dxa"/>
          </w:tblCellMar>
        </w:tblPrEx>
        <w:trPr>
          <w:jc w:val="center"/>
        </w:trPr>
        <w:tc>
          <w:tcPr>
            <w:tcW w:w="1236" w:type="dxa"/>
            <w:tcBorders>
              <w:top w:val="single" w:color="000000" w:sz="12" w:space="0"/>
              <w:left w:val="nil"/>
              <w:bottom w:val="single" w:color="000000" w:sz="6" w:space="0"/>
              <w:right w:val="nil"/>
            </w:tcBorders>
          </w:tcPr>
          <w:p w14:paraId="2DF85CB6">
            <w:pPr>
              <w:jc w:val="center"/>
              <w:rPr>
                <w:rFonts w:hint="eastAsia" w:ascii="宋体" w:hAnsi="宋体" w:eastAsia="宋体" w:cs="宋体"/>
              </w:rPr>
            </w:pPr>
            <w:r>
              <w:rPr>
                <w:rFonts w:hint="eastAsia" w:ascii="宋体" w:hAnsi="宋体" w:eastAsia="宋体" w:cs="宋体"/>
                <w:b/>
                <w:sz w:val="18"/>
              </w:rPr>
              <w:t>类别</w:t>
            </w:r>
          </w:p>
        </w:tc>
        <w:tc>
          <w:tcPr>
            <w:tcW w:w="4556" w:type="dxa"/>
            <w:tcBorders>
              <w:top w:val="single" w:color="000000" w:sz="12" w:space="0"/>
              <w:left w:val="nil"/>
              <w:bottom w:val="single" w:color="000000" w:sz="6" w:space="0"/>
              <w:right w:val="nil"/>
            </w:tcBorders>
          </w:tcPr>
          <w:p w14:paraId="384D8839">
            <w:pPr>
              <w:jc w:val="center"/>
              <w:rPr>
                <w:rFonts w:hint="eastAsia" w:ascii="宋体" w:hAnsi="宋体" w:eastAsia="宋体" w:cs="宋体"/>
              </w:rPr>
            </w:pPr>
            <w:r>
              <w:rPr>
                <w:rFonts w:hint="eastAsia" w:ascii="宋体" w:hAnsi="宋体" w:eastAsia="宋体" w:cs="宋体"/>
                <w:b/>
                <w:sz w:val="18"/>
              </w:rPr>
              <w:t>代表性数据集/基准</w:t>
            </w:r>
          </w:p>
        </w:tc>
        <w:tc>
          <w:tcPr>
            <w:tcW w:w="2848" w:type="dxa"/>
            <w:tcBorders>
              <w:top w:val="single" w:color="000000" w:sz="12" w:space="0"/>
              <w:left w:val="nil"/>
              <w:bottom w:val="single" w:color="000000" w:sz="6" w:space="0"/>
              <w:right w:val="nil"/>
            </w:tcBorders>
          </w:tcPr>
          <w:p w14:paraId="7F9A22E7">
            <w:pPr>
              <w:jc w:val="center"/>
              <w:rPr>
                <w:rFonts w:hint="eastAsia" w:ascii="宋体" w:hAnsi="宋体" w:eastAsia="宋体" w:cs="宋体"/>
              </w:rPr>
            </w:pPr>
            <w:r>
              <w:rPr>
                <w:rFonts w:hint="eastAsia" w:ascii="宋体" w:hAnsi="宋体" w:eastAsia="宋体" w:cs="宋体"/>
                <w:b/>
                <w:sz w:val="18"/>
              </w:rPr>
              <w:t>主要评测对象</w:t>
            </w:r>
          </w:p>
        </w:tc>
      </w:tr>
      <w:tr w14:paraId="069D71FC">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002B1789">
            <w:pPr>
              <w:jc w:val="center"/>
              <w:rPr>
                <w:rFonts w:hint="eastAsia" w:ascii="宋体" w:hAnsi="宋体" w:eastAsia="宋体" w:cs="宋体"/>
              </w:rPr>
            </w:pPr>
            <w:r>
              <w:rPr>
                <w:rFonts w:hint="eastAsia" w:ascii="宋体" w:hAnsi="宋体" w:eastAsia="宋体" w:cs="宋体"/>
                <w:b w:val="0"/>
                <w:sz w:val="18"/>
              </w:rPr>
              <w:t>考试类</w:t>
            </w:r>
          </w:p>
        </w:tc>
        <w:tc>
          <w:tcPr>
            <w:tcW w:w="4556" w:type="dxa"/>
            <w:tcBorders>
              <w:top w:val="nil"/>
              <w:left w:val="nil"/>
              <w:bottom w:val="nil"/>
              <w:right w:val="nil"/>
            </w:tcBorders>
          </w:tcPr>
          <w:p w14:paraId="5A08699D">
            <w:pPr>
              <w:jc w:val="center"/>
              <w:rPr>
                <w:rFonts w:hint="eastAsia" w:ascii="宋体" w:hAnsi="宋体" w:eastAsia="宋体" w:cs="宋体"/>
              </w:rPr>
            </w:pPr>
            <w:r>
              <w:rPr>
                <w:rFonts w:hint="eastAsia" w:ascii="宋体" w:hAnsi="宋体" w:eastAsia="宋体" w:cs="宋体"/>
                <w:b w:val="0"/>
                <w:sz w:val="18"/>
              </w:rPr>
              <w:t>中医执业医师</w:t>
            </w:r>
            <w:r>
              <w:rPr>
                <w:rFonts w:hint="eastAsia" w:eastAsia="宋体" w:cs="宋体"/>
                <w:b w:val="0"/>
                <w:color w:val="FF0000"/>
                <w:sz w:val="18"/>
                <w:lang w:val="en-US" w:eastAsia="zh-CN"/>
              </w:rPr>
              <w:t>考试</w:t>
            </w:r>
            <w:r>
              <w:rPr>
                <w:rFonts w:hint="eastAsia" w:ascii="宋体" w:hAnsi="宋体" w:eastAsia="宋体" w:cs="宋体"/>
                <w:b w:val="0"/>
                <w:sz w:val="18"/>
              </w:rPr>
              <w:t>、研究生入学考试题（CPE-TCM 等）</w:t>
            </w:r>
          </w:p>
        </w:tc>
        <w:tc>
          <w:tcPr>
            <w:tcW w:w="2848" w:type="dxa"/>
            <w:tcBorders>
              <w:top w:val="nil"/>
              <w:left w:val="nil"/>
              <w:bottom w:val="nil"/>
              <w:right w:val="nil"/>
            </w:tcBorders>
          </w:tcPr>
          <w:p w14:paraId="145C4F66">
            <w:pPr>
              <w:jc w:val="center"/>
              <w:rPr>
                <w:rFonts w:hint="eastAsia" w:ascii="宋体" w:hAnsi="宋体" w:eastAsia="宋体" w:cs="宋体"/>
              </w:rPr>
            </w:pPr>
            <w:r>
              <w:rPr>
                <w:rFonts w:hint="eastAsia" w:ascii="宋体" w:hAnsi="宋体" w:eastAsia="宋体" w:cs="宋体"/>
                <w:b w:val="0"/>
                <w:sz w:val="18"/>
              </w:rPr>
              <w:t>知识记忆与基础</w:t>
            </w:r>
            <w:r>
              <w:rPr>
                <w:rFonts w:hint="eastAsia" w:eastAsia="宋体" w:cs="宋体"/>
                <w:b w:val="0"/>
                <w:color w:val="FF0000"/>
                <w:sz w:val="18"/>
                <w:lang w:val="en-US" w:eastAsia="zh-CN"/>
              </w:rPr>
              <w:t>应用</w:t>
            </w:r>
            <w:r>
              <w:rPr>
                <w:rFonts w:hint="eastAsia" w:ascii="宋体" w:hAnsi="宋体" w:eastAsia="宋体" w:cs="宋体"/>
                <w:b w:val="0"/>
                <w:sz w:val="18"/>
              </w:rPr>
              <w:t>能力</w:t>
            </w:r>
          </w:p>
        </w:tc>
      </w:tr>
      <w:tr w14:paraId="1DE038C2">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205F6A8F">
            <w:pPr>
              <w:jc w:val="center"/>
              <w:rPr>
                <w:rFonts w:hint="eastAsia" w:ascii="宋体" w:hAnsi="宋体" w:eastAsia="宋体" w:cs="宋体"/>
              </w:rPr>
            </w:pPr>
            <w:r>
              <w:rPr>
                <w:rFonts w:hint="eastAsia" w:ascii="宋体" w:hAnsi="宋体" w:eastAsia="宋体" w:cs="宋体"/>
                <w:b w:val="0"/>
                <w:sz w:val="18"/>
              </w:rPr>
              <w:t>辨证推理类</w:t>
            </w:r>
          </w:p>
        </w:tc>
        <w:tc>
          <w:tcPr>
            <w:tcW w:w="4556" w:type="dxa"/>
            <w:tcBorders>
              <w:top w:val="nil"/>
              <w:left w:val="nil"/>
              <w:bottom w:val="nil"/>
              <w:right w:val="nil"/>
            </w:tcBorders>
          </w:tcPr>
          <w:p w14:paraId="1368B9BE">
            <w:pPr>
              <w:jc w:val="center"/>
              <w:rPr>
                <w:rFonts w:hint="eastAsia" w:ascii="宋体" w:hAnsi="宋体" w:eastAsia="宋体" w:cs="宋体"/>
              </w:rPr>
            </w:pPr>
            <w:r>
              <w:rPr>
                <w:rFonts w:hint="eastAsia" w:ascii="宋体" w:hAnsi="宋体" w:eastAsia="宋体" w:cs="宋体"/>
                <w:b w:val="0"/>
                <w:sz w:val="18"/>
              </w:rPr>
              <w:t>辨证思维数据集、DCB、ATCMD-Bench</w:t>
            </w:r>
          </w:p>
        </w:tc>
        <w:tc>
          <w:tcPr>
            <w:tcW w:w="2848" w:type="dxa"/>
            <w:tcBorders>
              <w:top w:val="nil"/>
              <w:left w:val="nil"/>
              <w:bottom w:val="nil"/>
              <w:right w:val="nil"/>
            </w:tcBorders>
          </w:tcPr>
          <w:p w14:paraId="08D6DCD4">
            <w:pPr>
              <w:jc w:val="center"/>
              <w:rPr>
                <w:rFonts w:hint="default" w:ascii="宋体" w:hAnsi="宋体" w:eastAsia="宋体" w:cs="宋体"/>
                <w:lang w:val="en-US" w:eastAsia="zh-CN"/>
              </w:rPr>
            </w:pPr>
            <w:r>
              <w:rPr>
                <w:rFonts w:hint="eastAsia" w:ascii="宋体" w:hAnsi="宋体" w:eastAsia="宋体" w:cs="宋体"/>
                <w:b w:val="0"/>
                <w:sz w:val="18"/>
              </w:rPr>
              <w:t>临床推理与辨证思维</w:t>
            </w:r>
            <w:r>
              <w:rPr>
                <w:rFonts w:hint="eastAsia" w:eastAsia="宋体" w:cs="宋体"/>
                <w:b w:val="0"/>
                <w:color w:val="FF0000"/>
                <w:sz w:val="18"/>
                <w:lang w:val="en-US" w:eastAsia="zh-CN"/>
              </w:rPr>
              <w:t>能力</w:t>
            </w:r>
          </w:p>
        </w:tc>
      </w:tr>
      <w:tr w14:paraId="08D1E9D0">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4FE58F99">
            <w:pPr>
              <w:jc w:val="center"/>
              <w:rPr>
                <w:rFonts w:hint="eastAsia" w:ascii="宋体" w:hAnsi="宋体" w:eastAsia="宋体" w:cs="宋体"/>
              </w:rPr>
            </w:pPr>
            <w:r>
              <w:rPr>
                <w:rFonts w:hint="eastAsia" w:ascii="宋体" w:hAnsi="宋体" w:eastAsia="宋体" w:cs="宋体"/>
                <w:b w:val="0"/>
                <w:sz w:val="18"/>
              </w:rPr>
              <w:t>安全类</w:t>
            </w:r>
          </w:p>
        </w:tc>
        <w:tc>
          <w:tcPr>
            <w:tcW w:w="4556" w:type="dxa"/>
            <w:tcBorders>
              <w:top w:val="nil"/>
              <w:left w:val="nil"/>
              <w:bottom w:val="nil"/>
              <w:right w:val="nil"/>
            </w:tcBorders>
          </w:tcPr>
          <w:p w14:paraId="00F9737F">
            <w:pPr>
              <w:jc w:val="center"/>
              <w:rPr>
                <w:rFonts w:hint="eastAsia" w:ascii="宋体" w:hAnsi="宋体" w:eastAsia="宋体" w:cs="宋体"/>
              </w:rPr>
            </w:pPr>
            <w:r>
              <w:rPr>
                <w:rFonts w:hint="eastAsia" w:ascii="宋体" w:hAnsi="宋体" w:eastAsia="宋体" w:cs="宋体"/>
                <w:b w:val="0"/>
                <w:sz w:val="18"/>
              </w:rPr>
              <w:t>TCMEval-PA、错误信息检测框架</w:t>
            </w:r>
          </w:p>
        </w:tc>
        <w:tc>
          <w:tcPr>
            <w:tcW w:w="2848" w:type="dxa"/>
            <w:tcBorders>
              <w:top w:val="nil"/>
              <w:left w:val="nil"/>
              <w:bottom w:val="nil"/>
              <w:right w:val="nil"/>
            </w:tcBorders>
          </w:tcPr>
          <w:p w14:paraId="4A4E19B8">
            <w:pPr>
              <w:jc w:val="center"/>
              <w:rPr>
                <w:rFonts w:hint="eastAsia" w:ascii="宋体" w:hAnsi="宋体" w:eastAsia="宋体" w:cs="宋体"/>
                <w:lang w:val="en-US" w:eastAsia="zh-CN"/>
              </w:rPr>
            </w:pPr>
            <w:r>
              <w:rPr>
                <w:rFonts w:hint="eastAsia" w:ascii="宋体" w:hAnsi="宋体" w:eastAsia="宋体" w:cs="宋体"/>
                <w:b w:val="0"/>
                <w:sz w:val="18"/>
              </w:rPr>
              <w:t>用药安全与风险识别</w:t>
            </w:r>
            <w:r>
              <w:rPr>
                <w:rFonts w:hint="eastAsia" w:eastAsia="宋体" w:cs="宋体"/>
                <w:b w:val="0"/>
                <w:color w:val="FF0000"/>
                <w:sz w:val="18"/>
                <w:lang w:val="en-US" w:eastAsia="zh-CN"/>
              </w:rPr>
              <w:t>能力</w:t>
            </w:r>
          </w:p>
        </w:tc>
      </w:tr>
      <w:tr w14:paraId="13F86BA4">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5B5728E6">
            <w:pPr>
              <w:jc w:val="center"/>
              <w:rPr>
                <w:rFonts w:hint="eastAsia" w:ascii="宋体" w:hAnsi="宋体" w:eastAsia="宋体" w:cs="宋体"/>
              </w:rPr>
            </w:pPr>
            <w:r>
              <w:rPr>
                <w:rFonts w:hint="eastAsia" w:ascii="宋体" w:hAnsi="宋体" w:eastAsia="宋体" w:cs="宋体"/>
                <w:b w:val="0"/>
                <w:sz w:val="18"/>
              </w:rPr>
              <w:t>古籍类</w:t>
            </w:r>
          </w:p>
        </w:tc>
        <w:tc>
          <w:tcPr>
            <w:tcW w:w="4556" w:type="dxa"/>
            <w:tcBorders>
              <w:top w:val="nil"/>
              <w:left w:val="nil"/>
              <w:bottom w:val="nil"/>
              <w:right w:val="nil"/>
            </w:tcBorders>
          </w:tcPr>
          <w:p w14:paraId="67383AA7">
            <w:pPr>
              <w:jc w:val="center"/>
              <w:rPr>
                <w:rFonts w:hint="eastAsia" w:ascii="宋体" w:hAnsi="宋体" w:eastAsia="宋体" w:cs="宋体"/>
              </w:rPr>
            </w:pPr>
            <w:r>
              <w:rPr>
                <w:rFonts w:hint="eastAsia" w:ascii="宋体" w:hAnsi="宋体" w:eastAsia="宋体" w:cs="宋体"/>
                <w:b w:val="0"/>
                <w:sz w:val="18"/>
              </w:rPr>
              <w:t>负屃</w:t>
            </w:r>
            <w:r>
              <w:rPr>
                <w:rFonts w:hint="eastAsia" w:ascii="宋体" w:hAnsi="宋体" w:eastAsia="宋体" w:cs="宋体"/>
                <w:b w:val="0"/>
                <w:color w:val="FF0000"/>
                <w:sz w:val="18"/>
              </w:rPr>
              <w:t>（Fuxi）</w:t>
            </w:r>
          </w:p>
        </w:tc>
        <w:tc>
          <w:tcPr>
            <w:tcW w:w="2848" w:type="dxa"/>
            <w:tcBorders>
              <w:top w:val="nil"/>
              <w:left w:val="nil"/>
              <w:bottom w:val="nil"/>
              <w:right w:val="nil"/>
            </w:tcBorders>
          </w:tcPr>
          <w:p w14:paraId="1955A431">
            <w:pPr>
              <w:jc w:val="center"/>
              <w:rPr>
                <w:rFonts w:hint="eastAsia" w:ascii="宋体" w:hAnsi="宋体" w:eastAsia="宋体" w:cs="宋体"/>
              </w:rPr>
            </w:pPr>
            <w:r>
              <w:rPr>
                <w:rFonts w:hint="eastAsia" w:ascii="宋体" w:hAnsi="宋体" w:eastAsia="宋体" w:cs="宋体"/>
                <w:b w:val="0"/>
                <w:sz w:val="18"/>
              </w:rPr>
              <w:t>古汉语理解</w:t>
            </w:r>
            <w:r>
              <w:rPr>
                <w:rFonts w:hint="eastAsia" w:eastAsia="宋体" w:cs="宋体"/>
                <w:b w:val="0"/>
                <w:color w:val="FF0000"/>
                <w:sz w:val="18"/>
                <w:lang w:val="en-US" w:eastAsia="zh-CN"/>
              </w:rPr>
              <w:t>与挖掘</w:t>
            </w:r>
            <w:r>
              <w:rPr>
                <w:rFonts w:hint="eastAsia" w:ascii="宋体" w:hAnsi="宋体" w:eastAsia="宋体" w:cs="宋体"/>
                <w:b w:val="0"/>
                <w:sz w:val="18"/>
              </w:rPr>
              <w:t>能力</w:t>
            </w:r>
          </w:p>
        </w:tc>
      </w:tr>
      <w:tr w14:paraId="48A6E1BD">
        <w:tblPrEx>
          <w:tblCellMar>
            <w:top w:w="0" w:type="dxa"/>
            <w:left w:w="108" w:type="dxa"/>
            <w:bottom w:w="0" w:type="dxa"/>
            <w:right w:w="108" w:type="dxa"/>
          </w:tblCellMar>
        </w:tblPrEx>
        <w:trPr>
          <w:trHeight w:val="558" w:hRule="atLeast"/>
          <w:jc w:val="center"/>
        </w:trPr>
        <w:tc>
          <w:tcPr>
            <w:tcW w:w="1236" w:type="dxa"/>
            <w:tcBorders>
              <w:top w:val="nil"/>
              <w:left w:val="nil"/>
              <w:bottom w:val="single" w:color="000000" w:sz="12" w:space="0"/>
              <w:right w:val="nil"/>
            </w:tcBorders>
          </w:tcPr>
          <w:p w14:paraId="5EB8D9B8">
            <w:pPr>
              <w:jc w:val="center"/>
              <w:rPr>
                <w:rFonts w:hint="eastAsia" w:ascii="宋体" w:hAnsi="宋体" w:eastAsia="宋体" w:cs="宋体"/>
              </w:rPr>
            </w:pPr>
            <w:r>
              <w:rPr>
                <w:rFonts w:hint="eastAsia" w:ascii="宋体" w:hAnsi="宋体" w:eastAsia="宋体" w:cs="宋体"/>
                <w:b w:val="0"/>
                <w:sz w:val="18"/>
              </w:rPr>
              <w:t>多模态类</w:t>
            </w:r>
          </w:p>
        </w:tc>
        <w:tc>
          <w:tcPr>
            <w:tcW w:w="4556" w:type="dxa"/>
            <w:tcBorders>
              <w:top w:val="nil"/>
              <w:left w:val="nil"/>
              <w:bottom w:val="single" w:color="000000" w:sz="12" w:space="0"/>
              <w:right w:val="nil"/>
            </w:tcBorders>
          </w:tcPr>
          <w:p w14:paraId="7899CF87">
            <w:pPr>
              <w:jc w:val="center"/>
              <w:rPr>
                <w:rFonts w:hint="eastAsia" w:ascii="宋体" w:hAnsi="宋体" w:eastAsia="宋体" w:cs="宋体"/>
              </w:rPr>
            </w:pPr>
            <w:r>
              <w:rPr>
                <w:rFonts w:hint="eastAsia" w:ascii="宋体" w:hAnsi="宋体" w:eastAsia="宋体" w:cs="宋体"/>
                <w:b w:val="0"/>
                <w:sz w:val="18"/>
              </w:rPr>
              <w:t>TongueVLM、舌象数据集</w:t>
            </w:r>
          </w:p>
        </w:tc>
        <w:tc>
          <w:tcPr>
            <w:tcW w:w="2848" w:type="dxa"/>
            <w:tcBorders>
              <w:top w:val="nil"/>
              <w:left w:val="nil"/>
              <w:bottom w:val="single" w:color="000000" w:sz="12" w:space="0"/>
              <w:right w:val="nil"/>
            </w:tcBorders>
          </w:tcPr>
          <w:p w14:paraId="4F1B533D">
            <w:pPr>
              <w:jc w:val="center"/>
              <w:rPr>
                <w:rFonts w:hint="eastAsia" w:ascii="宋体" w:hAnsi="宋体" w:eastAsia="宋体" w:cs="宋体"/>
                <w:lang w:eastAsia="zh-CN"/>
              </w:rPr>
            </w:pPr>
            <w:r>
              <w:rPr>
                <w:rFonts w:hint="eastAsia" w:ascii="宋体" w:hAnsi="宋体" w:eastAsia="宋体" w:cs="宋体"/>
                <w:b w:val="0"/>
                <w:sz w:val="18"/>
              </w:rPr>
              <w:t>多模态感知与</w:t>
            </w:r>
            <w:r>
              <w:rPr>
                <w:rFonts w:hint="eastAsia" w:eastAsia="宋体" w:cs="宋体"/>
                <w:b w:val="0"/>
                <w:color w:val="FF0000"/>
                <w:sz w:val="18"/>
                <w:lang w:eastAsia="zh-CN"/>
              </w:rPr>
              <w:t>“</w:t>
            </w:r>
            <w:r>
              <w:rPr>
                <w:rFonts w:hint="eastAsia" w:ascii="宋体" w:hAnsi="宋体" w:eastAsia="宋体" w:cs="宋体"/>
                <w:b w:val="0"/>
                <w:color w:val="FF0000"/>
                <w:sz w:val="18"/>
              </w:rPr>
              <w:t>四诊合参</w:t>
            </w:r>
            <w:r>
              <w:rPr>
                <w:rFonts w:hint="eastAsia" w:eastAsia="宋体" w:cs="宋体"/>
                <w:b w:val="0"/>
                <w:color w:val="FF0000"/>
                <w:sz w:val="18"/>
                <w:lang w:eastAsia="zh-CN"/>
              </w:rPr>
              <w:t>“</w:t>
            </w:r>
            <w:r>
              <w:rPr>
                <w:rFonts w:hint="eastAsia" w:eastAsia="宋体" w:cs="宋体"/>
                <w:b w:val="0"/>
                <w:color w:val="FF0000"/>
                <w:sz w:val="18"/>
                <w:lang w:val="en-US" w:eastAsia="zh-CN"/>
              </w:rPr>
              <w:t>能力</w:t>
            </w:r>
            <w:r>
              <w:rPr>
                <w:rFonts w:hint="eastAsia" w:eastAsia="宋体" w:cs="宋体"/>
                <w:b w:val="0"/>
                <w:color w:val="FF0000"/>
                <w:sz w:val="18"/>
                <w:lang w:eastAsia="zh-CN"/>
              </w:rPr>
              <w:t>”</w:t>
            </w:r>
          </w:p>
        </w:tc>
      </w:tr>
    </w:tbl>
    <w:p w14:paraId="016DEDC2">
      <w:pPr>
        <w:ind w:firstLine="440" w:firstLineChars="200"/>
        <w:rPr>
          <w:rFonts w:hint="eastAsia" w:ascii="宋体" w:hAnsi="宋体" w:eastAsia="宋体" w:cs="宋体"/>
        </w:rPr>
      </w:pPr>
    </w:p>
    <w:p w14:paraId="60B98081">
      <w:pPr>
        <w:ind w:firstLine="440" w:firstLineChars="200"/>
        <w:rPr>
          <w:rFonts w:hint="eastAsia" w:ascii="宋体" w:hAnsi="宋体" w:eastAsia="宋体" w:cs="宋体"/>
        </w:rPr>
      </w:pPr>
      <w:r>
        <w:rPr>
          <w:rFonts w:hint="eastAsia" w:ascii="宋体" w:hAnsi="宋体" w:eastAsia="宋体" w:cs="宋体"/>
        </w:rPr>
        <w:t>评测体系的总体演化路径见图2，呈现由考试评测、知识评测、推理评测、多模态评测向真实世界评测逐步递进的趋势。</w:t>
      </w:r>
    </w:p>
    <w:p w14:paraId="23EAC482">
      <w:pPr>
        <w:rPr>
          <w:rFonts w:hint="eastAsia" w:ascii="宋体" w:hAnsi="宋体" w:eastAsia="宋体" w:cs="宋体"/>
        </w:rPr>
      </w:pPr>
      <w:r>
        <w:rPr>
          <w:rFonts w:hint="eastAsia" w:ascii="宋体" w:hAnsi="宋体" w:eastAsia="宋体" w:cs="宋体"/>
          <w:b/>
          <w:sz w:val="18"/>
          <w:lang w:eastAsia="zh-CN"/>
        </w:rPr>
        <w:drawing>
          <wp:inline distT="0" distB="0" distL="114300" distR="114300">
            <wp:extent cx="5486400" cy="663575"/>
            <wp:effectExtent l="0" t="0" r="0" b="3175"/>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7"/>
                    <a:stretch>
                      <a:fillRect/>
                    </a:stretch>
                  </pic:blipFill>
                  <pic:spPr>
                    <a:xfrm>
                      <a:off x="0" y="0"/>
                      <a:ext cx="5486400" cy="663575"/>
                    </a:xfrm>
                    <a:prstGeom prst="rect">
                      <a:avLst/>
                    </a:prstGeom>
                  </pic:spPr>
                </pic:pic>
              </a:graphicData>
            </a:graphic>
          </wp:inline>
        </w:drawing>
      </w:r>
    </w:p>
    <w:p w14:paraId="5AF3B768">
      <w:pPr>
        <w:jc w:val="center"/>
        <w:rPr>
          <w:rFonts w:hint="eastAsia" w:ascii="宋体" w:hAnsi="宋体" w:eastAsia="宋体" w:cs="宋体"/>
        </w:rPr>
      </w:pPr>
      <w:r>
        <w:rPr>
          <w:rFonts w:hint="eastAsia" w:ascii="宋体" w:hAnsi="宋体" w:eastAsia="宋体" w:cs="宋体"/>
        </w:rPr>
        <w:t>图2 中医药大语言模型评测体系演化路径</w:t>
      </w:r>
    </w:p>
    <w:p w14:paraId="1F550EA5">
      <w:pPr>
        <w:pStyle w:val="5"/>
        <w:bidi w:val="0"/>
        <w:rPr>
          <w:rFonts w:hint="eastAsia" w:ascii="宋体" w:hAnsi="宋体" w:eastAsia="宋体" w:cs="宋体"/>
        </w:rPr>
      </w:pPr>
      <w:r>
        <w:rPr>
          <w:rFonts w:hint="eastAsia" w:ascii="宋体" w:hAnsi="宋体" w:eastAsia="宋体" w:cs="宋体"/>
        </w:rPr>
        <w:t>3.1.1 标准化考试与教材知识基准</w:t>
      </w:r>
    </w:p>
    <w:p w14:paraId="335A2D3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早期评测多直接采用或改编中医药标准化考试题目，因其权威性与客观性较高而成为基础性工具，常见做法是以中医执业医师资格考试、研究生入学考试（CPE-TCM）等真题构建测试集[3]。不同研究的结论并不一致：在韩国国家韩医师执照考试（K-NLEKMD）上，GPT-4虽能通过考试，但在本土化程度较高的科目上表现欠佳[4]；而在覆盖13个学科、近3万道题的中文测评中，所有受测模型选择题准确率均不足60%[5]。差异既源于题库语言与本土化程度的不同，也反映出通用模型直接处理中医专业问题的困难。总体而言，考试类基准便于考查事实性知识的记忆与简单应用，却难以反映中医辨证思维过程的复杂性与非线性特征。</w:t>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64E9316D">
      <w:pPr>
        <w:pStyle w:val="5"/>
        <w:bidi w:val="0"/>
        <w:rPr>
          <w:rFonts w:hint="eastAsia" w:ascii="宋体" w:hAnsi="宋体" w:eastAsia="宋体" w:cs="宋体"/>
        </w:rPr>
      </w:pPr>
      <w:r>
        <w:rPr>
          <w:rFonts w:hint="eastAsia" w:ascii="宋体" w:hAnsi="宋体" w:eastAsia="宋体" w:cs="宋体"/>
        </w:rPr>
        <w:t>3.1.2 辨证思维与临床推理专项基准</w:t>
      </w:r>
    </w:p>
    <w:p w14:paraId="5730712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为深入评测模型的中医临床思维，研究者构建了结构更复杂的数据集与评测范式，核心思路是把辨证论治拆解为可评估的推理环节。代表性工作将辨证过程形式化为思维链（chain-of-thought），分为识别抽取、病机推断、证候推断与解释总结四个环节，并配套900例标注病案与四维量化评估体系[6]；与之相近的方案把辨证归纳为病机推断、证候推断与诊疗建议三项核心任务分别评估[7]，或在诊断选择数据集上融合辨证思维与排除推理以提升诊断准确性[8]。近期评测进一步从静态病案转向动态交互场景：有研究采用多智能体模拟构建动态诊断环境[9]，也有研究覆盖问诊、辨证、处方、分析全流程并引入扰动以贴近真实接诊[10]。</w:t>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79B49DF0">
      <w:pPr>
        <w:pStyle w:val="5"/>
        <w:bidi w:val="0"/>
        <w:rPr>
          <w:rFonts w:hint="eastAsia" w:ascii="宋体" w:hAnsi="宋体" w:eastAsia="宋体" w:cs="宋体"/>
        </w:rPr>
      </w:pPr>
      <w:r>
        <w:rPr>
          <w:rFonts w:hint="eastAsia" w:ascii="宋体" w:hAnsi="宋体" w:eastAsia="宋体" w:cs="宋体"/>
        </w:rPr>
        <w:t>3.1.3 安全与特定任务专项基准</w:t>
      </w:r>
    </w:p>
    <w:p w14:paraId="47284F41">
      <w:pPr>
        <w:rPr>
          <w:rFonts w:hint="eastAsia" w:ascii="宋体" w:hAnsi="宋体" w:eastAsia="宋体" w:cs="宋体"/>
        </w:rPr>
      </w:pPr>
    </w:p>
    <w:p w14:paraId="4682DCA9">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rPr>
        <w:t>随着安全问题受到重视，针对特定风险的专项基准陆续出现。一类工作聚焦“正负向能力鸿沟”，即模型善于选出正确答案、却难以识别错误信息，并据此设计了标准题、错误选项、误导性引导与虚构实体四种测试范式[11]。另一类面向高风险的中药处方审核，从处方规范性、适宜性等维度构建了专门的安全评测基准[12]。还有研究面向教育应用，自动生成与课程大纲对齐的多项选择题，并设计含源一致性准确度在内的多项指标[13]。</w:t>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lang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lang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p>
    <w:p w14:paraId="47D68DB7">
      <w:pPr>
        <w:pStyle w:val="5"/>
        <w:bidi w:val="0"/>
        <w:rPr>
          <w:rFonts w:hint="eastAsia" w:ascii="宋体" w:hAnsi="宋体" w:eastAsia="宋体" w:cs="宋体"/>
        </w:rPr>
      </w:pPr>
      <w:r>
        <w:rPr>
          <w:rFonts w:hint="eastAsia" w:ascii="宋体" w:hAnsi="宋体" w:eastAsia="宋体" w:cs="宋体"/>
        </w:rPr>
        <w:t>3.1.4 古汉语理解与多模态探索基准</w:t>
      </w:r>
    </w:p>
    <w:p w14:paraId="32780617">
      <w:pPr>
        <w:spacing w:line="360" w:lineRule="auto"/>
        <w:ind w:firstLine="440" w:firstLineChars="200"/>
        <w:jc w:val="both"/>
        <w:rPr>
          <w:rFonts w:hint="eastAsia" w:ascii="宋体" w:hAnsi="宋体" w:eastAsia="宋体" w:cs="宋体"/>
        </w:rPr>
      </w:pPr>
      <w:r>
        <w:rPr>
          <w:rFonts w:hint="default" w:ascii="Times New Roman" w:hAnsi="Times New Roman" w:eastAsia="宋体" w:cs="Times New Roman"/>
          <w:color w:val="FF0000"/>
        </w:rPr>
        <w:t>大量中医药知识以文言文形式保存于古籍，对模型的古汉语理解能力提出特殊要求。负屃基准针对这一问题评估了模型在古汉语文本理解与生成上的能力，发现模型在理解类任务上表现尚可，但一旦任务需要专业知识与深层文化理解，生成质量便明显下降，这直接关系到模型能否有效挖掘中医古籍[14]。多模态评测尚处起步阶段，已有尝试多集中于舌诊：或结合舌象与临床数据用于儿童过敏性鼻炎的寒热辨证[15]，或将视觉编码与语言模型结合以生成舌象描述并推理体质[16]，或借助上下文多任务学习缓解舌诊标注样本不足的问题[17]。总体来看，现有评测仍以文本模态为主，多模态基准在数量与规模上都明显不足。</w:t>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lang w:eastAsia="zh-CN"/>
        </w:rPr>
      </w:r>
      <w:r>
        <w:rPr>
          <w:rFonts w:hint="default" w:ascii="Times New Roman" w:hAnsi="Times New Roman" w:eastAsia="宋体" w:cs="Times New Roman"/>
          <w:color w:val="FF0000"/>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rPr>
      </w:r>
    </w:p>
    <w:p w14:paraId="4C7953C2">
      <w:pPr>
        <w:pStyle w:val="4"/>
        <w:bidi w:val="0"/>
        <w:rPr>
          <w:rFonts w:hint="eastAsia" w:ascii="宋体" w:hAnsi="宋体" w:eastAsia="宋体" w:cs="宋体"/>
        </w:rPr>
      </w:pPr>
      <w:r>
        <w:rPr>
          <w:rFonts w:hint="eastAsia" w:ascii="宋体" w:hAnsi="宋体" w:eastAsia="宋体" w:cs="宋体"/>
        </w:rPr>
        <w:t>3.2 不同类型LLMs的性能评测比较</w:t>
      </w:r>
    </w:p>
    <w:p w14:paraId="05BB288B">
      <w:pPr>
        <w:spacing w:line="360" w:lineRule="auto"/>
        <w:ind w:firstLine="440" w:firstLineChars="200"/>
        <w:jc w:val="both"/>
        <w:rPr>
          <w:rFonts w:hint="default" w:ascii="Times New Roman" w:hAnsi="Times New Roman" w:eastAsia="宋体" w:cs="Times New Roman"/>
        </w:rPr>
      </w:pPr>
      <w:r>
        <w:rPr>
          <w:rFonts w:hint="default" w:ascii="Times New Roman" w:hAnsi="Times New Roman" w:eastAsia="宋体" w:cs="Times New Roman"/>
        </w:rPr>
        <w:t>在上述基准之上，多项研究对通用LLM、医学LLM与中医专用LLM进行了横向比较</w:t>
      </w:r>
      <w:r>
        <w:rPr>
          <w:rFonts w:hint="default" w:ascii="Times New Roman" w:hAnsi="Times New Roman" w:eastAsia="宋体" w:cs="Times New Roman"/>
          <w:color w:val="FF0000"/>
          <w:vertAlign w:val="superscript"/>
          <w:lang w:val="en-US" w:eastAsia="zh-CN"/>
        </w:rPr>
        <w:t>[18]</w:t>
      </w:r>
      <w:r>
        <w:rPr>
          <w:rFonts w:hint="default" w:ascii="Times New Roman" w:hAnsi="Times New Roman" w:eastAsia="宋体" w:cs="Times New Roman"/>
        </w:rPr>
        <w:t>，从知识回忆、临床推理、安全性、文化适应性四个维度刻画了不同模型的能力边界。</w:t>
      </w:r>
    </w:p>
    <w:p w14:paraId="28AE5F0F">
      <w:pPr>
        <w:pStyle w:val="5"/>
        <w:bidi w:val="0"/>
        <w:rPr>
          <w:rFonts w:hint="eastAsia" w:ascii="宋体" w:hAnsi="宋体" w:eastAsia="宋体" w:cs="宋体"/>
        </w:rPr>
      </w:pPr>
      <w:r>
        <w:rPr>
          <w:rFonts w:hint="eastAsia" w:ascii="宋体" w:hAnsi="宋体" w:eastAsia="宋体" w:cs="宋体"/>
        </w:rPr>
        <w:t>3.2.1 知识回忆能力</w:t>
      </w:r>
    </w:p>
    <w:p w14:paraId="7683C6FE">
      <w:pPr>
        <w:spacing w:line="360" w:lineRule="auto"/>
        <w:ind w:firstLine="440" w:firstLineChars="200"/>
        <w:jc w:val="both"/>
        <w:rPr>
          <w:rFonts w:hint="eastAsia" w:ascii="宋体" w:hAnsi="宋体" w:eastAsia="宋体" w:cs="宋体"/>
          <w:color w:val="FF0000"/>
        </w:rPr>
      </w:pPr>
      <w:r>
        <w:rPr>
          <w:rFonts w:hint="default" w:ascii="Times New Roman" w:hAnsi="Times New Roman" w:eastAsia="宋体" w:cs="Times New Roman"/>
          <w:color w:val="FF0000"/>
        </w:rPr>
        <w:t>通用模型（GPT-4、ChatGLM、Baichuan、Qwen系列等）在中医基础知识问答与标准化考试中表现出一定的零样本、少样本学习能力，但不同研究结论差异很大。对11个模型、801道教材题的测试显示，大规模模型单选题准确率为69.01%~90.92%、判断题为52.34%~59.38%，而多选题准确率大幅下降[3]；覆盖13个学科、近3万道题的评测则发现所有模型选择题准确率均不足60%，Baichuan单选题仅36.07%[5]。两者数字相去甚远却并不矛盾，差异主要来自模型代际与规模、题型与计分口径、数据集来源与评测设置三方面。可见离开模型版本、题型与评测协议来谈准确率并无实质意义，这也说明当前中医评测缺少统一、可复现的标准协议。经过领域微调的中医专用模型在知识回忆任务上通常优于同规模的通用基础模型，TCMChat[19]、XuanHuGPT[20]、Qibo[21]在各自基准上即表现更优；但规模并非决定因素，轻量级的Qwen3-1.7B反而超过了领域专用的TCMChat-7B，提示有效的领域优化可能比单纯增大模型更具成本效益[3]。</w:t>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lang w:val="en-US" w:eastAsia="zh-CN"/>
        </w:rPr>
      </w:r>
      <w:r>
        <w:rPr>
          <w:rFonts w:hint="default" w:ascii="Times New Roman" w:hAnsi="Times New Roman" w:eastAsia="宋体" w:cs="Times New Roman"/>
          <w:color w:val="FF0000"/>
        </w:rPr>
      </w:r>
      <w:r>
        <w:rPr>
          <w:rFonts w:hint="eastAsia" w:eastAsia="宋体" w:cs="宋体"/>
          <w:color w:val="FF0000"/>
          <w:vertAlign w:val="superscript"/>
          <w:lang w:val="en-US"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val="en-US" w:eastAsia="zh-CN"/>
        </w:rPr>
      </w:r>
      <w:r>
        <w:rPr>
          <w:rFonts w:hint="default" w:ascii="Times New Roman" w:hAnsi="Times New Roman" w:eastAsia="宋体" w:cs="Times New Roman"/>
          <w:color w:val="FF0000"/>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p>
    <w:p w14:paraId="7388B286">
      <w:pPr>
        <w:pStyle w:val="5"/>
        <w:bidi w:val="0"/>
        <w:rPr>
          <w:rFonts w:hint="eastAsia" w:ascii="宋体" w:hAnsi="宋体" w:eastAsia="宋体" w:cs="宋体"/>
        </w:rPr>
      </w:pPr>
      <w:r>
        <w:rPr>
          <w:rFonts w:hint="eastAsia" w:ascii="宋体" w:hAnsi="宋体" w:eastAsia="宋体" w:cs="宋体"/>
        </w:rPr>
        <w:t>3.2.2 临床推理能力</w:t>
      </w:r>
    </w:p>
    <w:p w14:paraId="6B7E93F3">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在需要综合运用知识的临床推理任务上，各类模型都明显吃力，其中症状诊断通常被视为难度最高的推理类别[3]。未经优化的通用模型与中医专用模型在病机推断、证候推断上准确率都较为有限，而引入开卷考试式指令微调后性能可获明显提升[7]。这说明单纯灌输知识不足以让模型掌握辨证思维，更关键的是用特定策略引导模型遵循中医逻辑完成多步推理。</w:t>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28639147">
      <w:pPr>
        <w:pStyle w:val="5"/>
        <w:bidi w:val="0"/>
        <w:rPr>
          <w:rFonts w:hint="eastAsia" w:ascii="宋体" w:hAnsi="宋体" w:eastAsia="宋体" w:cs="宋体"/>
        </w:rPr>
      </w:pPr>
      <w:r>
        <w:rPr>
          <w:rFonts w:hint="eastAsia" w:ascii="宋体" w:hAnsi="宋体" w:eastAsia="宋体" w:cs="宋体"/>
        </w:rPr>
        <w:t>3.2.3 安全性评估</w:t>
      </w:r>
    </w:p>
    <w:p w14:paraId="2435B611">
      <w:pPr>
        <w:spacing w:line="360" w:lineRule="auto"/>
        <w:ind w:firstLine="440" w:firstLineChars="200"/>
        <w:jc w:val="both"/>
        <w:rPr>
          <w:rFonts w:hint="eastAsia" w:ascii="宋体" w:hAnsi="宋体" w:eastAsia="宋体" w:cs="宋体"/>
        </w:rPr>
      </w:pPr>
      <w:r>
        <w:rPr>
          <w:rFonts w:hint="eastAsia" w:eastAsia="宋体" w:cs="宋体"/>
          <w:color w:val="FF0000"/>
          <w:lang w:val="en-US" w:eastAsia="zh-CN"/>
        </w:rPr>
        <w:t>安全性评估揭示出能力与可靠性之间的落差：一些在标准考试中表现良好的模型，在错误信息检测任务上准确率会降至20%~39%，“会答题”与“能辨伪”并不等同[11]。处方审核基准直接对应用药安全这一核心临床风险[12]；从临床实践指南符合度评估八个模型也发现，它们在用药安全提示与指南一致性上参差不齐[22]，即便通过中医考试，其生成内容的内部逻辑、与外部知识的一致性及安全性仍需严格审查[23]。这些结果共同提示，未来评测应把安全性置于与准确性同等、甚至更优先的位置。</w:t>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3D535EC2">
      <w:pPr>
        <w:pStyle w:val="5"/>
        <w:bidi w:val="0"/>
        <w:rPr>
          <w:rFonts w:hint="eastAsia" w:ascii="宋体" w:hAnsi="宋体" w:eastAsia="宋体" w:cs="宋体"/>
        </w:rPr>
      </w:pPr>
      <w:r>
        <w:rPr>
          <w:rFonts w:hint="eastAsia" w:ascii="宋体" w:hAnsi="宋体" w:eastAsia="宋体" w:cs="宋体"/>
        </w:rPr>
        <w:t>3.2.4 文化适应性</w:t>
      </w:r>
    </w:p>
    <w:p w14:paraId="105CCBF4">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语言与文化背景会明显影响模型表现。GPT-4在韩医考试中处理文化特定性医学知识时的吃力[4]，以及国产ERNIE-4.0在中国中医执业医师考试上以81.7%领先GPT-4 turbo的50.7%、而在西医内科题上各模型差距很小[24]，都指向同一现象：模型在与其语言文化更接近的任务上更具优势。不同国家研发的模型在中医任务上存在系统性偏差，本地化模型因此更受强调[25]；多数模型在中文提示下也表现更好[3]。要构建具备跨文化服务能力的中医药模型，评测数据需覆盖多语言、多地域场景。</w:t>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eastAsia="zh-CN"/>
        </w:rPr>
      </w:r>
      <w:r>
        <w:rPr>
          <w:rFonts w:hint="eastAsia" w:eastAsia="宋体" w:cs="宋体"/>
          <w:color w:val="FF0000"/>
          <w:lang w:val="en-US" w:eastAsia="zh-CN"/>
        </w:rPr>
      </w:r>
      <w:r>
        <w:rPr>
          <w:rFonts w:hint="eastAsia" w:ascii="宋体" w:hAnsi="宋体" w:eastAsia="宋体" w:cs="宋体"/>
          <w:color w:val="FF0000"/>
        </w:rPr>
      </w:r>
      <w:r>
        <w:rPr>
          <w:rFonts w:hint="eastAsia" w:ascii="宋体" w:hAnsi="宋体" w:eastAsia="宋体" w:cs="宋体"/>
        </w:rPr>
      </w:r>
    </w:p>
    <w:p w14:paraId="4DF1A7A0">
      <w:pPr>
        <w:pStyle w:val="4"/>
        <w:bidi w:val="0"/>
        <w:rPr>
          <w:rFonts w:hint="eastAsia" w:ascii="宋体" w:hAnsi="宋体" w:eastAsia="宋体" w:cs="宋体"/>
        </w:rPr>
      </w:pPr>
      <w:r>
        <w:rPr>
          <w:rFonts w:hint="eastAsia" w:ascii="宋体" w:hAnsi="宋体" w:eastAsia="宋体" w:cs="宋体"/>
        </w:rPr>
        <w:t>3.3 中医药核心场景下的评测实践</w:t>
      </w:r>
    </w:p>
    <w:p w14:paraId="77C6A827">
      <w:pPr>
        <w:spacing w:line="360" w:lineRule="auto"/>
        <w:ind w:firstLine="440" w:firstLineChars="200"/>
        <w:rPr>
          <w:rFonts w:hint="eastAsia" w:ascii="宋体" w:hAnsi="宋体" w:eastAsia="宋体" w:cs="宋体"/>
        </w:rPr>
      </w:pPr>
      <w:r>
        <w:rPr>
          <w:rFonts w:hint="eastAsia" w:ascii="宋体" w:hAnsi="宋体" w:eastAsia="宋体" w:cs="宋体"/>
          <w:color w:val="FF0000"/>
        </w:rPr>
        <w:t>除横向比较模型能力外，评测还用于检验集成系统在具体场景中的落地效果。关注点从单纯的答题准确率转向系统如何融合外部知识、与专家意见是否一致、能否支撑完整诊疗流程。</w:t>
      </w:r>
    </w:p>
    <w:p w14:paraId="2A1953C8">
      <w:pPr>
        <w:pStyle w:val="6"/>
        <w:rPr>
          <w:rFonts w:hint="eastAsia" w:ascii="宋体" w:hAnsi="宋体" w:eastAsia="宋体" w:cs="宋体"/>
          <w:i w:val="0"/>
          <w:iCs w:val="0"/>
        </w:rPr>
      </w:pPr>
      <w:r>
        <w:rPr>
          <w:rFonts w:hint="eastAsia" w:ascii="宋体" w:hAnsi="宋体" w:eastAsia="宋体" w:cs="宋体"/>
          <w:i w:val="0"/>
          <w:iCs w:val="0"/>
          <w:color w:val="000000"/>
        </w:rPr>
        <w:t>3.3.1 知识增强型问答与辨证系统</w:t>
      </w:r>
    </w:p>
    <w:p w14:paraId="72CF81B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为提升回答的准确性与可靠性，研究者多在模型之外引入知识库、知识图谱与检索增强生成（RAG）等技术。一类系统以高质量知识库支撑问答，如TCMChat[19]、Tianyi[26]、XuanHuGPT[20]；另一类用结构化的知识图谱约束生成、减少臆测，既有面向通用问答的，也有专门处理医案的[27-28]。在辨证与治疗方向，相关系统多将领域模型与知识图谱、检索机制结合，并辅以思维链推理，分别用于症状分析与中成药推荐[29]、排除式诊断[8]以及针灸治疗不孕症的辅助[30]。这类系统的评测不再只看准确率，而更看重推理逻辑是否成立、是否与专家意见一致。</w:t>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0F8DF223">
      <w:pPr>
        <w:pStyle w:val="6"/>
        <w:rPr>
          <w:rFonts w:hint="eastAsia" w:ascii="宋体" w:hAnsi="宋体" w:eastAsia="宋体" w:cs="宋体"/>
          <w:i w:val="0"/>
          <w:iCs w:val="0"/>
        </w:rPr>
      </w:pPr>
      <w:r>
        <w:rPr>
          <w:rFonts w:hint="eastAsia" w:ascii="宋体" w:hAnsi="宋体" w:eastAsia="宋体" w:cs="宋体"/>
          <w:i w:val="0"/>
          <w:iCs w:val="0"/>
          <w:color w:val="000000"/>
        </w:rPr>
        <w:t>3.3.2 处方审核与方剂应用</w:t>
      </w:r>
    </w:p>
    <w:p w14:paraId="22B6D1D6">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在方剂与处方方向，评测覆盖分类、推荐与安全审核三类任务：通过加权投票集成多个微调模型可提高方剂分类准确性[31]，思维链方法在草药处方推荐上表现领先[29]，处方安全审核则由专门基准来评估[12]。这些任务共同考查模型对中药配伍禁忌、证候与方药对应关系等复杂知识的掌握程度与临床决策合理性。</w:t>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lang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05CA6004">
      <w:pPr>
        <w:rPr>
          <w:rFonts w:hint="eastAsia" w:ascii="宋体" w:hAnsi="宋体" w:eastAsia="宋体" w:cs="宋体"/>
        </w:rPr>
      </w:pPr>
    </w:p>
    <w:p w14:paraId="7C60E9CA">
      <w:pPr>
        <w:pStyle w:val="6"/>
        <w:rPr>
          <w:rFonts w:hint="eastAsia" w:ascii="宋体" w:hAnsi="宋体" w:eastAsia="宋体" w:cs="宋体"/>
          <w:i w:val="0"/>
          <w:iCs w:val="0"/>
          <w:color w:val="000000"/>
        </w:rPr>
      </w:pPr>
      <w:r>
        <w:rPr>
          <w:rFonts w:hint="eastAsia" w:ascii="宋体" w:hAnsi="宋体" w:eastAsia="宋体" w:cs="宋体"/>
          <w:i w:val="0"/>
          <w:iCs w:val="0"/>
          <w:color w:val="000000"/>
        </w:rPr>
        <w:t>3.3.3 多模态与真实交互场景</w:t>
      </w:r>
    </w:p>
    <w:p w14:paraId="4509C2FF">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中医诊疗有赖于望闻问切获取的多感官信息，相关系统与评测正逐步向多模态、交互式方向延伸：有的面向舌象描述与体质推理，模拟医师依据舌象特征展开专业对话[16]；有的以医患对话形式还原接诊过程[10]。此类场景对模型提出了超越文本问答的新要求，即跨模态理解与多轮交互能力。</w:t>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0A058F72">
      <w:pPr>
        <w:rPr>
          <w:rFonts w:hint="eastAsia" w:ascii="宋体" w:hAnsi="宋体" w:eastAsia="宋体" w:cs="宋体"/>
        </w:rPr>
      </w:pPr>
    </w:p>
    <w:p w14:paraId="7084A33D">
      <w:pPr>
        <w:pStyle w:val="6"/>
        <w:rPr>
          <w:rFonts w:hint="eastAsia" w:ascii="宋体" w:hAnsi="宋体" w:eastAsia="宋体" w:cs="宋体"/>
          <w:i w:val="0"/>
          <w:iCs w:val="0"/>
          <w:color w:val="000000"/>
        </w:rPr>
      </w:pPr>
      <w:r>
        <w:rPr>
          <w:rFonts w:hint="eastAsia" w:ascii="宋体" w:hAnsi="宋体" w:eastAsia="宋体" w:cs="宋体"/>
          <w:i w:val="0"/>
          <w:iCs w:val="0"/>
          <w:color w:val="000000"/>
        </w:rPr>
        <w:t>3.3.4 教育与考试辅助</w:t>
      </w:r>
    </w:p>
    <w:p w14:paraId="29DBD9C0">
      <w:pPr>
        <w:spacing w:line="360" w:lineRule="auto"/>
        <w:ind w:firstLine="440" w:firstLineChars="200"/>
        <w:rPr>
          <w:rFonts w:hint="eastAsia" w:ascii="宋体" w:hAnsi="宋体" w:eastAsia="宋体" w:cs="宋体"/>
          <w:color w:val="FF0000"/>
        </w:rPr>
      </w:pPr>
      <w:r>
        <w:rPr>
          <w:rFonts w:hint="eastAsia" w:ascii="宋体" w:hAnsi="宋体" w:eastAsia="宋体" w:cs="宋体"/>
          <w:color w:val="FF0000"/>
        </w:rPr>
        <w:t>在教育场景，已有工具可自动生成与课程大纲对齐的多项选择题，服务于教学与备考[13]。围绕中医研究生、执业医师考试的评测除统计答题正确率外，还分析模型的解题逻辑与信息使用方式，以判断其作为教育工具的可行性与潜在风险[23]。</w:t>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18487CCA">
      <w:pPr>
        <w:rPr>
          <w:rFonts w:hint="eastAsia" w:ascii="宋体" w:hAnsi="宋体" w:eastAsia="宋体" w:cs="宋体"/>
        </w:rPr>
      </w:pPr>
    </w:p>
    <w:p w14:paraId="55B8EF5A">
      <w:pPr>
        <w:pStyle w:val="6"/>
        <w:rPr>
          <w:rFonts w:hint="eastAsia" w:ascii="宋体" w:hAnsi="宋体" w:eastAsia="宋体" w:cs="宋体"/>
          <w:i w:val="0"/>
          <w:iCs w:val="0"/>
          <w:color w:val="000000"/>
        </w:rPr>
      </w:pPr>
      <w:r>
        <w:rPr>
          <w:rFonts w:hint="eastAsia" w:ascii="宋体" w:hAnsi="宋体" w:eastAsia="宋体" w:cs="宋体"/>
          <w:i w:val="0"/>
          <w:iCs w:val="0"/>
          <w:color w:val="000000"/>
        </w:rPr>
        <w:t>3.3.5 科研与知识发现</w:t>
      </w:r>
    </w:p>
    <w:p w14:paraId="2C51C0DE">
      <w:pPr>
        <w:spacing w:line="360" w:lineRule="auto"/>
        <w:ind w:firstLine="440" w:firstLineChars="200"/>
        <w:rPr>
          <w:rFonts w:hint="eastAsia" w:ascii="宋体" w:hAnsi="宋体" w:eastAsia="宋体" w:cs="宋体"/>
        </w:rPr>
      </w:pPr>
      <w:r>
        <w:rPr>
          <w:rFonts w:hint="eastAsia" w:eastAsia="宋体" w:cs="宋体"/>
          <w:color w:val="FF0000"/>
          <w:lang w:val="en-US" w:eastAsia="zh-CN"/>
        </w:rPr>
        <w:t>在科研与知识发现方向，有研究借助大语言模型嵌入与双向神经网络完成跨领域药物相互作用注释，展示了模型发现潜在药物相互作用的能力[32]；也有研究提出字符级卷积循环交互网络（CCRIN），从中医临床文本中联合抽取实体与关系，为构建知识图谱提供支持[33]。</w:t>
      </w:r>
      <w:r>
        <w:rPr>
          <w:rFonts w:hint="eastAsia" w:eastAsia="宋体" w:cs="宋体"/>
          <w:color w:val="FF0000"/>
          <w:vertAlign w:val="superscript"/>
          <w:lang w:val="en-US" w:eastAsia="zh-CN"/>
        </w:rPr>
      </w:r>
      <w:r>
        <w:rPr>
          <w:rFonts w:hint="eastAsia" w:eastAsia="宋体" w:cs="宋体"/>
          <w:color w:val="FF0000"/>
          <w:vertAlign w:val="baseline"/>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r>
        <w:rPr>
          <w:rFonts w:hint="eastAsia" w:ascii="宋体" w:hAnsi="宋体" w:eastAsia="宋体" w:cs="宋体"/>
        </w:rPr>
      </w:r>
    </w:p>
    <w:p w14:paraId="6BBE1C27">
      <w:pPr>
        <w:pStyle w:val="4"/>
        <w:rPr>
          <w:rFonts w:hint="eastAsia" w:ascii="宋体" w:hAnsi="宋体" w:eastAsia="宋体" w:cs="宋体"/>
        </w:rPr>
      </w:pPr>
      <w:r>
        <w:rPr>
          <w:rFonts w:hint="eastAsia" w:ascii="宋体" w:hAnsi="宋体" w:eastAsia="宋体" w:cs="宋体"/>
          <w:color w:val="000000"/>
        </w:rPr>
        <w:t>4 现有评测体系的主要局限及方法学反思</w:t>
      </w:r>
    </w:p>
    <w:p w14:paraId="04E356F1">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现有评测基准</w:t>
      </w:r>
      <w:r>
        <w:rPr>
          <w:rFonts w:hint="eastAsia" w:eastAsia="宋体" w:cs="宋体"/>
          <w:color w:val="FF0000"/>
          <w:lang w:eastAsia="zh-CN"/>
        </w:rPr>
        <w:t>，</w:t>
      </w:r>
      <w:r>
        <w:rPr>
          <w:rFonts w:hint="eastAsia" w:eastAsia="宋体" w:cs="宋体"/>
          <w:color w:val="FF0000"/>
          <w:lang w:val="en-US" w:eastAsia="zh-CN"/>
        </w:rPr>
        <w:t>例如</w:t>
      </w:r>
      <w:r>
        <w:rPr>
          <w:rFonts w:hint="eastAsia" w:ascii="宋体" w:hAnsi="宋体" w:eastAsia="宋体" w:cs="宋体"/>
          <w:color w:val="FF0000"/>
        </w:rPr>
        <w:t>标准化考试、静态病例与知识问答在数据可获得性、客观性和可重复性方面</w:t>
      </w:r>
      <w:r>
        <w:rPr>
          <w:rFonts w:hint="eastAsia" w:eastAsia="宋体" w:cs="宋体"/>
          <w:color w:val="FF0000"/>
          <w:lang w:val="en-US" w:eastAsia="zh-CN"/>
        </w:rPr>
        <w:t>具备</w:t>
      </w:r>
      <w:r>
        <w:rPr>
          <w:rFonts w:hint="eastAsia" w:ascii="宋体" w:hAnsi="宋体" w:eastAsia="宋体" w:cs="宋体"/>
          <w:color w:val="FF0000"/>
        </w:rPr>
        <w:t>不可替代的基础作用，是模型能力评价的重要基础，也是后续复杂评测得以展开的前提。本部分从评测效度角度，针对当前体系在能力刻画、安全覆盖与临床效用三方面的不足进行方法学反思。</w:t>
      </w:r>
    </w:p>
    <w:p w14:paraId="67EF7B3A">
      <w:pPr>
        <w:pStyle w:val="5"/>
        <w:rPr>
          <w:rFonts w:hint="eastAsia" w:ascii="宋体" w:hAnsi="宋体" w:eastAsia="宋体" w:cs="宋体"/>
        </w:rPr>
      </w:pPr>
      <w:r>
        <w:rPr>
          <w:rFonts w:hint="eastAsia" w:ascii="宋体" w:hAnsi="宋体" w:eastAsia="宋体" w:cs="宋体"/>
          <w:color w:val="000000"/>
        </w:rPr>
        <w:t>4.1 文本封闭假设与多感官诊断范式的错位</w:t>
      </w:r>
    </w:p>
    <w:p w14:paraId="7E6B0F4D">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模型能够通过执业医师考试、在选择题上达到90%以上的准确率，所度量的主要是文本到文本的符号映射能力，与真实中医诊疗所需的跨模态感知综合判断能力存在明显区别。文本任务上的良好表现，可能掩盖了对多感官、具身、情境依赖这一类认知过程的评估缺失，从而高估模型的实际临床能力。一个“知道”舌红苔黄腻主湿热的模型，未必能在真实舌象图像中识别该特征，也难以结合脉象、面色与问诊信息完成综合辨证。医学AI要实现真正的临床价值，必须系统构建多模态感知能力[34]。</w:t>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lang w:val="en-US" w:eastAsia="zh-CN"/>
        </w:rPr>
      </w:r>
      <w:r>
        <w:rPr>
          <w:rFonts w:hint="eastAsia" w:ascii="宋体" w:hAnsi="宋体" w:eastAsia="宋体" w:cs="宋体"/>
          <w:color w:val="FF0000"/>
        </w:rPr>
      </w:r>
      <w:r>
        <w:rPr>
          <w:rFonts w:hint="eastAsia" w:eastAsia="宋体" w:cs="宋体"/>
          <w:color w:val="FF0000"/>
          <w:vertAlign w:val="superscript"/>
          <w:lang w:val="en-US" w:eastAsia="zh-CN"/>
        </w:rPr>
      </w:r>
      <w:r>
        <w:rPr>
          <w:rFonts w:hint="eastAsia" w:ascii="宋体" w:hAnsi="宋体" w:eastAsia="宋体" w:cs="宋体"/>
          <w:color w:val="FF0000"/>
        </w:rPr>
      </w:r>
    </w:p>
    <w:p w14:paraId="6718ABFC">
      <w:pPr>
        <w:pStyle w:val="5"/>
        <w:rPr>
          <w:rFonts w:hint="eastAsia" w:ascii="宋体" w:hAnsi="宋体" w:eastAsia="宋体" w:cs="宋体"/>
        </w:rPr>
      </w:pPr>
      <w:r>
        <w:rPr>
          <w:rFonts w:hint="eastAsia" w:ascii="宋体" w:hAnsi="宋体" w:eastAsia="宋体" w:cs="宋体"/>
          <w:color w:val="000000"/>
        </w:rPr>
        <w:t>4.2 安全评价维度的覆盖不足</w:t>
      </w:r>
    </w:p>
    <w:p w14:paraId="2FD05500">
      <w:pPr>
        <w:spacing w:line="360" w:lineRule="auto"/>
        <w:ind w:firstLine="440" w:firstLineChars="200"/>
        <w:jc w:val="both"/>
        <w:rPr>
          <w:rFonts w:hint="eastAsia" w:ascii="宋体" w:hAnsi="宋体" w:eastAsia="宋体" w:cs="宋体"/>
        </w:rPr>
      </w:pPr>
      <w:r>
        <w:rPr>
          <w:rFonts w:hint="default" w:ascii="Times New Roman" w:hAnsi="Times New Roman" w:eastAsia="宋体" w:cs="Times New Roman"/>
          <w:color w:val="FF0000"/>
          <w:lang w:val="en-US" w:eastAsia="zh-CN"/>
        </w:rPr>
        <w:t>已发现的“正负向能力鸿沟”只是文本层面安全问题的一部分[11]：现有评测大多只关注文本准确率，对幻觉（hallucination）、错误信息识别与不确定性校准（uncertainty calibration）等核心安全属性关注不足。在多模态临床场景中，还存在图像质量欺骗（如色彩被篡改的舌诊图）、跨模态信息矛盾（如舌脉不一致时如何取舍）以及模态缺失时的过度自信推断等风险，而这些在现有评测体系中几乎未被触及。已有研究强调，医学大语言模型的安全评测应超越准确率，把“模型是否自知其知识边界”的不确定性校准纳入核心指标[35]。处方审核基准在用药安全维度上前进了一步[12]，但对多模态安全漏洞的系统研究仍相对缺乏。</w:t>
      </w:r>
      <w:r>
        <w:rPr>
          <w:rFonts w:hint="default" w:ascii="Times New Roman" w:hAnsi="Times New Roman" w:eastAsia="宋体" w:cs="Times New Roman"/>
          <w:color w:val="FF0000"/>
        </w:rPr>
      </w:r>
      <w:r>
        <w:rPr>
          <w:rFonts w:hint="eastAsia" w:ascii="Times New Roman" w:hAnsi="Times New Roman" w:eastAsia="宋体" w:cs="Times New Roman"/>
          <w:color w:val="FF0000"/>
          <w:lang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vertAlign w:val="superscript"/>
          <w:lang w:val="en-US" w:eastAsia="zh-CN"/>
        </w:rPr>
      </w:r>
      <w:r>
        <w:rPr>
          <w:rFonts w:hint="eastAsia" w:ascii="Times New Roman" w:hAnsi="Times New Roman" w:eastAsia="宋体" w:cs="Times New Roman"/>
          <w:color w:val="FF0000"/>
          <w:vertAlign w:val="baseline"/>
          <w:lang w:val="en-US"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eastAsia="zh-CN"/>
        </w:rPr>
      </w:r>
      <w:r>
        <w:rPr>
          <w:rFonts w:hint="eastAsia" w:ascii="Times New Roman" w:hAnsi="Times New Roman" w:eastAsia="宋体" w:cs="Times New Roman"/>
          <w:color w:val="FF0000"/>
          <w:lang w:val="en-US" w:eastAsia="zh-CN"/>
        </w:rPr>
      </w:r>
      <w:r>
        <w:rPr>
          <w:rFonts w:hint="default" w:ascii="Times New Roman" w:hAnsi="Times New Roman" w:eastAsia="宋体" w:cs="Times New Roman"/>
          <w:color w:val="FF0000"/>
        </w:rPr>
      </w:r>
      <w:r>
        <w:rPr>
          <w:rFonts w:hint="eastAsia" w:eastAsia="宋体" w:cs="宋体"/>
          <w:color w:val="FF0000"/>
          <w:vertAlign w:val="superscript"/>
          <w:lang w:val="en-US"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eastAsia="zh-CN"/>
        </w:rPr>
      </w:r>
      <w:r>
        <w:rPr>
          <w:rFonts w:hint="default" w:ascii="Times New Roman" w:hAnsi="Times New Roman" w:eastAsia="宋体" w:cs="Times New Roman"/>
          <w:color w:val="FF0000"/>
        </w:rPr>
      </w:r>
      <w:r>
        <w:rPr>
          <w:rFonts w:hint="default" w:ascii="Times New Roman" w:hAnsi="Times New Roman" w:eastAsia="宋体" w:cs="Times New Roman"/>
          <w:color w:val="FF0000"/>
          <w:vertAlign w:val="superscript"/>
          <w:lang w:val="en-US"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val="en-US" w:eastAsia="zh-CN"/>
        </w:rPr>
      </w:r>
      <w:r>
        <w:rPr>
          <w:rFonts w:hint="default" w:ascii="Times New Roman" w:hAnsi="Times New Roman" w:eastAsia="宋体" w:cs="Times New Roman"/>
          <w:color w:val="FF0000"/>
        </w:rPr>
      </w:r>
      <w:r>
        <w:rPr>
          <w:rFonts w:hint="eastAsia" w:ascii="Times New Roman" w:hAnsi="Times New Roman" w:eastAsia="宋体" w:cs="Times New Roman"/>
          <w:color w:val="FF0000"/>
          <w:lang w:eastAsia="zh-CN"/>
        </w:rPr>
      </w:r>
    </w:p>
    <w:p w14:paraId="4A120A09">
      <w:pPr>
        <w:pStyle w:val="5"/>
        <w:rPr>
          <w:rFonts w:hint="eastAsia" w:ascii="宋体" w:hAnsi="宋体" w:eastAsia="宋体" w:cs="宋体"/>
        </w:rPr>
      </w:pPr>
      <w:r>
        <w:rPr>
          <w:rFonts w:hint="eastAsia" w:ascii="宋体" w:hAnsi="宋体" w:eastAsia="宋体" w:cs="宋体"/>
          <w:color w:val="000000"/>
        </w:rPr>
        <w:t>4.3 离线基准与真实临床场景的脱节</w:t>
      </w:r>
    </w:p>
    <w:p w14:paraId="39D5813A">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现有研究较少考察LLM作为辅助工具在真实临床环境中对诊疗质量的实际影响。多数评测为静态离线测试，脱离真实临床的动态诊疗过程，缺少以患者结局为终点的闭环验证，难以据此预测模型的真实临床价值。近期虽有改进尝试：Liu等</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36</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以真实针灸病案为基础，由中、韩、美三国28名专家进行多语言盲评；ATCMD-Bench</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9</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与DCB</w:t>
      </w:r>
      <w:r>
        <w:rPr>
          <w:rFonts w:hint="default" w:ascii="Times New Roman" w:hAnsi="Times New Roman" w:eastAsia="宋体" w:cs="Times New Roman"/>
          <w:color w:val="FF0000"/>
          <w:vertAlign w:val="superscript"/>
          <w:lang w:val="en-US" w:eastAsia="zh-CN"/>
        </w:rPr>
        <w:t>[1</w:t>
      </w:r>
      <w:r>
        <w:rPr>
          <w:rFonts w:hint="eastAsia" w:ascii="Times New Roman" w:hAnsi="Times New Roman" w:eastAsia="宋体" w:cs="Times New Roman"/>
          <w:color w:val="FF0000"/>
          <w:vertAlign w:val="superscript"/>
          <w:lang w:val="en-US" w:eastAsia="zh-CN"/>
        </w:rPr>
        <w:t>0</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分别采用多智能体模拟和全流程动态环境以逼近真实接诊场景。但这些工作仍以专家评分或模拟环境为主，与以患者结局为终点的前瞻性验证尚有差距。Topol</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37</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指出，医疗AI与临床实践之间的差距主要不在于技术精度，而在于缺乏以患者结局为终点的验证范式。中医诊疗是医患共建的动态过程，而非一次性的问答任务，脱离临床情境的离线基准带有系统性偏差。在真实临床</w:t>
      </w:r>
      <w:r>
        <w:rPr>
          <w:rFonts w:hint="eastAsia" w:eastAsia="宋体" w:cs="宋体"/>
          <w:color w:val="FF0000"/>
          <w:lang w:val="en-US" w:eastAsia="zh-CN"/>
        </w:rPr>
        <w:t>实践</w:t>
      </w:r>
      <w:r>
        <w:rPr>
          <w:rFonts w:hint="eastAsia" w:ascii="宋体" w:hAnsi="宋体" w:eastAsia="宋体" w:cs="宋体"/>
          <w:color w:val="FF0000"/>
        </w:rPr>
        <w:t>中，医师需根据患者反馈不断调整辨证和治疗方案；而现有基准中，模型给出一次回答即视为评测完成。这一评测设计上的局限，是当前中医药LLM评测研究共同面临的问题。</w:t>
      </w:r>
    </w:p>
    <w:p w14:paraId="7671CDB0">
      <w:pPr>
        <w:rPr>
          <w:rFonts w:hint="eastAsia" w:ascii="宋体" w:hAnsi="宋体" w:eastAsia="宋体" w:cs="宋体"/>
        </w:rPr>
      </w:pPr>
      <w:r>
        <w:rPr>
          <w:rFonts w:hint="eastAsia" w:ascii="宋体" w:hAnsi="宋体" w:eastAsia="宋体" w:cs="宋体"/>
        </w:rPr>
        <w:br w:type="page"/>
      </w:r>
    </w:p>
    <w:p w14:paraId="57E099ED">
      <w:pPr>
        <w:pStyle w:val="4"/>
        <w:rPr>
          <w:rFonts w:hint="eastAsia" w:ascii="宋体" w:hAnsi="宋体" w:eastAsia="宋体" w:cs="宋体"/>
        </w:rPr>
      </w:pPr>
      <w:r>
        <w:rPr>
          <w:rFonts w:hint="eastAsia" w:ascii="宋体" w:hAnsi="宋体" w:eastAsia="宋体" w:cs="宋体"/>
          <w:color w:val="000000"/>
        </w:rPr>
        <w:t>5 中医药大语言模型评测体系的未来发展方向</w:t>
      </w:r>
    </w:p>
    <w:p w14:paraId="7AC64159">
      <w:pPr>
        <w:pStyle w:val="5"/>
        <w:spacing w:line="360" w:lineRule="auto"/>
        <w:rPr>
          <w:rFonts w:hint="eastAsia" w:ascii="宋体" w:hAnsi="宋体" w:eastAsia="宋体" w:cs="宋体"/>
        </w:rPr>
      </w:pPr>
      <w:r>
        <w:rPr>
          <w:rFonts w:hint="eastAsia" w:ascii="宋体" w:hAnsi="宋体" w:eastAsia="宋体" w:cs="宋体"/>
          <w:color w:val="000000"/>
        </w:rPr>
        <w:t>5.1 构建中医药知识驱动的分层评测体系</w:t>
      </w:r>
    </w:p>
    <w:p w14:paraId="59DA5ED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中医临床遵循由四诊信息到证候、由证候到治法、由治法到方药、再由疗效检验的递进链条，评测体系亦应循此分层展开，本文提出构建“知识驱动的五层评测框架”：</w:t>
      </w:r>
    </w:p>
    <w:p w14:paraId="29B46786">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1</w:t>
      </w:r>
      <w:r>
        <w:rPr>
          <w:rFonts w:hint="eastAsia" w:eastAsia="宋体" w:cs="宋体"/>
          <w:color w:val="FF0000"/>
          <w:lang w:eastAsia="zh-CN"/>
        </w:rPr>
        <w:t>）</w:t>
      </w:r>
      <w:r>
        <w:rPr>
          <w:rFonts w:hint="eastAsia" w:ascii="宋体" w:hAnsi="宋体" w:eastAsia="宋体" w:cs="宋体"/>
          <w:color w:val="FF0000"/>
        </w:rPr>
        <w:t>知识层（Knowledge）：考查中医基础理论、术语规范与中药功效等事实性知识的掌握程度。</w:t>
      </w:r>
    </w:p>
    <w:p w14:paraId="65F36F5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2</w:t>
      </w:r>
      <w:r>
        <w:rPr>
          <w:rFonts w:hint="eastAsia" w:eastAsia="宋体" w:cs="宋体"/>
          <w:color w:val="FF0000"/>
          <w:lang w:eastAsia="zh-CN"/>
        </w:rPr>
        <w:t>）</w:t>
      </w:r>
      <w:r>
        <w:rPr>
          <w:rFonts w:hint="eastAsia" w:ascii="宋体" w:hAnsi="宋体" w:eastAsia="宋体" w:cs="宋体"/>
          <w:color w:val="FF0000"/>
        </w:rPr>
        <w:t>辨证层（Syndrome Differentiation）：考查从四诊信息到证候推断的推理链条与病机分析能力。</w:t>
      </w:r>
    </w:p>
    <w:p w14:paraId="63C6405C">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3</w:t>
      </w:r>
      <w:r>
        <w:rPr>
          <w:rFonts w:hint="eastAsia" w:eastAsia="宋体" w:cs="宋体"/>
          <w:color w:val="FF0000"/>
          <w:lang w:eastAsia="zh-CN"/>
        </w:rPr>
        <w:t>）</w:t>
      </w:r>
      <w:r>
        <w:rPr>
          <w:rFonts w:hint="eastAsia" w:ascii="宋体" w:hAnsi="宋体" w:eastAsia="宋体" w:cs="宋体"/>
          <w:color w:val="FF0000"/>
        </w:rPr>
        <w:t>治则层（Treatment Principle）：考查依据证候确立相应治则治法的合理性与准确性。</w:t>
      </w:r>
    </w:p>
    <w:p w14:paraId="44E1E147">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4</w:t>
      </w:r>
      <w:r>
        <w:rPr>
          <w:rFonts w:hint="eastAsia" w:eastAsia="宋体" w:cs="宋体"/>
          <w:color w:val="FF0000"/>
          <w:lang w:eastAsia="zh-CN"/>
        </w:rPr>
        <w:t>）</w:t>
      </w:r>
      <w:r>
        <w:rPr>
          <w:rFonts w:hint="eastAsia" w:ascii="宋体" w:hAnsi="宋体" w:eastAsia="宋体" w:cs="宋体"/>
          <w:color w:val="FF0000"/>
        </w:rPr>
        <w:t>方药层（Formula &amp; Medication）：考查方剂配伍、剂量恰当性及配伍禁忌识别能力。</w:t>
      </w:r>
    </w:p>
    <w:p w14:paraId="2F2DF192">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5</w:t>
      </w:r>
      <w:r>
        <w:rPr>
          <w:rFonts w:hint="eastAsia" w:eastAsia="宋体" w:cs="宋体"/>
          <w:color w:val="FF0000"/>
          <w:lang w:eastAsia="zh-CN"/>
        </w:rPr>
        <w:t>）</w:t>
      </w:r>
      <w:r>
        <w:rPr>
          <w:rFonts w:hint="eastAsia" w:ascii="宋体" w:hAnsi="宋体" w:eastAsia="宋体" w:cs="宋体"/>
          <w:color w:val="FF0000"/>
        </w:rPr>
        <w:t>疗效层（Efficacy）：以随访结局和复诊调方的合理性检验临床决策的闭环能力。</w:t>
      </w:r>
    </w:p>
    <w:p w14:paraId="5F62CBA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各层逐层递进，采用条件化评分（conditional scoring）机制：上一层推理错误则终止后续评测，并报告误差沿链条的传导与放大效应。同时为各层设定准入阈值，未通过知识层与辨证层阈值者，其方药层、疗效层的高分不予采信。疗效层有赖于真实世界随访与前瞻性数据，目前仍属亟待建设的目标层次。各层与评测内容、代表指标及对应基准类别的对应关系见图3。这一分层思路在标准化层面亦有呼应，如GB/T 45288.2—2025确立了通用大模型的评测指标与方法[38]，可为中医药知识驱动评测体系提供制度参照。</w:t>
      </w:r>
    </w:p>
    <w:p w14:paraId="4BDAABAF">
      <w:pPr>
        <w:spacing w:line="360" w:lineRule="auto"/>
        <w:ind w:firstLine="440" w:firstLineChars="200"/>
        <w:jc w:val="both"/>
        <w:rPr>
          <w:rFonts w:hint="eastAsia" w:ascii="宋体" w:hAnsi="宋体" w:eastAsia="宋体" w:cs="宋体"/>
          <w:color w:val="FF0000"/>
          <w:lang w:eastAsia="zh-CN"/>
        </w:rPr>
      </w:pPr>
      <w:r>
        <w:rPr>
          <w:rFonts w:hint="eastAsia" w:ascii="宋体" w:hAnsi="宋体" w:eastAsia="宋体" w:cs="宋体"/>
          <w:color w:val="FF0000"/>
          <w:lang w:eastAsia="zh-CN"/>
        </w:rPr>
        <w:drawing>
          <wp:inline distT="0" distB="0" distL="114300" distR="114300">
            <wp:extent cx="5482590" cy="3816350"/>
            <wp:effectExtent l="0" t="0" r="3810" b="12700"/>
            <wp:docPr id="1" name="图片 1" descr="图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3.drawio"/>
                    <pic:cNvPicPr>
                      <a:picLocks noChangeAspect="1"/>
                    </pic:cNvPicPr>
                  </pic:nvPicPr>
                  <pic:blipFill>
                    <a:blip r:embed="rId8"/>
                    <a:stretch>
                      <a:fillRect/>
                    </a:stretch>
                  </pic:blipFill>
                  <pic:spPr>
                    <a:xfrm>
                      <a:off x="0" y="0"/>
                      <a:ext cx="5482590" cy="3816350"/>
                    </a:xfrm>
                    <a:prstGeom prst="rect">
                      <a:avLst/>
                    </a:prstGeom>
                  </pic:spPr>
                </pic:pic>
              </a:graphicData>
            </a:graphic>
          </wp:inline>
        </w:drawing>
      </w:r>
    </w:p>
    <w:p w14:paraId="44CFCAC9">
      <w:pPr>
        <w:jc w:val="center"/>
        <w:rPr>
          <w:rFonts w:hint="eastAsia" w:ascii="宋体" w:hAnsi="宋体" w:eastAsia="宋体" w:cs="宋体"/>
          <w:color w:val="FF0000"/>
        </w:rPr>
      </w:pPr>
      <w:r>
        <w:rPr>
          <w:rFonts w:hint="eastAsia" w:ascii="宋体" w:hAnsi="宋体" w:eastAsia="宋体" w:cs="宋体"/>
          <w:color w:val="FF0000"/>
        </w:rPr>
        <w:t>图3 中医药知识驱动的五层评测框架</w:t>
      </w:r>
    </w:p>
    <w:p w14:paraId="776A78AF">
      <w:pPr>
        <w:pStyle w:val="5"/>
        <w:spacing w:line="360" w:lineRule="auto"/>
        <w:rPr>
          <w:rFonts w:hint="eastAsia" w:ascii="宋体" w:hAnsi="宋体" w:eastAsia="宋体" w:cs="宋体"/>
        </w:rPr>
      </w:pPr>
      <w:r>
        <w:rPr>
          <w:rFonts w:hint="eastAsia" w:ascii="宋体" w:hAnsi="宋体" w:eastAsia="宋体" w:cs="宋体"/>
          <w:color w:val="000000"/>
        </w:rPr>
        <w:t>5.2 加快推进多模态评测数据基础设施建设</w:t>
      </w:r>
    </w:p>
    <w:p w14:paraId="245ED121">
      <w:pPr>
        <w:spacing w:line="360" w:lineRule="auto"/>
        <w:ind w:firstLine="440" w:firstLineChars="200"/>
        <w:jc w:val="both"/>
        <w:rPr>
          <w:rFonts w:hint="eastAsia" w:ascii="宋体" w:hAnsi="宋体" w:eastAsia="宋体" w:cs="宋体"/>
        </w:rPr>
      </w:pPr>
      <w:r>
        <w:rPr>
          <w:rFonts w:hint="eastAsia" w:ascii="宋体" w:hAnsi="宋体" w:eastAsia="宋体" w:cs="宋体"/>
        </w:rPr>
        <w:t>多模态评测的前提在于拥有高质量的多模态标注数据集。建议依托国内中医临床研究网络，参照多中心临床研究的数据治理规范，优先建设覆盖舌象图像、标准化脉象波形、结构化四诊文本和随访结局的多模态中医临床评测语料库。数据采集需满足多中心、多地域、多体质类型的代表性要求，并建立开放共享机制，形成公共基准平台。</w:t>
      </w:r>
    </w:p>
    <w:p w14:paraId="0C218AB2">
      <w:pPr>
        <w:pStyle w:val="5"/>
        <w:spacing w:line="360" w:lineRule="auto"/>
        <w:jc w:val="both"/>
        <w:rPr>
          <w:rFonts w:hint="eastAsia" w:ascii="宋体" w:hAnsi="宋体" w:eastAsia="宋体" w:cs="宋体"/>
        </w:rPr>
      </w:pPr>
      <w:r>
        <w:rPr>
          <w:rFonts w:hint="eastAsia" w:ascii="宋体" w:hAnsi="宋体" w:eastAsia="宋体" w:cs="宋体"/>
          <w:color w:val="000000"/>
        </w:rPr>
        <w:t>5.3 构建分层递进的临床多模态能力评测标准体系</w:t>
      </w:r>
    </w:p>
    <w:p w14:paraId="4CE80874">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建议按三层递进的思路建设评测标准体系。</w:t>
      </w:r>
    </w:p>
    <w:p w14:paraId="47DA6CE7">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1</w:t>
      </w:r>
      <w:r>
        <w:rPr>
          <w:rFonts w:hint="eastAsia" w:eastAsia="宋体" w:cs="宋体"/>
          <w:color w:val="FF0000"/>
          <w:lang w:eastAsia="zh-CN"/>
        </w:rPr>
        <w:t>）</w:t>
      </w:r>
      <w:r>
        <w:rPr>
          <w:rFonts w:hint="eastAsia" w:ascii="宋体" w:hAnsi="宋体" w:eastAsia="宋体" w:cs="宋体"/>
          <w:color w:val="FF0000"/>
        </w:rPr>
        <w:t>第一层为模态基础准入层</w:t>
      </w:r>
      <w:r>
        <w:rPr>
          <w:rFonts w:hint="eastAsia" w:eastAsia="宋体" w:cs="宋体"/>
          <w:color w:val="FF0000"/>
          <w:lang w:eastAsia="zh-CN"/>
        </w:rPr>
        <w:t>：</w:t>
      </w:r>
      <w:r>
        <w:rPr>
          <w:rFonts w:hint="eastAsia" w:ascii="宋体" w:hAnsi="宋体" w:eastAsia="宋体" w:cs="宋体"/>
          <w:color w:val="FF0000"/>
        </w:rPr>
        <w:t>以单模态识别精度</w:t>
      </w:r>
      <w:r>
        <w:rPr>
          <w:rFonts w:hint="eastAsia" w:eastAsia="宋体" w:cs="宋体"/>
          <w:color w:val="FF0000"/>
          <w:lang w:eastAsia="zh-CN"/>
        </w:rPr>
        <w:t>，</w:t>
      </w:r>
      <w:r>
        <w:rPr>
          <w:rFonts w:hint="eastAsia" w:ascii="宋体" w:hAnsi="宋体" w:eastAsia="宋体" w:cs="宋体"/>
          <w:color w:val="FF0000"/>
        </w:rPr>
        <w:t>如舌色分类准确率、脉象参数识别准确率</w:t>
      </w:r>
      <w:r>
        <w:rPr>
          <w:rFonts w:hint="eastAsia" w:eastAsia="宋体" w:cs="宋体"/>
          <w:color w:val="FF0000"/>
          <w:lang w:eastAsia="zh-CN"/>
        </w:rPr>
        <w:t>，</w:t>
      </w:r>
      <w:r>
        <w:rPr>
          <w:rFonts w:hint="eastAsia" w:ascii="宋体" w:hAnsi="宋体" w:eastAsia="宋体" w:cs="宋体"/>
          <w:color w:val="FF0000"/>
        </w:rPr>
        <w:t>作为模型进入临床推理评测的门槛。</w:t>
      </w:r>
    </w:p>
    <w:p w14:paraId="0CDA18B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2</w:t>
      </w:r>
      <w:r>
        <w:rPr>
          <w:rFonts w:hint="eastAsia" w:eastAsia="宋体" w:cs="宋体"/>
          <w:color w:val="FF0000"/>
          <w:lang w:eastAsia="zh-CN"/>
        </w:rPr>
        <w:t>）</w:t>
      </w:r>
      <w:r>
        <w:rPr>
          <w:rFonts w:hint="eastAsia" w:ascii="宋体" w:hAnsi="宋体" w:eastAsia="宋体" w:cs="宋体"/>
          <w:color w:val="FF0000"/>
        </w:rPr>
        <w:t>第二层为临床推理核心层，重点考查跨模态融合增益率、模态冲突处置准确率、不确定性校准误差等反映真实临床智能水平的指标，并将</w:t>
      </w:r>
      <w:r>
        <w:rPr>
          <w:rFonts w:hint="eastAsia" w:eastAsia="宋体" w:cs="宋体"/>
          <w:color w:val="FF0000"/>
          <w:lang w:eastAsia="zh-CN"/>
        </w:rPr>
        <w:t>“</w:t>
      </w:r>
      <w:r>
        <w:rPr>
          <w:rFonts w:hint="eastAsia" w:ascii="宋体" w:hAnsi="宋体" w:eastAsia="宋体" w:cs="宋体"/>
          <w:color w:val="FF0000"/>
        </w:rPr>
        <w:t>危险诊疗建议率</w:t>
      </w:r>
      <w:r>
        <w:rPr>
          <w:rFonts w:hint="eastAsia" w:eastAsia="宋体" w:cs="宋体"/>
          <w:color w:val="FF0000"/>
          <w:lang w:eastAsia="zh-CN"/>
        </w:rPr>
        <w:t>”</w:t>
      </w:r>
      <w:r>
        <w:rPr>
          <w:rFonts w:hint="eastAsia" w:ascii="宋体" w:hAnsi="宋体" w:eastAsia="宋体" w:cs="宋体"/>
          <w:color w:val="FF0000"/>
        </w:rPr>
        <w:t>设定为不可逾越的</w:t>
      </w:r>
      <w:r>
        <w:rPr>
          <w:rFonts w:hint="eastAsia" w:eastAsia="宋体" w:cs="宋体"/>
          <w:color w:val="FF0000"/>
          <w:lang w:val="en-US" w:eastAsia="zh-CN"/>
        </w:rPr>
        <w:t>安全</w:t>
      </w:r>
      <w:r>
        <w:rPr>
          <w:rFonts w:hint="eastAsia" w:ascii="宋体" w:hAnsi="宋体" w:eastAsia="宋体" w:cs="宋体"/>
          <w:color w:val="FF0000"/>
        </w:rPr>
        <w:t>阈值。</w:t>
      </w:r>
    </w:p>
    <w:p w14:paraId="49AE291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3</w:t>
      </w:r>
      <w:r>
        <w:rPr>
          <w:rFonts w:hint="eastAsia" w:eastAsia="宋体" w:cs="宋体"/>
          <w:color w:val="FF0000"/>
          <w:lang w:eastAsia="zh-CN"/>
        </w:rPr>
        <w:t>）</w:t>
      </w:r>
      <w:r>
        <w:rPr>
          <w:rFonts w:hint="eastAsia" w:ascii="宋体" w:hAnsi="宋体" w:eastAsia="宋体" w:cs="宋体"/>
          <w:color w:val="FF0000"/>
        </w:rPr>
        <w:t>第三层为临床效用验证层，通过前瞻性临床研究评价诊断辅助增效率、医师采纳与合理修改率以及纵向治疗结局预测准确度，以患者结局数据作为最终验证标准</w:t>
      </w:r>
      <w:r>
        <w:rPr>
          <w:rFonts w:hint="eastAsia" w:eastAsia="宋体" w:cs="宋体"/>
          <w:color w:val="FF0000"/>
          <w:vertAlign w:val="superscript"/>
          <w:lang w:val="en-US" w:eastAsia="zh-CN"/>
        </w:rPr>
        <w:t>[37]</w:t>
      </w:r>
      <w:r>
        <w:rPr>
          <w:rFonts w:hint="eastAsia" w:ascii="宋体" w:hAnsi="宋体" w:eastAsia="宋体" w:cs="宋体"/>
          <w:color w:val="FF0000"/>
        </w:rPr>
        <w:t>。</w:t>
      </w:r>
    </w:p>
    <w:p w14:paraId="7D03AA58">
      <w:pPr>
        <w:pStyle w:val="5"/>
        <w:spacing w:line="360" w:lineRule="auto"/>
        <w:jc w:val="both"/>
        <w:rPr>
          <w:rFonts w:hint="eastAsia" w:ascii="宋体" w:hAnsi="宋体" w:eastAsia="宋体" w:cs="宋体"/>
        </w:rPr>
      </w:pPr>
      <w:r>
        <w:rPr>
          <w:rFonts w:hint="eastAsia" w:ascii="宋体" w:hAnsi="宋体" w:eastAsia="宋体" w:cs="宋体"/>
          <w:color w:val="000000"/>
        </w:rPr>
        <w:t>5.4 发展面向中医认知特质的评测方法论创新</w:t>
      </w:r>
    </w:p>
    <w:p w14:paraId="2D321798">
      <w:pPr>
        <w:spacing w:line="360" w:lineRule="auto"/>
        <w:ind w:firstLine="440" w:firstLineChars="200"/>
        <w:jc w:val="both"/>
        <w:rPr>
          <w:rFonts w:hint="eastAsia" w:eastAsia="宋体" w:cs="宋体"/>
          <w:color w:val="FF0000"/>
          <w:lang w:eastAsia="zh-CN"/>
        </w:rPr>
      </w:pPr>
      <w:r>
        <w:rPr>
          <w:rFonts w:hint="eastAsia" w:ascii="宋体" w:hAnsi="宋体" w:eastAsia="宋体" w:cs="宋体"/>
          <w:color w:val="FF0000"/>
        </w:rPr>
        <w:t>现有评测方法论多借鉴自通用医学AI领域，对中医特有的认知结构关注不足</w:t>
      </w:r>
      <w:r>
        <w:rPr>
          <w:rFonts w:hint="eastAsia" w:eastAsia="宋体" w:cs="宋体"/>
          <w:color w:val="FF0000"/>
          <w:lang w:eastAsia="zh-CN"/>
        </w:rPr>
        <w:t>。</w:t>
      </w:r>
    </w:p>
    <w:p w14:paraId="7E8D46A1">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一是辨证整体性的量化表达</w:t>
      </w:r>
      <w:r>
        <w:rPr>
          <w:rFonts w:hint="eastAsia" w:eastAsia="宋体" w:cs="宋体"/>
          <w:color w:val="FF0000"/>
          <w:lang w:eastAsia="zh-CN"/>
        </w:rPr>
        <w:t>：</w:t>
      </w:r>
      <w:r>
        <w:rPr>
          <w:rFonts w:hint="eastAsia" w:eastAsia="宋体" w:cs="宋体"/>
          <w:color w:val="FF0000"/>
          <w:lang w:val="en-US" w:eastAsia="zh-CN"/>
        </w:rPr>
        <w:t>需</w:t>
      </w:r>
      <w:r>
        <w:rPr>
          <w:rFonts w:hint="eastAsia" w:ascii="宋体" w:hAnsi="宋体" w:eastAsia="宋体" w:cs="宋体"/>
          <w:color w:val="FF0000"/>
        </w:rPr>
        <w:t>设计反映辨证结论整体合理性的评估方法，而非各分项指标的简单相加。</w:t>
      </w:r>
    </w:p>
    <w:p w14:paraId="0916A0E7">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二是同病异治、异病同治的个体化评测设计。需要构建同种疾病、不同体质患者的标准化案例集，考查模型能否给出有差异且有依据的辨证处方。</w:t>
      </w:r>
    </w:p>
    <w:p w14:paraId="13BC38C8">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三是纵向推理能力的评测框架。开发覆盖多次就诊记录的纵向评测范式，替代目前大多锚定单次就诊横断面的评测设计。</w:t>
      </w:r>
    </w:p>
    <w:p w14:paraId="2ADC20CE">
      <w:pPr>
        <w:pStyle w:val="5"/>
        <w:spacing w:line="360" w:lineRule="auto"/>
        <w:jc w:val="both"/>
        <w:rPr>
          <w:rFonts w:hint="eastAsia" w:ascii="宋体" w:hAnsi="宋体" w:eastAsia="宋体" w:cs="宋体"/>
        </w:rPr>
      </w:pPr>
      <w:r>
        <w:rPr>
          <w:rFonts w:hint="eastAsia" w:ascii="宋体" w:hAnsi="宋体" w:eastAsia="宋体" w:cs="宋体"/>
          <w:color w:val="000000"/>
        </w:rPr>
        <w:t>5.5 推动真实世界临床验证与国际标准化协同推进</w:t>
      </w:r>
    </w:p>
    <w:p w14:paraId="4BF2302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在国内层面，建议将LLM临床多模态评测研究纳入国家中医药科技创新的重点部署，依托现有中医临床研究基地开展人机协同的前瞻性试点，逐步积累AI辅助与人工独立对照条件下的临床证据。在国际层面，可参照WHO传统医学战略框架和国际医疗AI评估规范（如FDA的AI/ML行动计划），推动中医药LLM评测标准的国际化表达，使其融入全球传统医学AI治理体系。</w:t>
      </w:r>
    </w:p>
    <w:p w14:paraId="42393619">
      <w:pPr>
        <w:rPr>
          <w:rFonts w:hint="eastAsia" w:ascii="宋体" w:hAnsi="宋体" w:eastAsia="宋体" w:cs="宋体"/>
        </w:rPr>
      </w:pPr>
      <w:r>
        <w:rPr>
          <w:rFonts w:hint="eastAsia" w:ascii="宋体" w:hAnsi="宋体" w:eastAsia="宋体" w:cs="宋体"/>
        </w:rPr>
        <w:br w:type="page"/>
      </w:r>
    </w:p>
    <w:p w14:paraId="12676936">
      <w:pPr>
        <w:pStyle w:val="4"/>
        <w:rPr>
          <w:rFonts w:hint="eastAsia" w:ascii="宋体" w:hAnsi="宋体" w:eastAsia="宋体" w:cs="宋体"/>
        </w:rPr>
      </w:pPr>
      <w:r>
        <w:rPr>
          <w:rFonts w:hint="eastAsia" w:ascii="宋体" w:hAnsi="宋体" w:eastAsia="宋体" w:cs="宋体"/>
          <w:color w:val="000000"/>
        </w:rPr>
        <w:t>6 小结</w:t>
      </w:r>
    </w:p>
    <w:p w14:paraId="2EE41523">
      <w:pPr>
        <w:spacing w:line="360" w:lineRule="auto"/>
        <w:ind w:firstLine="440" w:firstLineChars="200"/>
        <w:jc w:val="both"/>
        <w:rPr>
          <w:rFonts w:hint="eastAsia" w:eastAsia="宋体" w:cs="宋体"/>
          <w:color w:val="FF0000"/>
          <w:lang w:val="en-US" w:eastAsia="zh-CN"/>
        </w:rPr>
      </w:pPr>
    </w:p>
    <w:p w14:paraId="45415818">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目前，中医药领域的大语言模型评测已跨越标准化考试的初级检验阶段，正朝着辨证思维链条构建、处方安全性审查及古籍知识挖掘等彰显中医认知特质的方向延伸，体现出评测内容从"知识记忆"向"专业智能体"能力考查的逐步深入。但从整体格局审视，评测实践仍以文本单模态为主导，其深层局限可凝练为三类系统性问题，分别对应诊疗信息的输入维度、安全维度与过程—结局维度。</w:t>
      </w:r>
    </w:p>
    <w:p w14:paraId="0356D05F">
      <w:pPr>
        <w:spacing w:line="360" w:lineRule="auto"/>
        <w:ind w:firstLine="440" w:firstLineChars="200"/>
        <w:jc w:val="both"/>
        <w:rPr>
          <w:rFonts w:hint="eastAsia" w:ascii="宋体" w:hAnsi="宋体" w:eastAsia="宋体" w:cs="宋体"/>
          <w:color w:val="FF0000"/>
        </w:rPr>
      </w:pPr>
    </w:p>
    <w:p w14:paraId="440BA54E">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其一，输入层面的能力高估，源于"文本封闭假设"对中医四诊感知本质的背离。 望、闻、问、切本质上是依托视觉、听觉、嗅觉与触觉的多模态信息采集过程，而现有基准将复杂的四诊合参简化为文本到文本的映射任务，剥离了舌象、面色、脉象、声息等非文本感官信息。模型在此类静态文本数据集上的优良表现，仅能反映其语言层面的知识复现能力，并不足以证明其具备多感官信息融合与情境依赖的综合研判能力，从而极易高估模型的真实临床感知水平。</w:t>
      </w:r>
    </w:p>
    <w:p w14:paraId="2F0FCA36">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其二，安全层面的评价缺位，体现为对幻觉生成、错误信息校准及跨模态信息冲突处置等核心安全属性的系统性忽视。 即使模型在标准测试中答题合格，其在真实用药指导与风险预警中的潜在隐患，仍缺乏可操作、多维度的评价标尺，安全性始终游离于现有评测体系之外。</w:t>
      </w:r>
    </w:p>
    <w:p w14:paraId="1AA0CD0B">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其三，过程与结局层面的临床效用偏估，根植于"单次问答"评测范式与中医连续诊疗实践之间的结构性脱节。 中医诊疗是医患反复交互、四诊动态互参、随访调方持续优化的认知过程，而当前评测多以一次性问答为终局，既未刻画多轮交互中的动态决策能力，也缺少以患者结局为验证终点的闭环机制，据此难以推断模型在真实诊疗链条中的临床增益价值。</w:t>
      </w:r>
    </w:p>
    <w:p w14:paraId="2962F99F">
      <w:pPr>
        <w:spacing w:line="360" w:lineRule="auto"/>
        <w:ind w:firstLine="440" w:firstLineChars="200"/>
        <w:jc w:val="both"/>
        <w:rPr>
          <w:rFonts w:hint="eastAsia" w:ascii="宋体" w:hAnsi="宋体" w:eastAsia="宋体" w:cs="宋体"/>
          <w:color w:val="FF0000"/>
        </w:rPr>
      </w:pPr>
      <w:bookmarkStart w:id="0" w:name="_GoBack"/>
      <w:bookmarkEnd w:id="0"/>
      <w:r>
        <w:rPr>
          <w:rFonts w:hint="eastAsia" w:ascii="宋体" w:hAnsi="宋体" w:eastAsia="宋体" w:cs="宋体"/>
          <w:color w:val="FF0000"/>
        </w:rPr>
        <w:t>现有评测体系过度聚焦于模型的“文本输出正确性”，而未能有效度量其“临床认知充分性”与“决策过程可靠性”。要使中医药大语言模型从“可用”走向“可信、可靠”，关键在于重构评测范式：把评价重心从文本问答的准确率转向临床多模态综合判断能力，以真实世界的前瞻性结局数据作为最终验证尺度，构建“能力评估—安全审查—效用验证”三位一体的评测闭环。这既是人工智能与中医药交叉领域的方法学挑战，也是推动中医药智能化规范发展的基础性工作，仍需在高质量多模态数据建设、动态交互式评测协议与人机协同临床验证等方面取得实质突破。</w:t>
      </w:r>
      <w:r>
        <w:rPr>
          <w:rFonts w:hint="eastAsia" w:eastAsia="宋体" w:cs="宋体"/>
          <w:color w:val="FF0000"/>
          <w:lang w:eastAsia="zh-CN"/>
        </w:rPr>
      </w:r>
      <w:r>
        <w:rPr>
          <w:rFonts w:hint="eastAsia" w:ascii="宋体" w:hAnsi="宋体" w:eastAsia="宋体" w:cs="宋体"/>
          <w:color w:val="FF0000"/>
        </w:rPr>
      </w:r>
    </w:p>
    <w:p w14:paraId="42A85771">
      <w:pPr>
        <w:spacing w:line="360" w:lineRule="auto"/>
        <w:ind w:firstLine="440" w:firstLineChars="200"/>
        <w:jc w:val="both"/>
        <w:rPr>
          <w:rFonts w:hint="eastAsia" w:ascii="宋体" w:hAnsi="宋体" w:eastAsia="宋体" w:cs="宋体"/>
          <w:color w:val="FF0000"/>
        </w:rPr>
      </w:pPr>
    </w:p>
    <w:p w14:paraId="248D64E5">
      <w:pPr>
        <w:rPr>
          <w:rFonts w:hint="eastAsia" w:ascii="宋体" w:hAnsi="宋体" w:eastAsia="宋体" w:cs="宋体"/>
        </w:rPr>
      </w:pPr>
      <w:r>
        <w:rPr>
          <w:rFonts w:hint="eastAsia" w:ascii="宋体" w:hAnsi="宋体" w:eastAsia="宋体" w:cs="宋体"/>
          <w:b/>
        </w:rPr>
        <w:t>利益冲突声明：</w:t>
      </w:r>
      <w:r>
        <w:rPr>
          <w:rFonts w:hint="eastAsia" w:ascii="宋体" w:hAnsi="宋体" w:eastAsia="宋体" w:cs="宋体"/>
        </w:rPr>
        <w:t>作者声明无利益冲突。</w:t>
      </w:r>
      <w:r>
        <w:rPr>
          <w:rFonts w:hint="eastAsia" w:ascii="宋体" w:hAnsi="宋体" w:eastAsia="宋体" w:cs="宋体"/>
        </w:rPr>
        <w:br w:type="page"/>
      </w:r>
    </w:p>
    <w:p w14:paraId="46959A4E">
      <w:pPr>
        <w:pStyle w:val="4"/>
        <w:rPr>
          <w:rFonts w:hint="eastAsia" w:ascii="宋体" w:hAnsi="宋体" w:eastAsia="宋体" w:cs="宋体"/>
        </w:rPr>
      </w:pPr>
      <w:r>
        <w:rPr>
          <w:rFonts w:hint="eastAsia" w:ascii="宋体" w:hAnsi="宋体" w:eastAsia="宋体" w:cs="宋体"/>
          <w:color w:val="000000"/>
        </w:rPr>
        <w:t>参考文献</w:t>
      </w:r>
    </w:p>
    <w:p w14:paraId="3BA233F8">
      <w:pPr>
        <w:ind w:left="720" w:hanging="720"/>
        <w:jc w:val="left"/>
        <w:rPr>
          <w:rFonts w:hint="eastAsia" w:ascii="宋体" w:hAnsi="宋体" w:eastAsia="宋体" w:cs="宋体"/>
        </w:rPr>
      </w:pPr>
      <w:r>
        <w:rPr>
          <w:rFonts w:hint="eastAsia" w:ascii="宋体" w:hAnsi="宋体" w:eastAsia="宋体" w:cs="宋体"/>
        </w:rPr>
        <w:t>[1] HAN C X, YANG G Y, LI H T, et al. Tuning and clinical application of large language models in traditional Chinese medicine: a scoping review[J]. Chinese Medicine, 2026, 21(1): 71.</w:t>
      </w:r>
    </w:p>
    <w:p w14:paraId="0D8FA0E0">
      <w:pPr>
        <w:ind w:left="720" w:hanging="720"/>
        <w:jc w:val="left"/>
        <w:rPr>
          <w:rFonts w:hint="eastAsia" w:ascii="宋体" w:hAnsi="宋体" w:eastAsia="宋体" w:cs="宋体"/>
        </w:rPr>
      </w:pPr>
      <w:r>
        <w:rPr>
          <w:rFonts w:hint="eastAsia" w:ascii="宋体" w:hAnsi="宋体" w:eastAsia="宋体" w:cs="宋体"/>
        </w:rPr>
        <w:t>[2] YIP H F, LI Z M, ZHANG L, et al. Large language models in integrative medicine: progress, challenges, and opportunities[J]. Journal of Evidence-Based Medicine, 2025, 18(2): e70031.</w:t>
      </w:r>
    </w:p>
    <w:p w14:paraId="41A9DBDC">
      <w:pPr>
        <w:ind w:left="720" w:hanging="720"/>
        <w:jc w:val="left"/>
        <w:rPr>
          <w:rFonts w:hint="eastAsia" w:ascii="宋体" w:hAnsi="宋体" w:eastAsia="宋体" w:cs="宋体"/>
        </w:rPr>
      </w:pPr>
      <w:r>
        <w:rPr>
          <w:rFonts w:hint="eastAsia" w:ascii="宋体" w:hAnsi="宋体" w:eastAsia="宋体" w:cs="宋体"/>
        </w:rPr>
        <w:t>[3] LI Y Z, HUANG S H, QI J X, et al. Evaluating large-scale and lightweight large language models for traditional Chinese medicine exam questions: a comparative study[J]. Journal of Evidence-Based Medicine, 2026, 19(1): e70118.</w:t>
      </w:r>
    </w:p>
    <w:p w14:paraId="0284FCE3">
      <w:pPr>
        <w:ind w:left="720" w:hanging="720"/>
        <w:jc w:val="left"/>
        <w:rPr>
          <w:rFonts w:hint="eastAsia" w:ascii="宋体" w:hAnsi="宋体" w:eastAsia="宋体" w:cs="宋体"/>
        </w:rPr>
      </w:pPr>
      <w:r>
        <w:rPr>
          <w:rFonts w:hint="eastAsia" w:ascii="宋体" w:hAnsi="宋体" w:eastAsia="宋体" w:cs="宋体"/>
        </w:rPr>
        <w:t>[4] JANG D Y, YUN T R, LEE C Y, et al. GPT-4 can pass the Korean National Licensing Examination for Korean Medicine Doctors[J]. PLOS Digital Health, 2023, 2(12): e0000416.</w:t>
      </w:r>
    </w:p>
    <w:p w14:paraId="4DAF0265">
      <w:pPr>
        <w:ind w:left="720" w:hanging="720"/>
        <w:jc w:val="left"/>
        <w:rPr>
          <w:rFonts w:hint="eastAsia" w:ascii="宋体" w:hAnsi="宋体" w:eastAsia="宋体" w:cs="宋体"/>
        </w:rPr>
      </w:pPr>
      <w:r>
        <w:rPr>
          <w:rFonts w:hint="eastAsia" w:ascii="宋体" w:hAnsi="宋体" w:eastAsia="宋体" w:cs="宋体"/>
        </w:rPr>
        <w:t>[5] 曹露, 许林, 张宇洁, 等. 大语言模型在中医领域的标准化评估[J]. 南京中医药大学学报, 2024, 40(12): 1383-1392.</w:t>
      </w:r>
    </w:p>
    <w:p w14:paraId="1C915166">
      <w:pPr>
        <w:ind w:left="720" w:hanging="720"/>
        <w:jc w:val="left"/>
        <w:rPr>
          <w:rFonts w:hint="eastAsia" w:ascii="宋体" w:hAnsi="宋体" w:eastAsia="宋体" w:cs="宋体"/>
        </w:rPr>
      </w:pPr>
      <w:r>
        <w:rPr>
          <w:rFonts w:hint="eastAsia" w:ascii="宋体" w:hAnsi="宋体" w:eastAsia="宋体" w:cs="宋体"/>
        </w:rPr>
        <w:t>[6] 郝梦. 面向大语言模型的中医辨证思维测评数据集构建研究[D]. 北京: 中国中医科学院, 2025.</w:t>
      </w:r>
    </w:p>
    <w:p w14:paraId="1EF149EB">
      <w:pPr>
        <w:ind w:left="720" w:hanging="720"/>
        <w:jc w:val="left"/>
        <w:rPr>
          <w:rFonts w:hint="eastAsia" w:ascii="宋体" w:hAnsi="宋体" w:eastAsia="宋体" w:cs="宋体"/>
        </w:rPr>
      </w:pPr>
      <w:r>
        <w:rPr>
          <w:rFonts w:hint="eastAsia" w:ascii="宋体" w:hAnsi="宋体" w:eastAsia="宋体" w:cs="宋体"/>
        </w:rPr>
        <w:t>[7] CHEN C L, WANG X Y, GUAN M, et al. Evaluating and improving syndrome differentiation thinking ability in large language models: method development study[J]. JMIR Medical Informatics, 2025, 13: e75103.</w:t>
      </w:r>
    </w:p>
    <w:p w14:paraId="0DF2B899">
      <w:pPr>
        <w:ind w:left="720" w:hanging="720"/>
        <w:jc w:val="left"/>
        <w:rPr>
          <w:rFonts w:hint="eastAsia" w:ascii="宋体" w:hAnsi="宋体" w:eastAsia="宋体" w:cs="宋体"/>
        </w:rPr>
      </w:pPr>
      <w:r>
        <w:rPr>
          <w:rFonts w:hint="eastAsia" w:ascii="宋体" w:hAnsi="宋体" w:eastAsia="宋体" w:cs="宋体"/>
        </w:rPr>
        <w:t>[8] NIE G X, ZHOU Y L, XU D Y, et al. DiagX-DT: diagnostic exclusion reasoning with dialectical thinking for traditional Chinese medicine in large language models[J]. Journal of King Saud University-Computer and Information Sciences, 2025, 37(5): 102.</w:t>
      </w:r>
    </w:p>
    <w:p w14:paraId="5607CA7E">
      <w:pPr>
        <w:ind w:left="720" w:hanging="720"/>
        <w:jc w:val="left"/>
        <w:rPr>
          <w:rFonts w:hint="eastAsia" w:ascii="宋体" w:hAnsi="宋体" w:eastAsia="宋体" w:cs="宋体"/>
        </w:rPr>
      </w:pPr>
      <w:r>
        <w:rPr>
          <w:rFonts w:hint="eastAsia" w:ascii="宋体" w:hAnsi="宋体" w:eastAsia="宋体" w:cs="宋体"/>
        </w:rPr>
        <w:t>[9] LIN J X, DAI G, PENG W J, et al. ATCMD-Bench: agentic traditional Chinese medicine diagnosis benchmark for large language models via multi-agent simulation[J]. Pattern Recognition, 2026, 179: 113679.</w:t>
      </w:r>
    </w:p>
    <w:p w14:paraId="4FA2C90A">
      <w:pPr>
        <w:ind w:left="720" w:hanging="720"/>
        <w:jc w:val="left"/>
        <w:rPr>
          <w:rFonts w:hint="eastAsia" w:ascii="宋体" w:hAnsi="宋体" w:eastAsia="宋体" w:cs="宋体"/>
        </w:rPr>
      </w:pPr>
      <w:r>
        <w:rPr>
          <w:rFonts w:hint="eastAsia" w:ascii="宋体" w:hAnsi="宋体" w:eastAsia="宋体" w:cs="宋体"/>
        </w:rPr>
        <w:t>[10] SHI D S, YI X, LI Y, et al. Benchmarking large language models for end-to-end clinical support in traditional Chinese medicine[J]. Expert Systems with Applications, 2026, 325: 132267.</w:t>
      </w:r>
    </w:p>
    <w:p w14:paraId="518F4FF3">
      <w:pPr>
        <w:ind w:left="720" w:hanging="720"/>
        <w:jc w:val="left"/>
        <w:rPr>
          <w:rFonts w:hint="eastAsia" w:ascii="宋体" w:hAnsi="宋体" w:eastAsia="宋体" w:cs="宋体"/>
        </w:rPr>
      </w:pPr>
      <w:r>
        <w:rPr>
          <w:rFonts w:hint="eastAsia" w:ascii="宋体" w:hAnsi="宋体" w:eastAsia="宋体" w:cs="宋体"/>
        </w:rPr>
        <w:t>[11] ZHENG Y W, YUAN J L, LIU L, et al. Evaluating large language models in traditional Chinese medicine with enhanced misinformation detection[C]// Companion of the 2025 ACM International Joint Conference on Pervasive and Ubiquitous Computing. New York: ACM, 2025: 1358-1363.</w:t>
      </w:r>
    </w:p>
    <w:p w14:paraId="33BBEF22">
      <w:pPr>
        <w:ind w:left="720" w:hanging="720"/>
        <w:jc w:val="left"/>
        <w:rPr>
          <w:rFonts w:hint="eastAsia" w:ascii="宋体" w:hAnsi="宋体" w:eastAsia="宋体" w:cs="宋体"/>
        </w:rPr>
      </w:pPr>
      <w:r>
        <w:rPr>
          <w:rFonts w:hint="eastAsia" w:ascii="宋体" w:hAnsi="宋体" w:eastAsia="宋体" w:cs="宋体"/>
        </w:rPr>
        <w:t>[12] WANG B F, LU Y W, WANG Z, et al. TCMEval-PA: a question-answering benchmark dataset for the prescription audit of traditional Chinese medicine[J]. Scientific Data, 2025, 12(1): 79.</w:t>
      </w:r>
    </w:p>
    <w:p w14:paraId="441F3539">
      <w:pPr>
        <w:ind w:left="720" w:hanging="720"/>
        <w:jc w:val="left"/>
        <w:rPr>
          <w:rFonts w:hint="eastAsia" w:ascii="宋体" w:hAnsi="宋体" w:eastAsia="宋体" w:cs="宋体"/>
        </w:rPr>
      </w:pPr>
      <w:r>
        <w:rPr>
          <w:rFonts w:hint="eastAsia" w:ascii="宋体" w:hAnsi="宋体" w:eastAsia="宋体" w:cs="宋体"/>
        </w:rPr>
        <w:t>[13] LU H M, LIU L, YUAN J L, et al. TCM-Align: curriculum-aligned MCQ generation for traditional Chinese medicine[C]// Companion of the 2025 ACM International Joint Conference on Pervasive and Ubiquitous Computing. New York: ACM, 2025: 1382-1387.</w:t>
      </w:r>
    </w:p>
    <w:p w14:paraId="7C19FBC1">
      <w:pPr>
        <w:ind w:left="720" w:hanging="720"/>
        <w:jc w:val="left"/>
        <w:rPr>
          <w:rFonts w:hint="eastAsia" w:ascii="宋体" w:hAnsi="宋体" w:eastAsia="宋体" w:cs="宋体"/>
        </w:rPr>
      </w:pPr>
      <w:r>
        <w:rPr>
          <w:rFonts w:hint="eastAsia" w:ascii="宋体" w:hAnsi="宋体" w:eastAsia="宋体" w:cs="宋体"/>
        </w:rPr>
        <w:t>[14] 赵尚卿, 兰曼, 柏晓鹏, 等. 负屃:古汉语文本理解与生成能力评测基准[J]. 中文信息学报, 2026, 40(1): 85-99.</w:t>
      </w:r>
    </w:p>
    <w:p w14:paraId="23804AE6">
      <w:pPr>
        <w:ind w:left="720" w:hanging="720"/>
        <w:jc w:val="left"/>
        <w:rPr>
          <w:rFonts w:hint="eastAsia" w:ascii="宋体" w:hAnsi="宋体" w:eastAsia="宋体" w:cs="宋体"/>
        </w:rPr>
      </w:pPr>
      <w:r>
        <w:rPr>
          <w:rFonts w:hint="eastAsia" w:ascii="宋体" w:hAnsi="宋体" w:eastAsia="宋体" w:cs="宋体"/>
        </w:rPr>
        <w:t>[15] YU N, HUANG J, LIU J, et al. Development of a cold-heat syndrome classification model for children with allergic rhinitis based on multimodal data[J]. Translational Pediatrics, 2025, 14(12): 3375-3386.</w:t>
      </w:r>
    </w:p>
    <w:p w14:paraId="5E9C54B4">
      <w:pPr>
        <w:ind w:left="720" w:hanging="720"/>
        <w:jc w:val="left"/>
        <w:rPr>
          <w:rFonts w:hint="eastAsia" w:ascii="宋体" w:hAnsi="宋体" w:eastAsia="宋体" w:cs="宋体"/>
        </w:rPr>
      </w:pPr>
      <w:r>
        <w:rPr>
          <w:rFonts w:hint="eastAsia" w:ascii="宋体" w:hAnsi="宋体" w:eastAsia="宋体" w:cs="宋体"/>
        </w:rPr>
        <w:t>[16] PENG C D, GAO J, YANG N, et al. Application of a large visual language model on tongue image description generation and physical constitution reasoning in traditional Chinese medicine (TongueVLM): model development and validation study[J]. JMIR Medical Informatics, 2026, 14: e87237.</w:t>
      </w:r>
    </w:p>
    <w:p w14:paraId="28738BA7">
      <w:pPr>
        <w:ind w:left="720" w:hanging="720"/>
        <w:jc w:val="left"/>
        <w:rPr>
          <w:rFonts w:hint="eastAsia" w:ascii="宋体" w:hAnsi="宋体" w:eastAsia="宋体" w:cs="宋体"/>
        </w:rPr>
      </w:pPr>
      <w:r>
        <w:rPr>
          <w:rFonts w:hint="eastAsia" w:ascii="宋体" w:hAnsi="宋体" w:eastAsia="宋体" w:cs="宋体"/>
        </w:rPr>
        <w:t>[17] FU C Z, FU Z L, YAN S J, et al. In-context multitask learning for few-shot fine-tuning of large language models in traditional Chinese medicine tongue diagnosis[C]// ICASSP 2025. Piscataway: IEEE, 2025: 1-5.</w:t>
      </w:r>
    </w:p>
    <w:p w14:paraId="4EAFFAFB">
      <w:pPr>
        <w:ind w:left="720" w:hanging="720"/>
        <w:jc w:val="left"/>
        <w:rPr>
          <w:rFonts w:hint="eastAsia" w:ascii="宋体" w:hAnsi="宋体" w:eastAsia="宋体" w:cs="宋体"/>
        </w:rPr>
      </w:pPr>
      <w:r>
        <w:rPr>
          <w:rFonts w:hint="eastAsia" w:ascii="宋体" w:hAnsi="宋体" w:eastAsia="宋体" w:cs="宋体"/>
        </w:rPr>
        <w:t>[18] 张童, 王一凡, 王若佳, 等. 面向中医药领域专业能力的生成式大语言模型对比研究[J]. 中华中医药学刊, 2025, 43(10): 19-27, 260.</w:t>
      </w:r>
    </w:p>
    <w:p w14:paraId="3C650503">
      <w:pPr>
        <w:ind w:left="720" w:hanging="720"/>
        <w:jc w:val="left"/>
        <w:rPr>
          <w:rFonts w:hint="eastAsia" w:ascii="宋体" w:hAnsi="宋体" w:eastAsia="宋体" w:cs="宋体"/>
        </w:rPr>
      </w:pPr>
      <w:r>
        <w:rPr>
          <w:rFonts w:hint="eastAsia" w:ascii="宋体" w:hAnsi="宋体" w:eastAsia="宋体" w:cs="宋体"/>
        </w:rPr>
        <w:t>[19] DAI Y Z, SHAO X, ZHANG J L, et al. TCMChat: a generative large language model for traditional Chinese medicine[J]. Pharmacological Research, 2024, 210: 107530.</w:t>
      </w:r>
    </w:p>
    <w:p w14:paraId="61E0BE83">
      <w:pPr>
        <w:ind w:left="720" w:hanging="720"/>
        <w:jc w:val="left"/>
        <w:rPr>
          <w:rFonts w:hint="eastAsia" w:ascii="宋体" w:hAnsi="宋体" w:eastAsia="宋体" w:cs="宋体"/>
        </w:rPr>
      </w:pPr>
      <w:r>
        <w:rPr>
          <w:rFonts w:hint="eastAsia" w:ascii="宋体" w:hAnsi="宋体" w:eastAsia="宋体" w:cs="宋体"/>
        </w:rPr>
        <w:t>[20] TONG X M, DING X Z, JIA H R, et al. XuanHuGPT: parameter-efficient fine-tuning of large language model in the field of traditional Chinese medicine[J]. Chinese Medicine, 2025, 20(1): 204.</w:t>
      </w:r>
    </w:p>
    <w:p w14:paraId="13920C12">
      <w:pPr>
        <w:ind w:left="720" w:hanging="720"/>
        <w:jc w:val="left"/>
        <w:rPr>
          <w:rFonts w:hint="eastAsia" w:ascii="宋体" w:hAnsi="宋体" w:eastAsia="宋体" w:cs="宋体"/>
        </w:rPr>
      </w:pPr>
      <w:r>
        <w:rPr>
          <w:rFonts w:hint="eastAsia" w:ascii="宋体" w:hAnsi="宋体" w:eastAsia="宋体" w:cs="宋体"/>
        </w:rPr>
        <w:t>[21] JIA Y Z, JI X Y, WANG X, et al. Qibo: a large language model for traditional Chinese medicine[J]. Expert Systems with Applications, 2025, 284: 127672.</w:t>
      </w:r>
    </w:p>
    <w:p w14:paraId="3AB23647">
      <w:pPr>
        <w:ind w:left="720" w:hanging="720"/>
        <w:jc w:val="left"/>
        <w:rPr>
          <w:rFonts w:hint="eastAsia" w:ascii="宋体" w:hAnsi="宋体" w:eastAsia="宋体" w:cs="宋体"/>
        </w:rPr>
      </w:pPr>
      <w:r>
        <w:rPr>
          <w:rFonts w:hint="eastAsia" w:ascii="宋体" w:hAnsi="宋体" w:eastAsia="宋体" w:cs="宋体"/>
        </w:rPr>
        <w:t>[22] ZHAO W L, LAI H H, PAN B, et al. Assessing the adherence of large language models to clinical practice guidelines in Chinese medicine: a content analysis[J]. Frontiers in Pharmacology, 2025, 16: 1649041.</w:t>
      </w:r>
    </w:p>
    <w:p w14:paraId="49D4832B">
      <w:pPr>
        <w:ind w:left="720" w:hanging="720"/>
        <w:jc w:val="left"/>
        <w:rPr>
          <w:rFonts w:hint="eastAsia" w:ascii="宋体" w:hAnsi="宋体" w:eastAsia="宋体" w:cs="宋体"/>
        </w:rPr>
      </w:pPr>
      <w:r>
        <w:rPr>
          <w:rFonts w:hint="eastAsia" w:ascii="宋体" w:hAnsi="宋体" w:eastAsia="宋体" w:cs="宋体"/>
        </w:rPr>
        <w:t>[23] WANG B F, ZHANG M W, WANG Z, et al. Supporting postgraduate exam preparation with large language models: implications for traditional Chinese medicine education[J]. Frontiers in Medicine, 2026, 12: 1667104.</w:t>
      </w:r>
    </w:p>
    <w:p w14:paraId="16FDF5B4">
      <w:pPr>
        <w:ind w:left="720" w:hanging="720"/>
        <w:jc w:val="left"/>
        <w:rPr>
          <w:rFonts w:hint="eastAsia" w:ascii="宋体" w:hAnsi="宋体" w:eastAsia="宋体" w:cs="宋体"/>
        </w:rPr>
      </w:pPr>
      <w:r>
        <w:rPr>
          <w:rFonts w:hint="eastAsia" w:ascii="宋体" w:hAnsi="宋体" w:eastAsia="宋体" w:cs="宋体"/>
        </w:rPr>
        <w:t>[24] GHANAD E, WEISS C, GAO H, et al. GPT versus ERNIE for national traditional Chinese medicine licensing examination: does cultural background matter?[J]. Journal of Integrative and Complementary Medicine, 2025, 31(9): 844-848.</w:t>
      </w:r>
    </w:p>
    <w:p w14:paraId="076007A0">
      <w:pPr>
        <w:ind w:left="720" w:hanging="720"/>
        <w:jc w:val="left"/>
        <w:rPr>
          <w:rFonts w:hint="eastAsia" w:ascii="宋体" w:hAnsi="宋体" w:eastAsia="宋体" w:cs="宋体"/>
        </w:rPr>
      </w:pPr>
      <w:r>
        <w:rPr>
          <w:rFonts w:hint="eastAsia" w:ascii="宋体" w:hAnsi="宋体" w:eastAsia="宋体" w:cs="宋体"/>
        </w:rPr>
        <w:t>[25] ZHU L X, MOU W M, LAI Y C, et al. Language and cultural bias in AI: comparing the performance of large language models developed in different countries on traditional Chinese medicine highlights the need for localized models[J]. Journal of Translational Medicine, 2024, 22(1): 319.</w:t>
      </w:r>
    </w:p>
    <w:p w14:paraId="36E0BC9F">
      <w:pPr>
        <w:ind w:left="720" w:hanging="720"/>
        <w:jc w:val="left"/>
        <w:rPr>
          <w:rFonts w:hint="eastAsia" w:ascii="宋体" w:hAnsi="宋体" w:eastAsia="宋体" w:cs="宋体"/>
        </w:rPr>
      </w:pPr>
      <w:r>
        <w:rPr>
          <w:rFonts w:hint="eastAsia" w:ascii="宋体" w:hAnsi="宋体" w:eastAsia="宋体" w:cs="宋体"/>
        </w:rPr>
        <w:t>[26] LIU Z, YANG T, WANG J, et al. Tianyi: a traditional Chinese medicine all-rounder language model and its real-world clinical practice[J]. Information Fusion, 2026, 126: 103663.</w:t>
      </w:r>
    </w:p>
    <w:p w14:paraId="08181A42">
      <w:pPr>
        <w:ind w:left="720" w:hanging="720"/>
        <w:jc w:val="left"/>
        <w:rPr>
          <w:rFonts w:hint="eastAsia" w:ascii="宋体" w:hAnsi="宋体" w:eastAsia="宋体" w:cs="宋体"/>
        </w:rPr>
      </w:pPr>
      <w:r>
        <w:rPr>
          <w:rFonts w:hint="eastAsia" w:ascii="宋体" w:hAnsi="宋体" w:eastAsia="宋体" w:cs="宋体"/>
        </w:rPr>
        <w:t>[27] YANG Q R, HAN J X, WANG H Z, et al. Knowledge graph enhanced large language models for traditional Chinese medicine question-answering[C]// 2026 IEEE International Conference on Big Data and Smart Computing (BigComp). Piscataway: IEEE, 2026: 96-103.</w:t>
      </w:r>
    </w:p>
    <w:p w14:paraId="4859B7C8">
      <w:pPr>
        <w:ind w:left="720" w:hanging="720"/>
        <w:jc w:val="left"/>
        <w:rPr>
          <w:rFonts w:hint="eastAsia" w:ascii="宋体" w:hAnsi="宋体" w:eastAsia="宋体" w:cs="宋体"/>
        </w:rPr>
      </w:pPr>
      <w:r>
        <w:rPr>
          <w:rFonts w:hint="eastAsia" w:ascii="宋体" w:hAnsi="宋体" w:eastAsia="宋体" w:cs="宋体"/>
        </w:rPr>
        <w:t>[28] DUAN Y C, ZHOU Q Q, LI Y, et al. Research on a traditional Chinese medicine case-based question-answering system integrating large language models and knowledge graphs[J]. Frontiers in Medicine, 2024, 11: 1512329.</w:t>
      </w:r>
    </w:p>
    <w:p w14:paraId="1D0755C8">
      <w:pPr>
        <w:ind w:left="720" w:hanging="720"/>
        <w:jc w:val="left"/>
        <w:rPr>
          <w:rFonts w:hint="eastAsia" w:ascii="宋体" w:hAnsi="宋体" w:eastAsia="宋体" w:cs="宋体"/>
        </w:rPr>
      </w:pPr>
      <w:r>
        <w:rPr>
          <w:rFonts w:hint="eastAsia" w:ascii="宋体" w:hAnsi="宋体" w:eastAsia="宋体" w:cs="宋体"/>
        </w:rPr>
        <w:t>[29] HUA R, DONG X, WEI Y, et al. Lingdan: enhancing encoding of traditional Chinese medicine knowledge for clinical reasoning tasks with large language models[J]. Journal of the American Medical Informatics Association, 2024, 31(9): 2019-2029.</w:t>
      </w:r>
    </w:p>
    <w:p w14:paraId="61DC1E03">
      <w:pPr>
        <w:ind w:left="720" w:hanging="720"/>
        <w:jc w:val="left"/>
        <w:rPr>
          <w:rFonts w:hint="eastAsia" w:ascii="宋体" w:hAnsi="宋体" w:eastAsia="宋体" w:cs="宋体"/>
        </w:rPr>
      </w:pPr>
      <w:r>
        <w:rPr>
          <w:rFonts w:hint="eastAsia" w:ascii="宋体" w:hAnsi="宋体" w:eastAsia="宋体" w:cs="宋体"/>
        </w:rPr>
        <w:t>[30] WEN J, LIU D D, XIE Y X, et al. AcuGPT-Agent: an LLM-powered intelligent system for acupuncture-based infertility treatment[J]. Neurocomputing, 2025, 652: 131116.</w:t>
      </w:r>
    </w:p>
    <w:p w14:paraId="65B6D18F">
      <w:pPr>
        <w:ind w:left="720" w:hanging="720"/>
        <w:jc w:val="left"/>
        <w:rPr>
          <w:rFonts w:hint="eastAsia" w:ascii="宋体" w:hAnsi="宋体" w:eastAsia="宋体" w:cs="宋体"/>
        </w:rPr>
      </w:pPr>
      <w:r>
        <w:rPr>
          <w:rFonts w:hint="eastAsia" w:ascii="宋体" w:hAnsi="宋体" w:eastAsia="宋体" w:cs="宋体"/>
        </w:rPr>
        <w:t>[31] WANG Z, LI K Q, PENG S Y, et al. A weighted voting approach for traditional Chinese medicine formula classification using large language models: algorithm development and validation study[J]. JMIR Medical Informatics, 2025, 13: e69286.</w:t>
      </w:r>
    </w:p>
    <w:p w14:paraId="7F92A88E">
      <w:pPr>
        <w:ind w:left="720" w:hanging="720"/>
        <w:jc w:val="left"/>
        <w:rPr>
          <w:rFonts w:hint="eastAsia" w:ascii="宋体" w:hAnsi="宋体" w:eastAsia="宋体" w:cs="宋体"/>
        </w:rPr>
      </w:pPr>
      <w:r>
        <w:rPr>
          <w:rFonts w:hint="eastAsia" w:ascii="宋体" w:hAnsi="宋体" w:eastAsia="宋体" w:cs="宋体"/>
        </w:rPr>
        <w:t>[32] ZHANG R X, XIE W D, LIN Q Z, et al. When East meets West: cross-domain drug interaction annotations with large language models and bidirectional neural networks[J]. IEEE Journal of Biomedical and Health Informatics, 2025, 29(10): 7694-7703.</w:t>
      </w:r>
    </w:p>
    <w:p w14:paraId="4041C96C">
      <w:pPr>
        <w:ind w:left="720" w:hanging="720"/>
        <w:jc w:val="left"/>
        <w:rPr>
          <w:rFonts w:hint="eastAsia" w:ascii="宋体" w:hAnsi="宋体" w:eastAsia="宋体" w:cs="宋体"/>
        </w:rPr>
      </w:pPr>
      <w:r>
        <w:rPr>
          <w:rFonts w:hint="eastAsia" w:ascii="宋体" w:hAnsi="宋体" w:eastAsia="宋体" w:cs="宋体"/>
        </w:rPr>
        <w:t>[33] XU Q, ZHAO Z H, LIU W W, et al. A character-level convolutional recurrent interaction network for joint traditional Chinese medicine clinical named entity recognition and relation extraction[J]. Artificial Intelligence in Medicine, 2026, 175: 103372.</w:t>
      </w:r>
    </w:p>
    <w:p w14:paraId="4AEAEC6D">
      <w:pPr>
        <w:ind w:left="720" w:hanging="720"/>
        <w:jc w:val="left"/>
        <w:rPr>
          <w:rFonts w:hint="eastAsia" w:ascii="宋体" w:hAnsi="宋体" w:eastAsia="宋体" w:cs="宋体"/>
        </w:rPr>
      </w:pPr>
      <w:r>
        <w:rPr>
          <w:rFonts w:hint="eastAsia" w:ascii="宋体" w:hAnsi="宋体" w:eastAsia="宋体" w:cs="宋体"/>
        </w:rPr>
        <w:t>[34] MOOR M, BANERJEE O, ABAD Z S H, et al. Foundation models for generalist medical artificial intelligence[J]. Nature, 2023, 616(7956): 259-265.</w:t>
      </w:r>
    </w:p>
    <w:p w14:paraId="02B2110E">
      <w:pPr>
        <w:ind w:left="720" w:hanging="720"/>
        <w:jc w:val="left"/>
        <w:rPr>
          <w:rFonts w:hint="eastAsia" w:ascii="宋体" w:hAnsi="宋体" w:eastAsia="宋体" w:cs="宋体"/>
        </w:rPr>
      </w:pPr>
      <w:r>
        <w:rPr>
          <w:rFonts w:hint="eastAsia" w:ascii="宋体" w:hAnsi="宋体" w:eastAsia="宋体" w:cs="宋体"/>
        </w:rPr>
        <w:t>[35] SINGHAL K, AZIZI S, TU T, et al. Large language models encode clinical knowledge[J]. Nature, 2023, 620(7972): 172-180.</w:t>
      </w:r>
    </w:p>
    <w:p w14:paraId="5F00353A">
      <w:pPr>
        <w:ind w:left="720" w:hanging="720"/>
        <w:jc w:val="left"/>
        <w:rPr>
          <w:rFonts w:hint="eastAsia" w:ascii="宋体" w:hAnsi="宋体" w:eastAsia="宋体" w:cs="宋体"/>
        </w:rPr>
      </w:pPr>
      <w:r>
        <w:rPr>
          <w:rFonts w:hint="eastAsia" w:ascii="宋体" w:hAnsi="宋体" w:eastAsia="宋体" w:cs="宋体"/>
        </w:rPr>
        <w:t>[36] LIU Y, YUAN Y S, YAN K M, et al. Evaluating the role of large language models in traditional Chinese medicine diagnosis and treatment recommendations[J]. npj Digital Medicine, 2025, 8(1): 466.</w:t>
      </w:r>
    </w:p>
    <w:p w14:paraId="3180ACC8">
      <w:pPr>
        <w:ind w:left="720" w:hanging="720"/>
        <w:jc w:val="left"/>
        <w:rPr>
          <w:rFonts w:hint="eastAsia" w:ascii="宋体" w:hAnsi="宋体" w:eastAsia="宋体" w:cs="宋体"/>
        </w:rPr>
      </w:pPr>
      <w:r>
        <w:rPr>
          <w:rFonts w:hint="eastAsia" w:ascii="宋体" w:hAnsi="宋体" w:eastAsia="宋体" w:cs="宋体"/>
        </w:rPr>
        <w:t>[37] TOPOL E J. High-performance medicine: the convergence of human and artificial intelligence[J]. Nature Medicine, 2019, 25(1): 44-56.</w:t>
      </w:r>
    </w:p>
    <w:p w14:paraId="1856FECC">
      <w:pPr>
        <w:ind w:left="720" w:hanging="720"/>
        <w:jc w:val="left"/>
        <w:rPr>
          <w:rFonts w:hint="eastAsia" w:ascii="宋体" w:hAnsi="宋体" w:eastAsia="宋体" w:cs="宋体"/>
        </w:rPr>
      </w:pPr>
      <w:r>
        <w:rPr>
          <w:rFonts w:hint="eastAsia" w:ascii="宋体" w:hAnsi="宋体" w:eastAsia="宋体" w:cs="宋体"/>
        </w:rPr>
        <w:t>[38] 全国信息技术标准化技术委员会. 人工智能 大模型 第2部分: 评测指标与方法: GB/T 45288.2—2025[S]. 北京: 中国标准出版社, 2025.</w:t>
      </w:r>
    </w:p>
    <w:p w14:paraId="792E96A5">
      <w:pPr>
        <w:ind w:left="720" w:hanging="720"/>
        <w:jc w:val="left"/>
        <w:rPr>
          <w:rFonts w:hint="eastAsia" w:ascii="宋体" w:hAnsi="宋体" w:eastAsia="宋体" w:cs="宋体"/>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2BAB"/>
    <w:rsid w:val="0029639D"/>
    <w:rsid w:val="00326F90"/>
    <w:rsid w:val="005539A0"/>
    <w:rsid w:val="00AA1D8D"/>
    <w:rsid w:val="00B47730"/>
    <w:rsid w:val="00CB0664"/>
    <w:rsid w:val="00FC693F"/>
    <w:rsid w:val="016F0A91"/>
    <w:rsid w:val="02704AC1"/>
    <w:rsid w:val="027520D7"/>
    <w:rsid w:val="03DE5A5A"/>
    <w:rsid w:val="0451447E"/>
    <w:rsid w:val="047168CE"/>
    <w:rsid w:val="04AC1BED"/>
    <w:rsid w:val="04B862AB"/>
    <w:rsid w:val="04C2712A"/>
    <w:rsid w:val="05272903"/>
    <w:rsid w:val="068F128E"/>
    <w:rsid w:val="074F739B"/>
    <w:rsid w:val="07DB478B"/>
    <w:rsid w:val="07EA70C4"/>
    <w:rsid w:val="087E15BA"/>
    <w:rsid w:val="08FF6B9F"/>
    <w:rsid w:val="090D306A"/>
    <w:rsid w:val="093A3733"/>
    <w:rsid w:val="09815806"/>
    <w:rsid w:val="09A3752A"/>
    <w:rsid w:val="0A5E16A3"/>
    <w:rsid w:val="0B220922"/>
    <w:rsid w:val="0BC1013B"/>
    <w:rsid w:val="0C57284E"/>
    <w:rsid w:val="0DBA12E6"/>
    <w:rsid w:val="0DDF6F9F"/>
    <w:rsid w:val="0E0D7668"/>
    <w:rsid w:val="0E4312DC"/>
    <w:rsid w:val="0F8C280E"/>
    <w:rsid w:val="0FFA00C0"/>
    <w:rsid w:val="112E6273"/>
    <w:rsid w:val="11AD363C"/>
    <w:rsid w:val="12E34E3B"/>
    <w:rsid w:val="138A3509"/>
    <w:rsid w:val="148A7C64"/>
    <w:rsid w:val="152F25BA"/>
    <w:rsid w:val="15763D45"/>
    <w:rsid w:val="15CF16A7"/>
    <w:rsid w:val="15D078F9"/>
    <w:rsid w:val="15F829AC"/>
    <w:rsid w:val="16225C7A"/>
    <w:rsid w:val="1638549E"/>
    <w:rsid w:val="167A7865"/>
    <w:rsid w:val="16946B78"/>
    <w:rsid w:val="16976668"/>
    <w:rsid w:val="16D90A2F"/>
    <w:rsid w:val="18866995"/>
    <w:rsid w:val="19197809"/>
    <w:rsid w:val="191E097B"/>
    <w:rsid w:val="1B7C7BDB"/>
    <w:rsid w:val="1B8076CB"/>
    <w:rsid w:val="1BE91714"/>
    <w:rsid w:val="1CA4563B"/>
    <w:rsid w:val="1CCB706C"/>
    <w:rsid w:val="1CCE26B8"/>
    <w:rsid w:val="1D8D60CF"/>
    <w:rsid w:val="1DD2442A"/>
    <w:rsid w:val="1E171E3D"/>
    <w:rsid w:val="1E8C282B"/>
    <w:rsid w:val="1EBB6C6C"/>
    <w:rsid w:val="1F3F164B"/>
    <w:rsid w:val="1F680BA2"/>
    <w:rsid w:val="1FEA15B7"/>
    <w:rsid w:val="206770AC"/>
    <w:rsid w:val="20DB1848"/>
    <w:rsid w:val="210E39CB"/>
    <w:rsid w:val="22F34C27"/>
    <w:rsid w:val="231D7EF5"/>
    <w:rsid w:val="2369138D"/>
    <w:rsid w:val="24A51F50"/>
    <w:rsid w:val="25317C88"/>
    <w:rsid w:val="256040C9"/>
    <w:rsid w:val="25D845A8"/>
    <w:rsid w:val="26BB5A5B"/>
    <w:rsid w:val="277B51EB"/>
    <w:rsid w:val="281A4A03"/>
    <w:rsid w:val="28FC05AD"/>
    <w:rsid w:val="293B10D5"/>
    <w:rsid w:val="29A547A1"/>
    <w:rsid w:val="29B42C36"/>
    <w:rsid w:val="29C235A5"/>
    <w:rsid w:val="2A2C6C70"/>
    <w:rsid w:val="2A554419"/>
    <w:rsid w:val="2AA66A22"/>
    <w:rsid w:val="2AC31382"/>
    <w:rsid w:val="2BBB02AC"/>
    <w:rsid w:val="2C0E2AD1"/>
    <w:rsid w:val="2C6646BB"/>
    <w:rsid w:val="2CE35D0C"/>
    <w:rsid w:val="2D6D3827"/>
    <w:rsid w:val="2F097580"/>
    <w:rsid w:val="2F4F1437"/>
    <w:rsid w:val="2F7610B9"/>
    <w:rsid w:val="3049232A"/>
    <w:rsid w:val="30B11C7D"/>
    <w:rsid w:val="30CE282F"/>
    <w:rsid w:val="30F2476F"/>
    <w:rsid w:val="31B163D9"/>
    <w:rsid w:val="31C83722"/>
    <w:rsid w:val="31F12C79"/>
    <w:rsid w:val="31F938DC"/>
    <w:rsid w:val="32036508"/>
    <w:rsid w:val="32236BAB"/>
    <w:rsid w:val="32562ADC"/>
    <w:rsid w:val="32D22AAA"/>
    <w:rsid w:val="33C00B55"/>
    <w:rsid w:val="344277BC"/>
    <w:rsid w:val="34796F56"/>
    <w:rsid w:val="34C74165"/>
    <w:rsid w:val="3643781B"/>
    <w:rsid w:val="3667175C"/>
    <w:rsid w:val="377A726D"/>
    <w:rsid w:val="383B2EA0"/>
    <w:rsid w:val="387A0F38"/>
    <w:rsid w:val="38B14F10"/>
    <w:rsid w:val="38F31085"/>
    <w:rsid w:val="3A175247"/>
    <w:rsid w:val="3A23599A"/>
    <w:rsid w:val="3AB31024"/>
    <w:rsid w:val="3B057795"/>
    <w:rsid w:val="3B47390A"/>
    <w:rsid w:val="3B4A33FA"/>
    <w:rsid w:val="3B561D9F"/>
    <w:rsid w:val="3B5F0C53"/>
    <w:rsid w:val="3C917532"/>
    <w:rsid w:val="3CAF79B9"/>
    <w:rsid w:val="3CC571DC"/>
    <w:rsid w:val="3D0715A3"/>
    <w:rsid w:val="3D8E3A72"/>
    <w:rsid w:val="3DEE2762"/>
    <w:rsid w:val="3DF77869"/>
    <w:rsid w:val="3EBA43F3"/>
    <w:rsid w:val="414F52C6"/>
    <w:rsid w:val="417C5A7B"/>
    <w:rsid w:val="41AF045B"/>
    <w:rsid w:val="41CE08E1"/>
    <w:rsid w:val="42CF2B62"/>
    <w:rsid w:val="42FE51F6"/>
    <w:rsid w:val="431467C7"/>
    <w:rsid w:val="43FE2FD4"/>
    <w:rsid w:val="450B3BFA"/>
    <w:rsid w:val="45196317"/>
    <w:rsid w:val="457572C5"/>
    <w:rsid w:val="458614D2"/>
    <w:rsid w:val="46BC369C"/>
    <w:rsid w:val="4A9E2E1A"/>
    <w:rsid w:val="4ABA5EA6"/>
    <w:rsid w:val="4B1C090F"/>
    <w:rsid w:val="4B893ACB"/>
    <w:rsid w:val="4B9761E7"/>
    <w:rsid w:val="4C207F8B"/>
    <w:rsid w:val="4C5E6D05"/>
    <w:rsid w:val="4D0E4287"/>
    <w:rsid w:val="4DFE60AA"/>
    <w:rsid w:val="4E6A7BE3"/>
    <w:rsid w:val="4E8A5B90"/>
    <w:rsid w:val="4F8C5937"/>
    <w:rsid w:val="4F9A0054"/>
    <w:rsid w:val="4FB530E0"/>
    <w:rsid w:val="50E33C7D"/>
    <w:rsid w:val="5139389D"/>
    <w:rsid w:val="51B573C7"/>
    <w:rsid w:val="51EE6435"/>
    <w:rsid w:val="526D1A50"/>
    <w:rsid w:val="534053B7"/>
    <w:rsid w:val="535B5D4C"/>
    <w:rsid w:val="54330A77"/>
    <w:rsid w:val="54F63F7F"/>
    <w:rsid w:val="55116D80"/>
    <w:rsid w:val="565C42B5"/>
    <w:rsid w:val="569357FD"/>
    <w:rsid w:val="56BC4D54"/>
    <w:rsid w:val="56C1236A"/>
    <w:rsid w:val="574A6804"/>
    <w:rsid w:val="575C02E5"/>
    <w:rsid w:val="57EF1159"/>
    <w:rsid w:val="5814296E"/>
    <w:rsid w:val="58515970"/>
    <w:rsid w:val="585F1E3B"/>
    <w:rsid w:val="595B4CF8"/>
    <w:rsid w:val="5A8E2EAB"/>
    <w:rsid w:val="5A985AD8"/>
    <w:rsid w:val="5ABA77FD"/>
    <w:rsid w:val="5B2F01EA"/>
    <w:rsid w:val="5B8147BE"/>
    <w:rsid w:val="5DB22A0D"/>
    <w:rsid w:val="5DBE5856"/>
    <w:rsid w:val="5E435D5B"/>
    <w:rsid w:val="5F88611B"/>
    <w:rsid w:val="620D46B6"/>
    <w:rsid w:val="62571DD5"/>
    <w:rsid w:val="62F53AC8"/>
    <w:rsid w:val="63442359"/>
    <w:rsid w:val="63534C92"/>
    <w:rsid w:val="637A3FCD"/>
    <w:rsid w:val="63E458EA"/>
    <w:rsid w:val="645B3DFE"/>
    <w:rsid w:val="649E3CEB"/>
    <w:rsid w:val="6525440C"/>
    <w:rsid w:val="653D3504"/>
    <w:rsid w:val="655D5954"/>
    <w:rsid w:val="65842EE1"/>
    <w:rsid w:val="65CC6636"/>
    <w:rsid w:val="660758C0"/>
    <w:rsid w:val="66805D9E"/>
    <w:rsid w:val="6727446C"/>
    <w:rsid w:val="69623539"/>
    <w:rsid w:val="69912070"/>
    <w:rsid w:val="6AB778B5"/>
    <w:rsid w:val="6AC326FD"/>
    <w:rsid w:val="6B317667"/>
    <w:rsid w:val="6D284A9A"/>
    <w:rsid w:val="6DA85BDA"/>
    <w:rsid w:val="6DAD4F9F"/>
    <w:rsid w:val="6DB66549"/>
    <w:rsid w:val="6E2E60E0"/>
    <w:rsid w:val="6E7D7067"/>
    <w:rsid w:val="6F457B85"/>
    <w:rsid w:val="700E441B"/>
    <w:rsid w:val="718A7AD1"/>
    <w:rsid w:val="719721EE"/>
    <w:rsid w:val="71F31B1A"/>
    <w:rsid w:val="72273572"/>
    <w:rsid w:val="722E4900"/>
    <w:rsid w:val="73DC038C"/>
    <w:rsid w:val="73E060CE"/>
    <w:rsid w:val="74620891"/>
    <w:rsid w:val="7467234B"/>
    <w:rsid w:val="74744A68"/>
    <w:rsid w:val="7487654A"/>
    <w:rsid w:val="757A4300"/>
    <w:rsid w:val="759E7FEF"/>
    <w:rsid w:val="75AB44BA"/>
    <w:rsid w:val="75B63A90"/>
    <w:rsid w:val="75B94E29"/>
    <w:rsid w:val="75C31803"/>
    <w:rsid w:val="76742AFE"/>
    <w:rsid w:val="769A6A08"/>
    <w:rsid w:val="769B62DC"/>
    <w:rsid w:val="76A07D97"/>
    <w:rsid w:val="76F123A0"/>
    <w:rsid w:val="77040325"/>
    <w:rsid w:val="77933457"/>
    <w:rsid w:val="77A6318B"/>
    <w:rsid w:val="783E33C3"/>
    <w:rsid w:val="78526E6F"/>
    <w:rsid w:val="79305402"/>
    <w:rsid w:val="79701CA2"/>
    <w:rsid w:val="799040F2"/>
    <w:rsid w:val="7B5D1DB2"/>
    <w:rsid w:val="7B7F61CD"/>
    <w:rsid w:val="7C0B7A60"/>
    <w:rsid w:val="7CEF7382"/>
    <w:rsid w:val="7D292894"/>
    <w:rsid w:val="7D6E64F9"/>
    <w:rsid w:val="7DF10ED8"/>
    <w:rsid w:val="7E0230E5"/>
    <w:rsid w:val="7E4454AB"/>
    <w:rsid w:val="7E9C52E7"/>
    <w:rsid w:val="7EA36676"/>
    <w:rsid w:val="7EDE145C"/>
    <w:rsid w:val="7F0709B3"/>
    <w:rsid w:val="7F0A04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15724</Words>
  <Characters>25538</Characters>
  <Lines>0</Lines>
  <Paragraphs>0</Paragraphs>
  <TotalTime>31</TotalTime>
  <ScaleCrop>false</ScaleCrop>
  <LinksUpToDate>false</LinksUpToDate>
  <CharactersWithSpaces>27218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2026-06-17T06:18:31Z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FD0398F6219D4EBA91C175785F4725DE_12</vt:lpwstr>
  </property>
</Properties>
</file>