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A298">
      <w:pPr>
        <w:jc w:val="center"/>
        <w:rPr>
          <w:rFonts w:hint="eastAsia" w:ascii="宋体" w:hAnsi="宋体" w:eastAsia="宋体" w:cs="宋体"/>
        </w:rPr>
      </w:pPr>
      <w:r>
        <w:rPr>
          <w:rFonts w:hint="eastAsia" w:ascii="宋体" w:hAnsi="宋体" w:eastAsia="宋体" w:cs="宋体"/>
          <w:b/>
          <w:sz w:val="32"/>
        </w:rPr>
        <w:t>中医药领域大语言模型评测综述：基准构建、能力评价与未来方向</w:t>
      </w:r>
    </w:p>
    <w:p w14:paraId="0D94DD9E">
      <w:pPr>
        <w:jc w:val="center"/>
        <w:rPr>
          <w:rFonts w:hint="eastAsia" w:ascii="宋体" w:hAnsi="宋体" w:eastAsia="宋体" w:cs="宋体"/>
        </w:rPr>
      </w:pPr>
      <w:r>
        <w:rPr>
          <w:rFonts w:hint="eastAsia" w:ascii="宋体" w:hAnsi="宋体" w:eastAsia="宋体" w:cs="宋体"/>
          <w:sz w:val="22"/>
        </w:rPr>
        <w:t>朱玲，张琼，张竹绿</w:t>
      </w:r>
    </w:p>
    <w:p w14:paraId="540E2B11">
      <w:pPr>
        <w:rPr>
          <w:rFonts w:hint="eastAsia" w:ascii="宋体" w:hAnsi="宋体" w:eastAsia="宋体" w:cs="宋体"/>
        </w:rPr>
      </w:pPr>
    </w:p>
    <w:p w14:paraId="66495A11">
      <w:pPr>
        <w:pStyle w:val="4"/>
        <w:rPr>
          <w:rFonts w:hint="eastAsia" w:ascii="宋体" w:hAnsi="宋体" w:eastAsia="宋体" w:cs="宋体"/>
        </w:rPr>
      </w:pPr>
      <w:r>
        <w:rPr>
          <w:rFonts w:hint="eastAsia" w:ascii="宋体" w:hAnsi="宋体" w:eastAsia="宋体" w:cs="宋体"/>
          <w:color w:val="000000"/>
        </w:rPr>
        <w:t>摘要</w:t>
      </w:r>
    </w:p>
    <w:p w14:paraId="28776A2A">
      <w:pPr>
        <w:spacing w:line="360" w:lineRule="auto"/>
        <w:ind w:firstLine="440" w:firstLineChars="200"/>
        <w:jc w:val="both"/>
        <w:rPr>
          <w:rFonts w:hint="eastAsia" w:ascii="Times New Roman" w:hAnsi="Times New Roman" w:eastAsia="宋体" w:cs="Times New Roman"/>
          <w:color w:val="FF0000"/>
          <w:lang w:eastAsia="zh-CN"/>
        </w:rPr>
      </w:pPr>
      <w:r>
        <w:rPr>
          <w:rFonts w:hint="default" w:ascii="Times New Roman" w:hAnsi="Times New Roman" w:eastAsia="宋体" w:cs="Times New Roman"/>
          <w:color w:val="FF0000"/>
        </w:rPr>
        <w:t>大语言模型（Large Language Models, LLMs）正加速渗透至医疗健康领域，其</w:t>
      </w:r>
      <w:r>
        <w:rPr>
          <w:rFonts w:hint="eastAsia" w:ascii="Times New Roman" w:hAnsi="Times New Roman" w:eastAsia="宋体" w:cs="Times New Roman"/>
          <w:color w:val="FF0000"/>
          <w:lang w:val="en-US" w:eastAsia="zh-CN"/>
        </w:rPr>
        <w:t>在</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val="en-US" w:eastAsia="zh-CN"/>
        </w:rPr>
        <w:t>临床实践</w:t>
      </w:r>
      <w:r>
        <w:rPr>
          <w:rFonts w:hint="default" w:ascii="Times New Roman" w:hAnsi="Times New Roman" w:eastAsia="宋体" w:cs="Times New Roman"/>
          <w:color w:val="FF0000"/>
        </w:rPr>
        <w:t>场景</w:t>
      </w:r>
      <w:r>
        <w:rPr>
          <w:rFonts w:hint="eastAsia" w:ascii="Times New Roman" w:hAnsi="Times New Roman" w:eastAsia="宋体" w:cs="Times New Roman"/>
          <w:color w:val="FF0000"/>
          <w:lang w:val="en-US" w:eastAsia="zh-CN"/>
        </w:rPr>
        <w:t>的应用</w:t>
      </w:r>
      <w:r>
        <w:rPr>
          <w:rFonts w:hint="default" w:ascii="Times New Roman" w:hAnsi="Times New Roman" w:eastAsia="宋体" w:cs="Times New Roman"/>
          <w:color w:val="FF0000"/>
        </w:rPr>
        <w:t>能力与潜在风险亟需建立系统化的评测框架。本文系统检索</w:t>
      </w:r>
      <w:r>
        <w:rPr>
          <w:rFonts w:hint="eastAsia" w:ascii="Times New Roman" w:hAnsi="Times New Roman" w:eastAsia="宋体" w:cs="Times New Roman"/>
          <w:color w:val="FF0000"/>
          <w:lang w:val="en-US" w:eastAsia="zh-CN"/>
        </w:rPr>
        <w:t>自建库至2026年6月9日</w:t>
      </w:r>
      <w:r>
        <w:rPr>
          <w:rFonts w:hint="default" w:ascii="Times New Roman" w:hAnsi="Times New Roman" w:eastAsia="宋体" w:cs="Times New Roman"/>
          <w:color w:val="FF0000"/>
        </w:rPr>
        <w:t>Web of Science、PubMed、中国知网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万方</w:t>
      </w:r>
      <w:r>
        <w:rPr>
          <w:rFonts w:hint="eastAsia" w:ascii="Times New Roman" w:hAnsi="Times New Roman" w:eastAsia="宋体" w:cs="Times New Roman"/>
          <w:color w:val="FF0000"/>
          <w:lang w:val="en-US" w:eastAsia="zh-CN"/>
        </w:rPr>
        <w:t>等</w:t>
      </w:r>
      <w:r>
        <w:rPr>
          <w:rFonts w:hint="default" w:ascii="Times New Roman" w:hAnsi="Times New Roman" w:eastAsia="宋体" w:cs="Times New Roman"/>
          <w:color w:val="FF0000"/>
        </w:rPr>
        <w:t>数据库</w:t>
      </w:r>
      <w:r>
        <w:rPr>
          <w:rFonts w:hint="eastAsia" w:ascii="Times New Roman" w:hAnsi="Times New Roman" w:eastAsia="宋体" w:cs="Times New Roman"/>
          <w:color w:val="FF0000"/>
          <w:lang w:val="en-US" w:eastAsia="zh-CN"/>
        </w:rPr>
        <w:t>的相关核心研究文献276篇</w:t>
      </w:r>
      <w:r>
        <w:rPr>
          <w:rFonts w:hint="default" w:ascii="Times New Roman" w:hAnsi="Times New Roman" w:eastAsia="宋体" w:cs="Times New Roman"/>
          <w:color w:val="FF0000"/>
        </w:rPr>
        <w:t>，</w:t>
      </w:r>
      <w:r>
        <w:rPr>
          <w:rFonts w:hint="eastAsia" w:ascii="Times New Roman" w:hAnsi="Times New Roman" w:eastAsia="宋体" w:cs="Times New Roman"/>
          <w:color w:val="FF0000"/>
          <w:lang w:val="en-US" w:eastAsia="zh-CN"/>
        </w:rPr>
        <w:t>根据纳排除标准</w:t>
      </w:r>
      <w:r>
        <w:rPr>
          <w:rFonts w:hint="default" w:ascii="Times New Roman" w:hAnsi="Times New Roman" w:eastAsia="宋体" w:cs="Times New Roman"/>
          <w:color w:val="FF0000"/>
        </w:rPr>
        <w:t>筛选纳入34篇文献，从评测基准构建、模型能力比较与核心场景评测实践三个维度进行梳理，并对现有体系的方法学局限进行深层反思。</w:t>
      </w:r>
      <w:r>
        <w:rPr>
          <w:rFonts w:hint="eastAsia" w:ascii="Times New Roman" w:hAnsi="Times New Roman" w:eastAsia="宋体" w:cs="Times New Roman"/>
          <w:color w:val="FF0000"/>
          <w:lang w:val="en-US" w:eastAsia="zh-CN"/>
        </w:rPr>
        <w:t>结果表明</w:t>
      </w:r>
      <w:r>
        <w:rPr>
          <w:rFonts w:hint="default" w:ascii="Times New Roman" w:hAnsi="Times New Roman" w:eastAsia="宋体" w:cs="Times New Roman"/>
          <w:color w:val="FF0000"/>
        </w:rPr>
        <w:t>：当前评测基准已从标准化考试拓展至辨证思维、处方审核、古汉语理解及多模态感知等细粒度方向；通用LLM与中医专用LLM在知识记忆与临床推理方面各存局限，而模型代际差异、题型设置与评测协议的不一致严重制约了跨研究结果的可比性；现有评测多基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文本封闭世界</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假设，在多感官诊断、安全边界及真实临床效用维度上可能显著高估模型的实际能力。据此，本文提出构建中医药知识驱动的分层评测体系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知识→辨证→治则→方药→疗效，并从多模态数据基础设施、分层标准建设、方法论创新及真实世界验证等方面探讨未来方向，以期推动LLM在中医药领域从</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可用</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走向</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可信、可靠</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p>
    <w:p w14:paraId="714887D8">
      <w:pPr>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大语言模型；中医药；评测研究；临床推理；多模态</w:t>
      </w:r>
    </w:p>
    <w:p w14:paraId="59276059">
      <w:pPr>
        <w:rPr>
          <w:rFonts w:hint="eastAsia" w:ascii="宋体" w:hAnsi="宋体" w:eastAsia="宋体" w:cs="宋体"/>
        </w:rPr>
      </w:pPr>
    </w:p>
    <w:p w14:paraId="111467D2">
      <w:pPr>
        <w:pStyle w:val="4"/>
        <w:rPr>
          <w:rFonts w:hint="eastAsia" w:ascii="宋体" w:hAnsi="宋体" w:eastAsia="宋体" w:cs="宋体"/>
        </w:rPr>
      </w:pPr>
      <w:r>
        <w:rPr>
          <w:rFonts w:hint="eastAsia" w:ascii="宋体" w:hAnsi="宋体" w:eastAsia="宋体" w:cs="宋体"/>
          <w:color w:val="000000"/>
        </w:rPr>
        <w:t>Abstract</w:t>
      </w:r>
    </w:p>
    <w:p w14:paraId="346FDA8F">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 xml:space="preserve">Large Language Models ( LLMs ) are accelerating their penetration into the field of medical health, and their application capabilities and potential risks in clinical practice scenarios of traditional Chinese medicine need to establish a systematic evaluation framework. This paper systematically searched 276 core research literatures related to Web of Science, PubMed, CNKI, Wanfang and other databases from the establishment of the database to June 9,2026.According to the inclusion and exclusion criteria, 34 literatures were screened and included, and the three dimensions of evaluation benchmark construction, model capability comparison and core scenario evaluation practice were sorted out, and the methodological limitations of the existing system were deeply reflected. The results show that the current evaluation benchmark has expanded from standardized tests to fine-grained directions such as dialectical thinking, prescription review, ancient Chinese understanding and multimodal perception. General LLM and TCM-specific LLM have their own limitations in knowledge memory and clinical reasoning, while the intergenerational differences of models, the inconsistency of question type setting and evaluation protocol seriously restrict the comparability of cross-study results. Most of the existing evaluations are based on the ' text closed world ' hypothesis, which may significantly overestimate the actual ability of the model in the dimensions of multi-sensory diagnosis, safety boundary and real clinical utility. Based on this, this paper proposes to construct a hierarchical evaluation system driven by TCM knowledge </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 xml:space="preserve"> knowledge → syndrome differentiation → treatment principle → prescription → curative effect , and discusses the future direction from the aspects of multimodal data infrastructure, hierarchical standard construction, methodological innovation and real world verification, in order to promote LLM from ' available ' to ' credible and reliable ' in the field of TCM.</w:t>
      </w:r>
    </w:p>
    <w:p w14:paraId="50642DA4">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b/>
          <w:color w:val="FF0000"/>
        </w:rPr>
        <w:t>Key words</w:t>
      </w:r>
      <w:r>
        <w:rPr>
          <w:rFonts w:hint="default" w:ascii="Times New Roman" w:hAnsi="Times New Roman" w:eastAsia="宋体" w:cs="Times New Roman"/>
          <w:b/>
          <w:color w:val="FF0000"/>
          <w:lang w:eastAsia="zh-CN"/>
        </w:rPr>
        <w:t>：</w:t>
      </w:r>
      <w:r>
        <w:rPr>
          <w:rFonts w:hint="default" w:ascii="Times New Roman" w:hAnsi="Times New Roman" w:eastAsia="宋体" w:cs="Times New Roman"/>
          <w:color w:val="FF0000"/>
        </w:rPr>
        <w:t>Large language models; Traditional Chinese medicine; Evaluation research; Clinical reasoning; Multimodal</w:t>
      </w:r>
    </w:p>
    <w:p w14:paraId="2E319569">
      <w:pPr>
        <w:spacing w:line="360" w:lineRule="auto"/>
        <w:jc w:val="both"/>
        <w:rPr>
          <w:rFonts w:hint="default" w:ascii="Times New Roman" w:hAnsi="Times New Roman" w:eastAsia="宋体" w:cs="Times New Roman"/>
          <w:color w:val="FF0000"/>
        </w:rPr>
      </w:pPr>
      <w:r>
        <w:rPr>
          <w:rFonts w:hint="default" w:ascii="Times New Roman" w:hAnsi="Times New Roman" w:eastAsia="宋体" w:cs="Times New Roman"/>
          <w:color w:val="FF0000"/>
        </w:rPr>
        <w:br w:type="page"/>
      </w:r>
    </w:p>
    <w:p w14:paraId="14991F9D">
      <w:pPr>
        <w:pStyle w:val="4"/>
        <w:rPr>
          <w:rFonts w:hint="eastAsia" w:ascii="宋体" w:hAnsi="宋体" w:eastAsia="宋体" w:cs="宋体"/>
        </w:rPr>
      </w:pPr>
      <w:r>
        <w:rPr>
          <w:rFonts w:hint="eastAsia" w:ascii="宋体" w:hAnsi="宋体" w:eastAsia="宋体" w:cs="宋体"/>
          <w:color w:val="000000"/>
        </w:rPr>
        <w:t>1 引言</w:t>
      </w:r>
    </w:p>
    <w:p w14:paraId="2B05B1C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大语言模型</w:t>
      </w:r>
      <w:r>
        <w:rPr>
          <w:rFonts w:hint="eastAsia" w:eastAsia="宋体" w:cs="宋体"/>
          <w:color w:val="FF0000"/>
          <w:lang w:val="en-US" w:eastAsia="zh-CN"/>
        </w:rPr>
        <w:t>具备</w:t>
      </w:r>
      <w:r>
        <w:rPr>
          <w:rFonts w:hint="eastAsia" w:ascii="宋体" w:hAnsi="宋体" w:eastAsia="宋体" w:cs="宋体"/>
          <w:color w:val="FF0000"/>
        </w:rPr>
        <w:t>卓越的自然语言理解、生成与推理能力，正深刻改变医疗健康领域的服务模式与知识获取方式</w:t>
      </w:r>
      <w:r>
        <w:rPr>
          <w:rFonts w:hint="eastAsia" w:eastAsia="宋体" w:cs="宋体"/>
          <w:color w:val="FF0000"/>
          <w:vertAlign w:val="superscript"/>
          <w:lang w:val="en-US" w:eastAsia="zh-CN"/>
        </w:rPr>
        <w:t>[1]</w:t>
      </w:r>
      <w:r>
        <w:rPr>
          <w:rFonts w:hint="eastAsia" w:ascii="宋体" w:hAnsi="宋体" w:eastAsia="宋体" w:cs="宋体"/>
          <w:color w:val="FF0000"/>
        </w:rPr>
        <w:t>。然而，中医药学根植于中国古代哲学，其辨证论治体系强调“望闻问切、四诊合参”思维模式</w:t>
      </w:r>
      <w:r>
        <w:rPr>
          <w:rFonts w:hint="eastAsia" w:eastAsia="宋体" w:cs="宋体"/>
          <w:color w:val="FF0000"/>
          <w:lang w:eastAsia="zh-CN"/>
        </w:rPr>
        <w:t>，</w:t>
      </w:r>
      <w:r>
        <w:rPr>
          <w:rFonts w:hint="eastAsia" w:eastAsia="宋体" w:cs="宋体"/>
          <w:color w:val="FF0000"/>
          <w:lang w:val="en-US" w:eastAsia="zh-CN"/>
        </w:rPr>
        <w:t>以</w:t>
      </w:r>
      <w:r>
        <w:rPr>
          <w:rFonts w:hint="eastAsia" w:ascii="宋体" w:hAnsi="宋体" w:eastAsia="宋体" w:cs="宋体"/>
          <w:color w:val="FF0000"/>
        </w:rPr>
        <w:t>整体观</w:t>
      </w:r>
      <w:r>
        <w:rPr>
          <w:rFonts w:hint="eastAsia" w:eastAsia="宋体" w:cs="宋体"/>
          <w:color w:val="FF0000"/>
          <w:lang w:val="en-US" w:eastAsia="zh-CN"/>
        </w:rPr>
        <w:t>念、</w:t>
      </w:r>
      <w:r>
        <w:rPr>
          <w:rFonts w:hint="eastAsia" w:ascii="宋体" w:hAnsi="宋体" w:eastAsia="宋体" w:cs="宋体"/>
          <w:color w:val="FF0000"/>
        </w:rPr>
        <w:t>经验传承为核心，与现代医学基于循证证据的还原论逻辑存在本质差异</w:t>
      </w:r>
      <w:r>
        <w:rPr>
          <w:rFonts w:hint="eastAsia" w:eastAsia="宋体" w:cs="宋体"/>
          <w:color w:val="FF0000"/>
          <w:lang w:eastAsia="zh-CN"/>
        </w:rPr>
        <w:t>。</w:t>
      </w:r>
      <w:r>
        <w:rPr>
          <w:rFonts w:hint="eastAsia" w:eastAsia="宋体" w:cs="宋体"/>
          <w:color w:val="FF0000"/>
          <w:lang w:val="en-US" w:eastAsia="zh-CN"/>
        </w:rPr>
        <w:t>目前</w:t>
      </w:r>
      <w:r>
        <w:rPr>
          <w:rFonts w:hint="eastAsia" w:ascii="宋体" w:hAnsi="宋体" w:eastAsia="宋体" w:cs="宋体"/>
          <w:color w:val="FF0000"/>
        </w:rPr>
        <w:t>LLM能否真正内化中医药知识体系、遵循中医逻辑完成临床推理，并在教学辅助与临床决策中安全有效地应用，已成为当前中医药信息化与智能化研究亟需回答的关键命题。</w:t>
      </w:r>
      <w:r>
        <w:rPr>
          <w:rFonts w:hint="eastAsia" w:eastAsia="宋体" w:cs="宋体"/>
          <w:color w:val="FF0000"/>
          <w:lang w:val="en-US" w:eastAsia="zh-CN"/>
        </w:rPr>
        <w:t>近年来，其</w:t>
      </w:r>
      <w:r>
        <w:rPr>
          <w:rFonts w:hint="eastAsia" w:ascii="宋体" w:hAnsi="宋体" w:eastAsia="宋体" w:cs="宋体"/>
          <w:color w:val="FF0000"/>
        </w:rPr>
        <w:t>研究路径大致可归纳为三类：一是构建符合中医药认知特点的评测基准与数据集；二是系统评估各类LLM在中医特定任务上的性能表现；三是开发面向临床、教育等具体场景的专用系统并验证其效果。尽管已有综述对LLM在中医药领域的微调技术与应用概貌进行了梳理</w:t>
      </w:r>
      <w:r>
        <w:rPr>
          <w:rFonts w:hint="eastAsia" w:eastAsia="宋体" w:cs="宋体"/>
          <w:color w:val="FF0000"/>
          <w:vertAlign w:val="superscript"/>
          <w:lang w:val="en-US" w:eastAsia="zh-CN"/>
        </w:rPr>
        <w:t>[1]</w:t>
      </w:r>
      <w:r>
        <w:rPr>
          <w:rFonts w:hint="eastAsia" w:ascii="宋体" w:hAnsi="宋体" w:eastAsia="宋体" w:cs="宋体"/>
          <w:color w:val="FF0000"/>
        </w:rPr>
        <w:t>，或从整合医学视角做出了宏观判断</w:t>
      </w:r>
      <w:r>
        <w:rPr>
          <w:rFonts w:hint="eastAsia" w:eastAsia="宋体" w:cs="宋体"/>
          <w:color w:val="FF0000"/>
          <w:vertAlign w:val="superscript"/>
          <w:lang w:val="en-US" w:eastAsia="zh-CN"/>
        </w:rPr>
        <w:t>[2]</w:t>
      </w:r>
      <w:r>
        <w:rPr>
          <w:rFonts w:hint="eastAsia" w:ascii="宋体" w:hAnsi="宋体" w:eastAsia="宋体" w:cs="宋体"/>
          <w:color w:val="FF0000"/>
        </w:rPr>
        <w:t>，但针对评测方法论这一关键环节的系统性反思与理论建构仍付之阙如</w:t>
      </w:r>
      <w:r>
        <w:rPr>
          <w:rFonts w:hint="eastAsia" w:eastAsia="宋体" w:cs="宋体"/>
          <w:color w:val="FF0000"/>
          <w:lang w:eastAsia="zh-CN"/>
        </w:rPr>
        <w:t>。</w:t>
      </w:r>
      <w:r>
        <w:rPr>
          <w:rFonts w:hint="eastAsia" w:eastAsia="宋体" w:cs="宋体"/>
          <w:color w:val="FF0000"/>
          <w:lang w:val="en-US" w:eastAsia="zh-CN"/>
        </w:rPr>
        <w:t>基</w:t>
      </w:r>
      <w:r>
        <w:rPr>
          <w:rFonts w:hint="eastAsia" w:ascii="宋体" w:hAnsi="宋体" w:eastAsia="宋体" w:cs="宋体"/>
          <w:color w:val="FF0000"/>
        </w:rPr>
        <w:t>于当前评测研究中理论框架薄弱、概念界定模糊等突出问题，本文旨在系统梳理评测基准构建进展</w:t>
      </w:r>
      <w:r>
        <w:rPr>
          <w:rFonts w:hint="eastAsia" w:eastAsia="宋体" w:cs="宋体"/>
          <w:color w:val="FF0000"/>
          <w:lang w:val="en-US" w:eastAsia="zh-CN"/>
        </w:rPr>
        <w:t>相关文献</w:t>
      </w:r>
      <w:r>
        <w:rPr>
          <w:rFonts w:hint="eastAsia" w:ascii="宋体" w:hAnsi="宋体" w:eastAsia="宋体" w:cs="宋体"/>
          <w:color w:val="FF0000"/>
        </w:rPr>
        <w:t>，比较不同类型LLM的性能差异，归纳核心应用场景的评测实践，并深入剖析现有体系的方法学局限与未来发展方向，以期为中医药大语言模型的科学评价与规范应用提供理论参考。</w:t>
      </w:r>
    </w:p>
    <w:p w14:paraId="3538B0DD">
      <w:pPr>
        <w:pStyle w:val="4"/>
        <w:rPr>
          <w:rFonts w:hint="eastAsia" w:ascii="宋体" w:hAnsi="宋体" w:eastAsia="宋体" w:cs="宋体"/>
        </w:rPr>
      </w:pPr>
      <w:r>
        <w:rPr>
          <w:rFonts w:hint="eastAsia" w:ascii="宋体" w:hAnsi="宋体" w:eastAsia="宋体" w:cs="宋体"/>
          <w:color w:val="000000"/>
        </w:rPr>
        <w:t>2 资料与方法</w:t>
      </w:r>
    </w:p>
    <w:p w14:paraId="5DE9B0F1">
      <w:pPr>
        <w:pStyle w:val="5"/>
        <w:rPr>
          <w:rFonts w:hint="eastAsia" w:ascii="宋体" w:hAnsi="宋体" w:eastAsia="宋体" w:cs="宋体"/>
        </w:rPr>
      </w:pPr>
      <w:r>
        <w:rPr>
          <w:rFonts w:hint="eastAsia" w:ascii="宋体" w:hAnsi="宋体" w:eastAsia="宋体" w:cs="宋体"/>
          <w:color w:val="000000"/>
        </w:rPr>
        <w:t>2.1 文献检索策略</w:t>
      </w:r>
    </w:p>
    <w:p w14:paraId="23FCAB81">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lang w:val="en-US" w:eastAsia="zh-CN"/>
        </w:rPr>
        <w:t>以</w:t>
      </w:r>
      <w:r>
        <w:rPr>
          <w:rFonts w:hint="eastAsia" w:ascii="Times New Roman" w:hAnsi="Times New Roman" w:eastAsia="宋体" w:cs="Times New Roman"/>
          <w:color w:val="FF0000"/>
          <w:lang w:val="en-US" w:eastAsia="zh-CN"/>
        </w:rPr>
        <w:t>“</w:t>
      </w:r>
      <w:r>
        <w:rPr>
          <w:rFonts w:hint="default" w:ascii="Times New Roman" w:hAnsi="Times New Roman" w:eastAsia="宋体" w:cs="Times New Roman"/>
          <w:color w:val="FF0000"/>
        </w:rPr>
        <w:t>大语言模型/大模型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、“中医药”与“评测/评估”三组核心概念，</w:t>
      </w:r>
      <w:r>
        <w:rPr>
          <w:rFonts w:hint="default" w:ascii="Times New Roman" w:hAnsi="Times New Roman" w:eastAsia="宋体" w:cs="Times New Roman"/>
          <w:color w:val="FF0000"/>
          <w:lang w:val="en-US" w:eastAsia="zh-CN"/>
        </w:rPr>
        <w:t>检索建库至2026年6月9日</w:t>
      </w:r>
      <w:r>
        <w:rPr>
          <w:rFonts w:hint="default" w:ascii="Times New Roman" w:hAnsi="Times New Roman" w:eastAsia="宋体" w:cs="Times New Roman"/>
          <w:color w:val="FF0000"/>
        </w:rPr>
        <w:t>Web of Science核心合</w:t>
      </w:r>
      <w:r>
        <w:rPr>
          <w:rFonts w:hint="default" w:ascii="Times New Roman" w:hAnsi="Times New Roman" w:eastAsia="宋体" w:cs="Times New Roman"/>
          <w:color w:val="FF0000"/>
          <w:lang w:val="en-US" w:eastAsia="zh-CN"/>
        </w:rPr>
        <w:t>集</w:t>
      </w:r>
      <w:r>
        <w:rPr>
          <w:rFonts w:hint="default" w:ascii="Times New Roman" w:hAnsi="Times New Roman" w:eastAsia="宋体" w:cs="Times New Roman"/>
          <w:color w:val="FF0000"/>
        </w:rPr>
        <w:t>、PubMed、中国知网及万方数据库</w:t>
      </w:r>
      <w:r>
        <w:rPr>
          <w:rFonts w:hint="default" w:ascii="Times New Roman" w:hAnsi="Times New Roman" w:eastAsia="宋体" w:cs="Times New Roman"/>
          <w:color w:val="FF0000"/>
          <w:lang w:val="en-US" w:eastAsia="zh-CN"/>
        </w:rPr>
        <w:t>的</w:t>
      </w:r>
      <w:r>
        <w:rPr>
          <w:rFonts w:hint="eastAsia" w:ascii="Times New Roman" w:hAnsi="Times New Roman" w:eastAsia="宋体" w:cs="Times New Roman"/>
          <w:color w:val="FF0000"/>
          <w:lang w:val="en-US" w:eastAsia="zh-CN"/>
        </w:rPr>
        <w:t>相关</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。英文</w:t>
      </w:r>
      <w:r>
        <w:rPr>
          <w:rFonts w:hint="default" w:ascii="Times New Roman" w:hAnsi="Times New Roman" w:eastAsia="宋体" w:cs="Times New Roman"/>
          <w:color w:val="FF0000"/>
          <w:lang w:val="en-US" w:eastAsia="zh-CN"/>
        </w:rPr>
        <w:t>文献</w:t>
      </w:r>
      <w:r>
        <w:rPr>
          <w:rFonts w:hint="default" w:ascii="Times New Roman" w:hAnsi="Times New Roman" w:eastAsia="宋体" w:cs="Times New Roman"/>
          <w:color w:val="FF0000"/>
        </w:rPr>
        <w:t>采用主题词与自由词组合检索：技术词（large language model, LLM, GPT, ChatGPT, generative AI, foundation model）、领域词（traditional Chinese medicine, Chinese medicine, acupuncture, syndrome differentiation, tongue diagnosis等）、评测词（evaluat, assess, benchmark, accuracy, reasoning, examination等），三组取交集；PubMed同时采用MeSH词“Medicine, Chinese Traditional”。中文</w:t>
      </w:r>
      <w:r>
        <w:rPr>
          <w:rFonts w:hint="eastAsia" w:ascii="Times New Roman" w:hAnsi="Times New Roman" w:eastAsia="宋体" w:cs="Times New Roman"/>
          <w:color w:val="FF0000"/>
          <w:lang w:val="en-US" w:eastAsia="zh-CN"/>
        </w:rPr>
        <w:t>文献</w:t>
      </w:r>
      <w:r>
        <w:rPr>
          <w:rFonts w:hint="default" w:ascii="Times New Roman" w:hAnsi="Times New Roman" w:eastAsia="宋体" w:cs="Times New Roman"/>
          <w:color w:val="FF0000"/>
        </w:rPr>
        <w:t>以</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大语言模型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大模型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中医药</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中医</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评测</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评估</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基准</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等为主题或篇名进行检索。排除机器翻译、英文写作及非评测主题的文献。</w:t>
      </w:r>
    </w:p>
    <w:p w14:paraId="613CB8B6">
      <w:pPr>
        <w:pStyle w:val="5"/>
        <w:rPr>
          <w:rFonts w:hint="eastAsia" w:ascii="宋体" w:hAnsi="宋体" w:eastAsia="宋体" w:cs="宋体"/>
        </w:rPr>
      </w:pPr>
      <w:r>
        <w:rPr>
          <w:rFonts w:hint="eastAsia" w:ascii="宋体" w:hAnsi="宋体" w:eastAsia="宋体" w:cs="宋体"/>
          <w:color w:val="000000"/>
        </w:rPr>
        <w:t>2.2 文献筛选与纳入</w:t>
      </w:r>
    </w:p>
    <w:p w14:paraId="04C849B1">
      <w:pPr>
        <w:spacing w:line="360" w:lineRule="auto"/>
        <w:ind w:firstLine="440" w:firstLineChars="200"/>
        <w:jc w:val="both"/>
        <w:rPr>
          <w:rFonts w:hint="eastAsia" w:ascii="宋体" w:hAnsi="宋体" w:eastAsia="宋体" w:cs="宋体"/>
          <w:color w:val="FF0000"/>
        </w:rPr>
      </w:pPr>
      <w:r>
        <w:rPr>
          <w:rFonts w:hint="eastAsia" w:eastAsia="宋体" w:cs="宋体"/>
          <w:color w:val="FF0000"/>
          <w:lang w:val="en-US" w:eastAsia="zh-CN"/>
        </w:rPr>
        <w:t>共检索出相关</w:t>
      </w:r>
      <w:r>
        <w:rPr>
          <w:rFonts w:hint="eastAsia" w:ascii="宋体" w:hAnsi="宋体" w:eastAsia="宋体" w:cs="宋体"/>
          <w:color w:val="FF0000"/>
        </w:rPr>
        <w:t>文献276篇</w:t>
      </w:r>
      <w:r>
        <w:rPr>
          <w:rFonts w:hint="eastAsia" w:eastAsia="宋体" w:cs="宋体"/>
          <w:color w:val="FF0000"/>
          <w:lang w:eastAsia="zh-CN"/>
        </w:rPr>
        <w:t>，</w:t>
      </w:r>
      <w:r>
        <w:rPr>
          <w:rFonts w:hint="eastAsia" w:eastAsia="宋体" w:cs="宋体"/>
          <w:color w:val="FF0000"/>
          <w:lang w:val="en-US" w:eastAsia="zh-CN"/>
        </w:rPr>
        <w:t>其中</w:t>
      </w:r>
      <w:r>
        <w:rPr>
          <w:rFonts w:hint="eastAsia" w:ascii="宋体" w:hAnsi="宋体" w:eastAsia="宋体" w:cs="宋体"/>
          <w:color w:val="FF0000"/>
        </w:rPr>
        <w:t>Web of Science 125篇、PubMed 85篇、CNKI 57篇、万方9篇。经去重、标题与摘要初筛、全文复筛，最终纳入与中医药大语言模型评测相关核心研究</w:t>
      </w:r>
      <w:r>
        <w:rPr>
          <w:rFonts w:hint="eastAsia" w:eastAsia="宋体" w:cs="宋体"/>
          <w:color w:val="FF0000"/>
          <w:lang w:val="en-US" w:eastAsia="zh-CN"/>
        </w:rPr>
        <w:t>文献</w:t>
      </w:r>
      <w:r>
        <w:rPr>
          <w:rFonts w:hint="eastAsia" w:ascii="宋体" w:hAnsi="宋体" w:eastAsia="宋体" w:cs="宋体"/>
          <w:color w:val="FF0000"/>
        </w:rPr>
        <w:t>34篇，作为综述的证据主体（文献筛选流程见图1）。引言与讨论部分另引用少量奠基性文献与相关标准用于背景铺垫与方法学论证，此类叙述性引用不属于上述系统检索与筛选范围，亦不计入图1的流程统计。</w:t>
      </w:r>
    </w:p>
    <w:p w14:paraId="3B8CC7EE">
      <w:pPr>
        <w:rPr>
          <w:rFonts w:hint="eastAsia" w:ascii="宋体" w:hAnsi="宋体" w:eastAsia="宋体" w:cs="宋体"/>
        </w:rPr>
      </w:pPr>
      <w:r>
        <w:rPr>
          <w:rFonts w:hint="eastAsia" w:ascii="宋体" w:hAnsi="宋体" w:eastAsia="宋体" w:cs="宋体"/>
          <w:b/>
          <w:sz w:val="18"/>
        </w:rPr>
        <w:drawing>
          <wp:inline distT="0" distB="0" distL="114300" distR="114300">
            <wp:extent cx="5481320" cy="3710305"/>
            <wp:effectExtent l="0" t="0" r="5080" b="4445"/>
            <wp:docPr id="4" name="图片 4" descr="图1-图1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图1 PRISMA"/>
                    <pic:cNvPicPr>
                      <a:picLocks noChangeAspect="1"/>
                    </pic:cNvPicPr>
                  </pic:nvPicPr>
                  <pic:blipFill>
                    <a:blip r:embed="rId6"/>
                    <a:stretch>
                      <a:fillRect/>
                    </a:stretch>
                  </pic:blipFill>
                  <pic:spPr>
                    <a:xfrm>
                      <a:off x="0" y="0"/>
                      <a:ext cx="5481320" cy="3710305"/>
                    </a:xfrm>
                    <a:prstGeom prst="rect">
                      <a:avLst/>
                    </a:prstGeom>
                  </pic:spPr>
                </pic:pic>
              </a:graphicData>
            </a:graphic>
          </wp:inline>
        </w:drawing>
      </w:r>
    </w:p>
    <w:p w14:paraId="1C33FC96">
      <w:pPr>
        <w:rPr>
          <w:rFonts w:hint="eastAsia" w:ascii="宋体" w:hAnsi="宋体" w:eastAsia="宋体" w:cs="宋体"/>
        </w:rPr>
      </w:pPr>
      <w:r>
        <w:rPr>
          <w:rFonts w:hint="eastAsia" w:ascii="宋体" w:hAnsi="宋体" w:eastAsia="宋体" w:cs="宋体"/>
        </w:rPr>
        <w:t>图1 文献检索与筛选流程（PRISMA）</w:t>
      </w:r>
    </w:p>
    <w:p w14:paraId="779A05D1">
      <w:pPr>
        <w:rPr>
          <w:rFonts w:hint="eastAsia" w:ascii="宋体" w:hAnsi="宋体" w:eastAsia="宋体" w:cs="宋体"/>
        </w:rPr>
      </w:pPr>
      <w:r>
        <w:rPr>
          <w:rFonts w:hint="eastAsia" w:ascii="宋体" w:hAnsi="宋体" w:eastAsia="宋体" w:cs="宋体"/>
        </w:rPr>
        <w:br w:type="page"/>
      </w:r>
    </w:p>
    <w:p w14:paraId="1BE23856">
      <w:pPr>
        <w:pStyle w:val="4"/>
        <w:rPr>
          <w:rFonts w:hint="eastAsia" w:ascii="宋体" w:hAnsi="宋体" w:eastAsia="宋体" w:cs="宋体"/>
        </w:rPr>
      </w:pPr>
      <w:r>
        <w:rPr>
          <w:rFonts w:hint="eastAsia" w:ascii="宋体" w:hAnsi="宋体" w:eastAsia="宋体" w:cs="宋体"/>
          <w:color w:val="000000"/>
        </w:rPr>
        <w:t>3 中医药领域大语言模型评测研究现状</w:t>
      </w:r>
    </w:p>
    <w:p w14:paraId="6EC4EAFB">
      <w:pPr>
        <w:pStyle w:val="4"/>
        <w:bidi w:val="0"/>
        <w:rPr>
          <w:rFonts w:hint="eastAsia" w:ascii="宋体" w:hAnsi="宋体" w:eastAsia="宋体" w:cs="宋体"/>
        </w:rPr>
      </w:pPr>
      <w:r>
        <w:rPr>
          <w:rFonts w:hint="eastAsia" w:ascii="宋体" w:hAnsi="宋体" w:eastAsia="宋体" w:cs="宋体"/>
        </w:rPr>
        <w:t>3.1 评测基准的构建进展</w:t>
      </w:r>
    </w:p>
    <w:p w14:paraId="3C7BC53A">
      <w:pPr>
        <w:spacing w:line="360" w:lineRule="auto"/>
        <w:ind w:firstLine="440" w:firstLineChars="200"/>
        <w:rPr>
          <w:rFonts w:hint="eastAsia" w:ascii="宋体" w:hAnsi="宋体" w:eastAsia="宋体" w:cs="宋体"/>
          <w:color w:val="FF0000"/>
        </w:rPr>
      </w:pPr>
      <w:r>
        <w:rPr>
          <w:rFonts w:hint="eastAsia" w:ascii="宋体" w:hAnsi="宋体" w:eastAsia="宋体" w:cs="宋体"/>
          <w:color w:val="FF0000"/>
        </w:rPr>
        <w:t>评测基准是评估LLM领域能力的基础设施。中医领域的基准构建正经历由通用知识考察向专业能力评估、由单一文本模态向多模态融合、由静态问答向动态交互推理的演进。代表性基准的分类见表1。</w:t>
      </w:r>
    </w:p>
    <w:p w14:paraId="679A9CD1">
      <w:pPr>
        <w:jc w:val="center"/>
        <w:rPr>
          <w:rFonts w:hint="eastAsia" w:ascii="宋体" w:hAnsi="宋体" w:eastAsia="宋体" w:cs="宋体"/>
          <w:color w:val="FF0000"/>
        </w:rPr>
      </w:pPr>
      <w:r>
        <w:rPr>
          <w:rFonts w:hint="eastAsia" w:eastAsia="宋体" w:cs="宋体"/>
          <w:color w:val="FF0000"/>
          <w:lang w:val="en-US" w:eastAsia="zh-CN"/>
        </w:rPr>
        <w:t>表1</w:t>
      </w:r>
      <w:r>
        <w:rPr>
          <w:rFonts w:hint="eastAsia" w:ascii="宋体" w:hAnsi="宋体" w:eastAsia="宋体" w:cs="宋体"/>
          <w:color w:val="FF0000"/>
        </w:rPr>
        <w:t>中医药大语言模型评测基准代表性分类</w:t>
      </w:r>
    </w:p>
    <w:tbl>
      <w:tblPr>
        <w:tblStyle w:val="33"/>
        <w:tblW w:w="0" w:type="auto"/>
        <w:jc w:val="center"/>
        <w:tblLayout w:type="autofit"/>
        <w:tblCellMar>
          <w:top w:w="0" w:type="dxa"/>
          <w:left w:w="108" w:type="dxa"/>
          <w:bottom w:w="0" w:type="dxa"/>
          <w:right w:w="108" w:type="dxa"/>
        </w:tblCellMar>
      </w:tblPr>
      <w:tblGrid>
        <w:gridCol w:w="1236"/>
        <w:gridCol w:w="4556"/>
        <w:gridCol w:w="2848"/>
      </w:tblGrid>
      <w:tr w14:paraId="70161F94">
        <w:tblPrEx>
          <w:tblCellMar>
            <w:top w:w="0" w:type="dxa"/>
            <w:left w:w="108" w:type="dxa"/>
            <w:bottom w:w="0" w:type="dxa"/>
            <w:right w:w="108" w:type="dxa"/>
          </w:tblCellMar>
        </w:tblPrEx>
        <w:trPr>
          <w:jc w:val="center"/>
        </w:trPr>
        <w:tc>
          <w:tcPr>
            <w:tcW w:w="1236" w:type="dxa"/>
            <w:tcBorders>
              <w:top w:val="single" w:color="000000" w:sz="12" w:space="0"/>
              <w:left w:val="nil"/>
              <w:bottom w:val="single" w:color="000000" w:sz="6" w:space="0"/>
              <w:right w:val="nil"/>
            </w:tcBorders>
          </w:tcPr>
          <w:p w14:paraId="2DF85CB6">
            <w:pPr>
              <w:jc w:val="center"/>
              <w:rPr>
                <w:rFonts w:hint="eastAsia" w:ascii="宋体" w:hAnsi="宋体" w:eastAsia="宋体" w:cs="宋体"/>
              </w:rPr>
            </w:pPr>
            <w:r>
              <w:rPr>
                <w:rFonts w:hint="eastAsia" w:ascii="宋体" w:hAnsi="宋体" w:eastAsia="宋体" w:cs="宋体"/>
                <w:b/>
                <w:sz w:val="18"/>
              </w:rPr>
              <w:t>类别</w:t>
            </w:r>
          </w:p>
        </w:tc>
        <w:tc>
          <w:tcPr>
            <w:tcW w:w="4556" w:type="dxa"/>
            <w:tcBorders>
              <w:top w:val="single" w:color="000000" w:sz="12" w:space="0"/>
              <w:left w:val="nil"/>
              <w:bottom w:val="single" w:color="000000" w:sz="6" w:space="0"/>
              <w:right w:val="nil"/>
            </w:tcBorders>
          </w:tcPr>
          <w:p w14:paraId="384D8839">
            <w:pPr>
              <w:jc w:val="center"/>
              <w:rPr>
                <w:rFonts w:hint="eastAsia" w:ascii="宋体" w:hAnsi="宋体" w:eastAsia="宋体" w:cs="宋体"/>
              </w:rPr>
            </w:pPr>
            <w:r>
              <w:rPr>
                <w:rFonts w:hint="eastAsia" w:ascii="宋体" w:hAnsi="宋体" w:eastAsia="宋体" w:cs="宋体"/>
                <w:b/>
                <w:sz w:val="18"/>
              </w:rPr>
              <w:t>代表性数据集/基准</w:t>
            </w:r>
          </w:p>
        </w:tc>
        <w:tc>
          <w:tcPr>
            <w:tcW w:w="2848" w:type="dxa"/>
            <w:tcBorders>
              <w:top w:val="single" w:color="000000" w:sz="12" w:space="0"/>
              <w:left w:val="nil"/>
              <w:bottom w:val="single" w:color="000000" w:sz="6" w:space="0"/>
              <w:right w:val="nil"/>
            </w:tcBorders>
          </w:tcPr>
          <w:p w14:paraId="7F9A22E7">
            <w:pPr>
              <w:jc w:val="center"/>
              <w:rPr>
                <w:rFonts w:hint="eastAsia" w:ascii="宋体" w:hAnsi="宋体" w:eastAsia="宋体" w:cs="宋体"/>
              </w:rPr>
            </w:pPr>
            <w:r>
              <w:rPr>
                <w:rFonts w:hint="eastAsia" w:ascii="宋体" w:hAnsi="宋体" w:eastAsia="宋体" w:cs="宋体"/>
                <w:b/>
                <w:sz w:val="18"/>
              </w:rPr>
              <w:t>主要评测对象</w:t>
            </w:r>
          </w:p>
        </w:tc>
      </w:tr>
      <w:tr w14:paraId="069D71FC">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002B1789">
            <w:pPr>
              <w:jc w:val="center"/>
              <w:rPr>
                <w:rFonts w:hint="eastAsia" w:ascii="宋体" w:hAnsi="宋体" w:eastAsia="宋体" w:cs="宋体"/>
              </w:rPr>
            </w:pPr>
            <w:r>
              <w:rPr>
                <w:rFonts w:hint="eastAsia" w:ascii="宋体" w:hAnsi="宋体" w:eastAsia="宋体" w:cs="宋体"/>
                <w:b w:val="0"/>
                <w:sz w:val="18"/>
              </w:rPr>
              <w:t>考试类</w:t>
            </w:r>
          </w:p>
        </w:tc>
        <w:tc>
          <w:tcPr>
            <w:tcW w:w="4556" w:type="dxa"/>
            <w:tcBorders>
              <w:top w:val="nil"/>
              <w:left w:val="nil"/>
              <w:bottom w:val="nil"/>
              <w:right w:val="nil"/>
            </w:tcBorders>
          </w:tcPr>
          <w:p w14:paraId="5A08699D">
            <w:pPr>
              <w:jc w:val="center"/>
              <w:rPr>
                <w:rFonts w:hint="eastAsia" w:ascii="宋体" w:hAnsi="宋体" w:eastAsia="宋体" w:cs="宋体"/>
              </w:rPr>
            </w:pPr>
            <w:r>
              <w:rPr>
                <w:rFonts w:hint="eastAsia" w:ascii="宋体" w:hAnsi="宋体" w:eastAsia="宋体" w:cs="宋体"/>
                <w:b w:val="0"/>
                <w:sz w:val="18"/>
              </w:rPr>
              <w:t>中医执业医师</w:t>
            </w:r>
            <w:r>
              <w:rPr>
                <w:rFonts w:hint="eastAsia" w:eastAsia="宋体" w:cs="宋体"/>
                <w:b w:val="0"/>
                <w:color w:val="FF0000"/>
                <w:sz w:val="18"/>
                <w:lang w:val="en-US" w:eastAsia="zh-CN"/>
              </w:rPr>
              <w:t>考试</w:t>
            </w:r>
            <w:r>
              <w:rPr>
                <w:rFonts w:hint="eastAsia" w:ascii="宋体" w:hAnsi="宋体" w:eastAsia="宋体" w:cs="宋体"/>
                <w:b w:val="0"/>
                <w:sz w:val="18"/>
              </w:rPr>
              <w:t>、研究生入学考试题（CPE-TCM 等）</w:t>
            </w:r>
          </w:p>
        </w:tc>
        <w:tc>
          <w:tcPr>
            <w:tcW w:w="2848" w:type="dxa"/>
            <w:tcBorders>
              <w:top w:val="nil"/>
              <w:left w:val="nil"/>
              <w:bottom w:val="nil"/>
              <w:right w:val="nil"/>
            </w:tcBorders>
          </w:tcPr>
          <w:p w14:paraId="145C4F66">
            <w:pPr>
              <w:jc w:val="center"/>
              <w:rPr>
                <w:rFonts w:hint="eastAsia" w:ascii="宋体" w:hAnsi="宋体" w:eastAsia="宋体" w:cs="宋体"/>
              </w:rPr>
            </w:pPr>
            <w:r>
              <w:rPr>
                <w:rFonts w:hint="eastAsia" w:ascii="宋体" w:hAnsi="宋体" w:eastAsia="宋体" w:cs="宋体"/>
                <w:b w:val="0"/>
                <w:sz w:val="18"/>
              </w:rPr>
              <w:t>知识记忆与基础</w:t>
            </w:r>
            <w:r>
              <w:rPr>
                <w:rFonts w:hint="eastAsia" w:eastAsia="宋体" w:cs="宋体"/>
                <w:b w:val="0"/>
                <w:color w:val="FF0000"/>
                <w:sz w:val="18"/>
                <w:lang w:val="en-US" w:eastAsia="zh-CN"/>
              </w:rPr>
              <w:t>应用</w:t>
            </w:r>
            <w:r>
              <w:rPr>
                <w:rFonts w:hint="eastAsia" w:ascii="宋体" w:hAnsi="宋体" w:eastAsia="宋体" w:cs="宋体"/>
                <w:b w:val="0"/>
                <w:sz w:val="18"/>
              </w:rPr>
              <w:t>能力</w:t>
            </w:r>
          </w:p>
        </w:tc>
      </w:tr>
      <w:tr w14:paraId="1DE038C2">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205F6A8F">
            <w:pPr>
              <w:jc w:val="center"/>
              <w:rPr>
                <w:rFonts w:hint="eastAsia" w:ascii="宋体" w:hAnsi="宋体" w:eastAsia="宋体" w:cs="宋体"/>
              </w:rPr>
            </w:pPr>
            <w:r>
              <w:rPr>
                <w:rFonts w:hint="eastAsia" w:ascii="宋体" w:hAnsi="宋体" w:eastAsia="宋体" w:cs="宋体"/>
                <w:b w:val="0"/>
                <w:sz w:val="18"/>
              </w:rPr>
              <w:t>辨证推理类</w:t>
            </w:r>
          </w:p>
        </w:tc>
        <w:tc>
          <w:tcPr>
            <w:tcW w:w="4556" w:type="dxa"/>
            <w:tcBorders>
              <w:top w:val="nil"/>
              <w:left w:val="nil"/>
              <w:bottom w:val="nil"/>
              <w:right w:val="nil"/>
            </w:tcBorders>
          </w:tcPr>
          <w:p w14:paraId="1368B9BE">
            <w:pPr>
              <w:jc w:val="center"/>
              <w:rPr>
                <w:rFonts w:hint="eastAsia" w:ascii="宋体" w:hAnsi="宋体" w:eastAsia="宋体" w:cs="宋体"/>
              </w:rPr>
            </w:pPr>
            <w:r>
              <w:rPr>
                <w:rFonts w:hint="eastAsia" w:ascii="宋体" w:hAnsi="宋体" w:eastAsia="宋体" w:cs="宋体"/>
                <w:b w:val="0"/>
                <w:sz w:val="18"/>
              </w:rPr>
              <w:t>辨证思维数据集、DCB、ATCMD-Bench</w:t>
            </w:r>
          </w:p>
        </w:tc>
        <w:tc>
          <w:tcPr>
            <w:tcW w:w="2848" w:type="dxa"/>
            <w:tcBorders>
              <w:top w:val="nil"/>
              <w:left w:val="nil"/>
              <w:bottom w:val="nil"/>
              <w:right w:val="nil"/>
            </w:tcBorders>
          </w:tcPr>
          <w:p w14:paraId="08D6DCD4">
            <w:pPr>
              <w:jc w:val="center"/>
              <w:rPr>
                <w:rFonts w:hint="default" w:ascii="宋体" w:hAnsi="宋体" w:eastAsia="宋体" w:cs="宋体"/>
                <w:lang w:val="en-US" w:eastAsia="zh-CN"/>
              </w:rPr>
            </w:pPr>
            <w:r>
              <w:rPr>
                <w:rFonts w:hint="eastAsia" w:ascii="宋体" w:hAnsi="宋体" w:eastAsia="宋体" w:cs="宋体"/>
                <w:b w:val="0"/>
                <w:sz w:val="18"/>
              </w:rPr>
              <w:t>临床推理与辨证思维</w:t>
            </w:r>
            <w:r>
              <w:rPr>
                <w:rFonts w:hint="eastAsia" w:eastAsia="宋体" w:cs="宋体"/>
                <w:b w:val="0"/>
                <w:color w:val="FF0000"/>
                <w:sz w:val="18"/>
                <w:lang w:val="en-US" w:eastAsia="zh-CN"/>
              </w:rPr>
              <w:t>能力</w:t>
            </w:r>
          </w:p>
        </w:tc>
      </w:tr>
      <w:tr w14:paraId="08D1E9D0">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4FE58F99">
            <w:pPr>
              <w:jc w:val="center"/>
              <w:rPr>
                <w:rFonts w:hint="eastAsia" w:ascii="宋体" w:hAnsi="宋体" w:eastAsia="宋体" w:cs="宋体"/>
              </w:rPr>
            </w:pPr>
            <w:r>
              <w:rPr>
                <w:rFonts w:hint="eastAsia" w:ascii="宋体" w:hAnsi="宋体" w:eastAsia="宋体" w:cs="宋体"/>
                <w:b w:val="0"/>
                <w:sz w:val="18"/>
              </w:rPr>
              <w:t>安全类</w:t>
            </w:r>
          </w:p>
        </w:tc>
        <w:tc>
          <w:tcPr>
            <w:tcW w:w="4556" w:type="dxa"/>
            <w:tcBorders>
              <w:top w:val="nil"/>
              <w:left w:val="nil"/>
              <w:bottom w:val="nil"/>
              <w:right w:val="nil"/>
            </w:tcBorders>
          </w:tcPr>
          <w:p w14:paraId="00F9737F">
            <w:pPr>
              <w:jc w:val="center"/>
              <w:rPr>
                <w:rFonts w:hint="eastAsia" w:ascii="宋体" w:hAnsi="宋体" w:eastAsia="宋体" w:cs="宋体"/>
              </w:rPr>
            </w:pPr>
            <w:r>
              <w:rPr>
                <w:rFonts w:hint="eastAsia" w:ascii="宋体" w:hAnsi="宋体" w:eastAsia="宋体" w:cs="宋体"/>
                <w:b w:val="0"/>
                <w:sz w:val="18"/>
              </w:rPr>
              <w:t>TCMEval-PA、错误信息检测框架</w:t>
            </w:r>
          </w:p>
        </w:tc>
        <w:tc>
          <w:tcPr>
            <w:tcW w:w="2848" w:type="dxa"/>
            <w:tcBorders>
              <w:top w:val="nil"/>
              <w:left w:val="nil"/>
              <w:bottom w:val="nil"/>
              <w:right w:val="nil"/>
            </w:tcBorders>
          </w:tcPr>
          <w:p w14:paraId="4A4E19B8">
            <w:pPr>
              <w:jc w:val="center"/>
              <w:rPr>
                <w:rFonts w:hint="eastAsia" w:ascii="宋体" w:hAnsi="宋体" w:eastAsia="宋体" w:cs="宋体"/>
                <w:lang w:val="en-US" w:eastAsia="zh-CN"/>
              </w:rPr>
            </w:pPr>
            <w:r>
              <w:rPr>
                <w:rFonts w:hint="eastAsia" w:ascii="宋体" w:hAnsi="宋体" w:eastAsia="宋体" w:cs="宋体"/>
                <w:b w:val="0"/>
                <w:sz w:val="18"/>
              </w:rPr>
              <w:t>用药安全与风险识别</w:t>
            </w:r>
            <w:r>
              <w:rPr>
                <w:rFonts w:hint="eastAsia" w:eastAsia="宋体" w:cs="宋体"/>
                <w:b w:val="0"/>
                <w:color w:val="FF0000"/>
                <w:sz w:val="18"/>
                <w:lang w:val="en-US" w:eastAsia="zh-CN"/>
              </w:rPr>
              <w:t>能力</w:t>
            </w:r>
          </w:p>
        </w:tc>
      </w:tr>
      <w:tr w14:paraId="13F86BA4">
        <w:tblPrEx>
          <w:tblCellMar>
            <w:top w:w="0" w:type="dxa"/>
            <w:left w:w="108" w:type="dxa"/>
            <w:bottom w:w="0" w:type="dxa"/>
            <w:right w:w="108" w:type="dxa"/>
          </w:tblCellMar>
        </w:tblPrEx>
        <w:trPr>
          <w:jc w:val="center"/>
        </w:trPr>
        <w:tc>
          <w:tcPr>
            <w:tcW w:w="1236" w:type="dxa"/>
            <w:tcBorders>
              <w:top w:val="nil"/>
              <w:left w:val="nil"/>
              <w:bottom w:val="nil"/>
              <w:right w:val="nil"/>
            </w:tcBorders>
          </w:tcPr>
          <w:p w14:paraId="5B5728E6">
            <w:pPr>
              <w:jc w:val="center"/>
              <w:rPr>
                <w:rFonts w:hint="eastAsia" w:ascii="宋体" w:hAnsi="宋体" w:eastAsia="宋体" w:cs="宋体"/>
              </w:rPr>
            </w:pPr>
            <w:r>
              <w:rPr>
                <w:rFonts w:hint="eastAsia" w:ascii="宋体" w:hAnsi="宋体" w:eastAsia="宋体" w:cs="宋体"/>
                <w:b w:val="0"/>
                <w:sz w:val="18"/>
              </w:rPr>
              <w:t>古籍类</w:t>
            </w:r>
          </w:p>
        </w:tc>
        <w:tc>
          <w:tcPr>
            <w:tcW w:w="4556" w:type="dxa"/>
            <w:tcBorders>
              <w:top w:val="nil"/>
              <w:left w:val="nil"/>
              <w:bottom w:val="nil"/>
              <w:right w:val="nil"/>
            </w:tcBorders>
          </w:tcPr>
          <w:p w14:paraId="67383AA7">
            <w:pPr>
              <w:jc w:val="center"/>
              <w:rPr>
                <w:rFonts w:hint="eastAsia" w:ascii="宋体" w:hAnsi="宋体" w:eastAsia="宋体" w:cs="宋体"/>
              </w:rPr>
            </w:pPr>
            <w:r>
              <w:rPr>
                <w:rFonts w:hint="eastAsia" w:ascii="宋体" w:hAnsi="宋体" w:eastAsia="宋体" w:cs="宋体"/>
                <w:b w:val="0"/>
                <w:sz w:val="18"/>
              </w:rPr>
              <w:t>负屃</w:t>
            </w:r>
            <w:r>
              <w:rPr>
                <w:rFonts w:hint="eastAsia" w:ascii="宋体" w:hAnsi="宋体" w:eastAsia="宋体" w:cs="宋体"/>
                <w:b w:val="0"/>
                <w:color w:val="FF0000"/>
                <w:sz w:val="18"/>
              </w:rPr>
              <w:t>（Fuxi）</w:t>
            </w:r>
          </w:p>
        </w:tc>
        <w:tc>
          <w:tcPr>
            <w:tcW w:w="2848" w:type="dxa"/>
            <w:tcBorders>
              <w:top w:val="nil"/>
              <w:left w:val="nil"/>
              <w:bottom w:val="nil"/>
              <w:right w:val="nil"/>
            </w:tcBorders>
          </w:tcPr>
          <w:p w14:paraId="1955A431">
            <w:pPr>
              <w:jc w:val="center"/>
              <w:rPr>
                <w:rFonts w:hint="eastAsia" w:ascii="宋体" w:hAnsi="宋体" w:eastAsia="宋体" w:cs="宋体"/>
              </w:rPr>
            </w:pPr>
            <w:r>
              <w:rPr>
                <w:rFonts w:hint="eastAsia" w:ascii="宋体" w:hAnsi="宋体" w:eastAsia="宋体" w:cs="宋体"/>
                <w:b w:val="0"/>
                <w:sz w:val="18"/>
              </w:rPr>
              <w:t>古汉语理解</w:t>
            </w:r>
            <w:r>
              <w:rPr>
                <w:rFonts w:hint="eastAsia" w:eastAsia="宋体" w:cs="宋体"/>
                <w:b w:val="0"/>
                <w:color w:val="FF0000"/>
                <w:sz w:val="18"/>
                <w:lang w:val="en-US" w:eastAsia="zh-CN"/>
              </w:rPr>
              <w:t>与挖掘</w:t>
            </w:r>
            <w:r>
              <w:rPr>
                <w:rFonts w:hint="eastAsia" w:ascii="宋体" w:hAnsi="宋体" w:eastAsia="宋体" w:cs="宋体"/>
                <w:b w:val="0"/>
                <w:sz w:val="18"/>
              </w:rPr>
              <w:t>能力</w:t>
            </w:r>
          </w:p>
        </w:tc>
      </w:tr>
      <w:tr w14:paraId="48A6E1BD">
        <w:tblPrEx>
          <w:tblCellMar>
            <w:top w:w="0" w:type="dxa"/>
            <w:left w:w="108" w:type="dxa"/>
            <w:bottom w:w="0" w:type="dxa"/>
            <w:right w:w="108" w:type="dxa"/>
          </w:tblCellMar>
        </w:tblPrEx>
        <w:trPr>
          <w:trHeight w:val="558" w:hRule="atLeast"/>
          <w:jc w:val="center"/>
        </w:trPr>
        <w:tc>
          <w:tcPr>
            <w:tcW w:w="1236" w:type="dxa"/>
            <w:tcBorders>
              <w:top w:val="nil"/>
              <w:left w:val="nil"/>
              <w:bottom w:val="single" w:color="000000" w:sz="12" w:space="0"/>
              <w:right w:val="nil"/>
            </w:tcBorders>
          </w:tcPr>
          <w:p w14:paraId="5EB8D9B8">
            <w:pPr>
              <w:jc w:val="center"/>
              <w:rPr>
                <w:rFonts w:hint="eastAsia" w:ascii="宋体" w:hAnsi="宋体" w:eastAsia="宋体" w:cs="宋体"/>
              </w:rPr>
            </w:pPr>
            <w:r>
              <w:rPr>
                <w:rFonts w:hint="eastAsia" w:ascii="宋体" w:hAnsi="宋体" w:eastAsia="宋体" w:cs="宋体"/>
                <w:b w:val="0"/>
                <w:sz w:val="18"/>
              </w:rPr>
              <w:t>多模态类</w:t>
            </w:r>
          </w:p>
        </w:tc>
        <w:tc>
          <w:tcPr>
            <w:tcW w:w="4556" w:type="dxa"/>
            <w:tcBorders>
              <w:top w:val="nil"/>
              <w:left w:val="nil"/>
              <w:bottom w:val="single" w:color="000000" w:sz="12" w:space="0"/>
              <w:right w:val="nil"/>
            </w:tcBorders>
          </w:tcPr>
          <w:p w14:paraId="7899CF87">
            <w:pPr>
              <w:jc w:val="center"/>
              <w:rPr>
                <w:rFonts w:hint="eastAsia" w:ascii="宋体" w:hAnsi="宋体" w:eastAsia="宋体" w:cs="宋体"/>
              </w:rPr>
            </w:pPr>
            <w:r>
              <w:rPr>
                <w:rFonts w:hint="eastAsia" w:ascii="宋体" w:hAnsi="宋体" w:eastAsia="宋体" w:cs="宋体"/>
                <w:b w:val="0"/>
                <w:sz w:val="18"/>
              </w:rPr>
              <w:t>TongueVLM、舌象数据集</w:t>
            </w:r>
          </w:p>
        </w:tc>
        <w:tc>
          <w:tcPr>
            <w:tcW w:w="2848" w:type="dxa"/>
            <w:tcBorders>
              <w:top w:val="nil"/>
              <w:left w:val="nil"/>
              <w:bottom w:val="single" w:color="000000" w:sz="12" w:space="0"/>
              <w:right w:val="nil"/>
            </w:tcBorders>
          </w:tcPr>
          <w:p w14:paraId="4F1B533D">
            <w:pPr>
              <w:jc w:val="center"/>
              <w:rPr>
                <w:rFonts w:hint="eastAsia" w:ascii="宋体" w:hAnsi="宋体" w:eastAsia="宋体" w:cs="宋体"/>
                <w:lang w:eastAsia="zh-CN"/>
              </w:rPr>
            </w:pPr>
            <w:r>
              <w:rPr>
                <w:rFonts w:hint="eastAsia" w:ascii="宋体" w:hAnsi="宋体" w:eastAsia="宋体" w:cs="宋体"/>
                <w:b w:val="0"/>
                <w:sz w:val="18"/>
              </w:rPr>
              <w:t>多模态感知与</w:t>
            </w:r>
            <w:r>
              <w:rPr>
                <w:rFonts w:hint="eastAsia" w:eastAsia="宋体" w:cs="宋体"/>
                <w:b w:val="0"/>
                <w:color w:val="FF0000"/>
                <w:sz w:val="18"/>
                <w:lang w:eastAsia="zh-CN"/>
              </w:rPr>
              <w:t>“</w:t>
            </w:r>
            <w:r>
              <w:rPr>
                <w:rFonts w:hint="eastAsia" w:ascii="宋体" w:hAnsi="宋体" w:eastAsia="宋体" w:cs="宋体"/>
                <w:b w:val="0"/>
                <w:color w:val="FF0000"/>
                <w:sz w:val="18"/>
              </w:rPr>
              <w:t>四诊合参</w:t>
            </w:r>
            <w:r>
              <w:rPr>
                <w:rFonts w:hint="eastAsia" w:eastAsia="宋体" w:cs="宋体"/>
                <w:b w:val="0"/>
                <w:color w:val="FF0000"/>
                <w:sz w:val="18"/>
                <w:lang w:eastAsia="zh-CN"/>
              </w:rPr>
              <w:t>“</w:t>
            </w:r>
            <w:r>
              <w:rPr>
                <w:rFonts w:hint="eastAsia" w:eastAsia="宋体" w:cs="宋体"/>
                <w:b w:val="0"/>
                <w:color w:val="FF0000"/>
                <w:sz w:val="18"/>
                <w:lang w:val="en-US" w:eastAsia="zh-CN"/>
              </w:rPr>
              <w:t>能力</w:t>
            </w:r>
            <w:r>
              <w:rPr>
                <w:rFonts w:hint="eastAsia" w:eastAsia="宋体" w:cs="宋体"/>
                <w:b w:val="0"/>
                <w:color w:val="FF0000"/>
                <w:sz w:val="18"/>
                <w:lang w:eastAsia="zh-CN"/>
              </w:rPr>
              <w:t>”</w:t>
            </w:r>
          </w:p>
        </w:tc>
      </w:tr>
    </w:tbl>
    <w:p w14:paraId="016DEDC2">
      <w:pPr>
        <w:ind w:firstLine="440" w:firstLineChars="200"/>
        <w:rPr>
          <w:rFonts w:hint="eastAsia" w:ascii="宋体" w:hAnsi="宋体" w:eastAsia="宋体" w:cs="宋体"/>
        </w:rPr>
      </w:pPr>
    </w:p>
    <w:p w14:paraId="60B98081">
      <w:pPr>
        <w:ind w:firstLine="440" w:firstLineChars="200"/>
        <w:rPr>
          <w:rFonts w:hint="eastAsia" w:ascii="宋体" w:hAnsi="宋体" w:eastAsia="宋体" w:cs="宋体"/>
        </w:rPr>
      </w:pPr>
      <w:r>
        <w:rPr>
          <w:rFonts w:hint="eastAsia" w:ascii="宋体" w:hAnsi="宋体" w:eastAsia="宋体" w:cs="宋体"/>
        </w:rPr>
        <w:t>评测体系的总体演化路径见图2，呈现由考试评测、知识评测、推理评测、多模态评测向真实世界评测逐步递进的趋势。</w:t>
      </w:r>
    </w:p>
    <w:p w14:paraId="23EAC482">
      <w:pPr>
        <w:rPr>
          <w:rFonts w:hint="eastAsia" w:ascii="宋体" w:hAnsi="宋体" w:eastAsia="宋体" w:cs="宋体"/>
        </w:rPr>
      </w:pPr>
      <w:r>
        <w:rPr>
          <w:rFonts w:hint="eastAsia" w:ascii="宋体" w:hAnsi="宋体" w:eastAsia="宋体" w:cs="宋体"/>
          <w:b/>
          <w:sz w:val="18"/>
          <w:lang w:eastAsia="zh-CN"/>
        </w:rPr>
        <w:drawing>
          <wp:inline distT="0" distB="0" distL="114300" distR="114300">
            <wp:extent cx="5486400" cy="663575"/>
            <wp:effectExtent l="0" t="0" r="0" b="3175"/>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7"/>
                    <a:stretch>
                      <a:fillRect/>
                    </a:stretch>
                  </pic:blipFill>
                  <pic:spPr>
                    <a:xfrm>
                      <a:off x="0" y="0"/>
                      <a:ext cx="5486400" cy="663575"/>
                    </a:xfrm>
                    <a:prstGeom prst="rect">
                      <a:avLst/>
                    </a:prstGeom>
                  </pic:spPr>
                </pic:pic>
              </a:graphicData>
            </a:graphic>
          </wp:inline>
        </w:drawing>
      </w:r>
    </w:p>
    <w:p w14:paraId="5AF3B768">
      <w:pPr>
        <w:jc w:val="center"/>
        <w:rPr>
          <w:rFonts w:hint="eastAsia" w:ascii="宋体" w:hAnsi="宋体" w:eastAsia="宋体" w:cs="宋体"/>
        </w:rPr>
      </w:pPr>
      <w:r>
        <w:rPr>
          <w:rFonts w:hint="eastAsia" w:ascii="宋体" w:hAnsi="宋体" w:eastAsia="宋体" w:cs="宋体"/>
        </w:rPr>
        <w:t>图2 中医药大语言模型评测体系演化路径</w:t>
      </w:r>
    </w:p>
    <w:p w14:paraId="1F550EA5">
      <w:pPr>
        <w:pStyle w:val="5"/>
        <w:bidi w:val="0"/>
        <w:rPr>
          <w:rFonts w:hint="eastAsia" w:ascii="宋体" w:hAnsi="宋体" w:eastAsia="宋体" w:cs="宋体"/>
        </w:rPr>
      </w:pPr>
      <w:r>
        <w:rPr>
          <w:rFonts w:hint="eastAsia" w:ascii="宋体" w:hAnsi="宋体" w:eastAsia="宋体" w:cs="宋体"/>
        </w:rPr>
        <w:t>3.1.1 标准化考试与教材知识基准</w:t>
      </w:r>
    </w:p>
    <w:p w14:paraId="335A2D3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早期评测多直接采用或改编自中医药标准化考试题目，</w:t>
      </w:r>
      <w:r>
        <w:rPr>
          <w:rFonts w:hint="eastAsia" w:eastAsia="宋体" w:cs="宋体"/>
          <w:color w:val="FF0000"/>
          <w:lang w:val="en-US" w:eastAsia="zh-CN"/>
        </w:rPr>
        <w:t>其具备</w:t>
      </w:r>
      <w:r>
        <w:rPr>
          <w:rFonts w:hint="eastAsia" w:ascii="宋体" w:hAnsi="宋体" w:eastAsia="宋体" w:cs="宋体"/>
          <w:color w:val="FF0000"/>
        </w:rPr>
        <w:t>权威性与客观性</w:t>
      </w:r>
      <w:r>
        <w:rPr>
          <w:rFonts w:hint="eastAsia" w:eastAsia="宋体" w:cs="宋体"/>
          <w:color w:val="FF0000"/>
          <w:lang w:val="en-US" w:eastAsia="zh-CN"/>
        </w:rPr>
        <w:t>而</w:t>
      </w:r>
      <w:r>
        <w:rPr>
          <w:rFonts w:hint="eastAsia" w:ascii="宋体" w:hAnsi="宋体" w:eastAsia="宋体" w:cs="宋体"/>
          <w:color w:val="FF0000"/>
        </w:rPr>
        <w:t>成为基础性评测工具。</w:t>
      </w:r>
      <w:r>
        <w:rPr>
          <w:rFonts w:hint="eastAsia" w:eastAsia="宋体" w:cs="宋体"/>
          <w:color w:val="FF0000"/>
          <w:lang w:val="en-US" w:eastAsia="zh-CN"/>
        </w:rPr>
        <w:t>目前</w:t>
      </w:r>
      <w:r>
        <w:rPr>
          <w:rFonts w:hint="eastAsia" w:ascii="宋体" w:hAnsi="宋体" w:eastAsia="宋体" w:cs="宋体"/>
          <w:color w:val="FF0000"/>
        </w:rPr>
        <w:t>已有研究以中医执业医师资格考试、研究生入学考试（CPE-TCM）等题目构建测试集</w:t>
      </w:r>
      <w:r>
        <w:rPr>
          <w:rFonts w:hint="eastAsia" w:eastAsia="宋体" w:cs="宋体"/>
          <w:color w:val="FF0000"/>
          <w:vertAlign w:val="superscript"/>
          <w:lang w:val="en-US" w:eastAsia="zh-CN"/>
        </w:rPr>
        <w:t>[3]</w:t>
      </w:r>
      <w:r>
        <w:rPr>
          <w:rFonts w:hint="eastAsia" w:ascii="宋体" w:hAnsi="宋体" w:eastAsia="宋体" w:cs="宋体"/>
          <w:color w:val="FF0000"/>
        </w:rPr>
        <w:t>。Jang等</w:t>
      </w:r>
      <w:r>
        <w:rPr>
          <w:rFonts w:hint="eastAsia" w:eastAsia="宋体" w:cs="宋体"/>
          <w:color w:val="FF0000"/>
          <w:vertAlign w:val="superscript"/>
          <w:lang w:val="en-US" w:eastAsia="zh-CN"/>
        </w:rPr>
        <w:t>[4]</w:t>
      </w:r>
      <w:r>
        <w:rPr>
          <w:rFonts w:hint="eastAsia" w:ascii="宋体" w:hAnsi="宋体" w:eastAsia="宋体" w:cs="宋体"/>
          <w:color w:val="FF0000"/>
        </w:rPr>
        <w:t>采用韩国国家韩医师执照考试（K-NLEKMD）评估GPT-4，结果显示模型虽能通过考试，但在本土化程度较高的科目上表现欠佳。曹露等</w:t>
      </w:r>
      <w:r>
        <w:rPr>
          <w:rFonts w:hint="eastAsia" w:eastAsia="宋体" w:cs="宋体"/>
          <w:color w:val="FF0000"/>
          <w:vertAlign w:val="superscript"/>
          <w:lang w:val="en-US" w:eastAsia="zh-CN"/>
        </w:rPr>
        <w:t>[5]</w:t>
      </w:r>
      <w:r>
        <w:rPr>
          <w:rFonts w:hint="eastAsia" w:ascii="宋体" w:hAnsi="宋体" w:eastAsia="宋体" w:cs="宋体"/>
          <w:color w:val="FF0000"/>
        </w:rPr>
        <w:t>构建了覆盖13个学科、近3万道题的测评基准，发现所有被测模型的选择题准确率均不足60%，提示通用模型在直接处理中医专业问题时存在显著困难。此类基准虽便于考查模型对事实性知识的记忆与简单应用，但难以有效反映中医辨证思维过程的复杂性与非线性特征。</w:t>
      </w:r>
    </w:p>
    <w:p w14:paraId="64E9316D">
      <w:pPr>
        <w:pStyle w:val="5"/>
        <w:bidi w:val="0"/>
        <w:rPr>
          <w:rFonts w:hint="eastAsia" w:ascii="宋体" w:hAnsi="宋体" w:eastAsia="宋体" w:cs="宋体"/>
        </w:rPr>
      </w:pPr>
      <w:r>
        <w:rPr>
          <w:rFonts w:hint="eastAsia" w:ascii="宋体" w:hAnsi="宋体" w:eastAsia="宋体" w:cs="宋体"/>
        </w:rPr>
        <w:t>3.1.2 辨证思维与临床推理专项基准</w:t>
      </w:r>
    </w:p>
    <w:p w14:paraId="5730712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为深入评测LLM的中医临床思维能力，研究者构建了更为复杂的数据集与评测范式。郝梦</w:t>
      </w:r>
      <w:r>
        <w:rPr>
          <w:rFonts w:hint="eastAsia" w:eastAsia="宋体" w:cs="宋体"/>
          <w:color w:val="FF0000"/>
          <w:vertAlign w:val="superscript"/>
          <w:lang w:val="en-US" w:eastAsia="zh-CN"/>
        </w:rPr>
        <w:t>[6]</w:t>
      </w:r>
      <w:r>
        <w:rPr>
          <w:rFonts w:hint="eastAsia" w:ascii="宋体" w:hAnsi="宋体" w:eastAsia="宋体" w:cs="宋体"/>
          <w:color w:val="FF0000"/>
        </w:rPr>
        <w:t>将中医辨证过程形式化为思维链（Chain-of-Thought），包含识别抽取、病机推断、证候推断、解释总结四个环节，建立了含900例标注病案的数据集及四维量化评估体系。Chen等</w:t>
      </w:r>
      <w:r>
        <w:rPr>
          <w:rFonts w:hint="eastAsia" w:eastAsia="宋体" w:cs="宋体"/>
          <w:color w:val="FF0000"/>
          <w:vertAlign w:val="superscript"/>
          <w:lang w:val="en-US" w:eastAsia="zh-CN"/>
        </w:rPr>
        <w:t>[7]</w:t>
      </w:r>
      <w:r>
        <w:rPr>
          <w:rFonts w:hint="eastAsia" w:ascii="宋体" w:hAnsi="宋体" w:eastAsia="宋体" w:cs="宋体"/>
          <w:color w:val="FF0000"/>
        </w:rPr>
        <w:t>将辨证能力分解为病机推断、证候推断和诊疗建议三个核心任务，并构建了相应的评估数据集。DiagX-DT框架</w:t>
      </w:r>
      <w:r>
        <w:rPr>
          <w:rFonts w:hint="eastAsia" w:eastAsia="宋体" w:cs="宋体"/>
          <w:color w:val="FF0000"/>
          <w:vertAlign w:val="superscript"/>
          <w:lang w:val="en-US" w:eastAsia="zh-CN"/>
        </w:rPr>
        <w:t>[8]</w:t>
      </w:r>
      <w:r>
        <w:rPr>
          <w:rFonts w:hint="eastAsia" w:ascii="宋体" w:hAnsi="宋体" w:eastAsia="宋体" w:cs="宋体"/>
          <w:color w:val="FF0000"/>
        </w:rPr>
        <w:t>在诊断选择数据集上融合辨证思维与排除推理，旨在提升诊断准确性。近期评测开始从静态病案向动态交互场景过渡：ATCMD-Bench采用多智能体模拟构建动态诊断环境</w:t>
      </w:r>
      <w:r>
        <w:rPr>
          <w:rFonts w:hint="eastAsia" w:eastAsia="宋体" w:cs="宋体"/>
          <w:color w:val="FF0000"/>
          <w:vertAlign w:val="superscript"/>
          <w:lang w:val="en-US" w:eastAsia="zh-CN"/>
        </w:rPr>
        <w:t>[9]</w:t>
      </w:r>
      <w:r>
        <w:rPr>
          <w:rFonts w:hint="eastAsia" w:ascii="宋体" w:hAnsi="宋体" w:eastAsia="宋体" w:cs="宋体"/>
          <w:color w:val="FF0000"/>
        </w:rPr>
        <w:t>；DCB覆盖问诊、辨证、处方、分析全流程，并引入扰动因素以模拟真实接诊场景</w:t>
      </w:r>
      <w:r>
        <w:rPr>
          <w:rFonts w:hint="eastAsia" w:eastAsia="宋体" w:cs="宋体"/>
          <w:color w:val="FF0000"/>
          <w:vertAlign w:val="superscript"/>
          <w:lang w:val="en-US" w:eastAsia="zh-CN"/>
        </w:rPr>
        <w:t>[10]</w:t>
      </w:r>
      <w:r>
        <w:rPr>
          <w:rFonts w:hint="eastAsia" w:ascii="宋体" w:hAnsi="宋体" w:eastAsia="宋体" w:cs="宋体"/>
          <w:color w:val="FF0000"/>
        </w:rPr>
        <w:t>。</w:t>
      </w:r>
    </w:p>
    <w:p w14:paraId="79B49DF0">
      <w:pPr>
        <w:pStyle w:val="5"/>
        <w:bidi w:val="0"/>
        <w:rPr>
          <w:rFonts w:hint="eastAsia" w:ascii="宋体" w:hAnsi="宋体" w:eastAsia="宋体" w:cs="宋体"/>
        </w:rPr>
      </w:pPr>
      <w:r>
        <w:rPr>
          <w:rFonts w:hint="eastAsia" w:ascii="宋体" w:hAnsi="宋体" w:eastAsia="宋体" w:cs="宋体"/>
        </w:rPr>
        <w:t>3.1.3 安全与特定任务专项基准</w:t>
      </w:r>
    </w:p>
    <w:p w14:paraId="47284F41">
      <w:pPr>
        <w:rPr>
          <w:rFonts w:hint="eastAsia" w:ascii="宋体" w:hAnsi="宋体" w:eastAsia="宋体" w:cs="宋体"/>
        </w:rPr>
      </w:pPr>
    </w:p>
    <w:p w14:paraId="4682DCA9">
      <w:pPr>
        <w:spacing w:line="360" w:lineRule="auto"/>
        <w:ind w:firstLine="440" w:firstLineChars="200"/>
        <w:jc w:val="both"/>
        <w:rPr>
          <w:rFonts w:hint="default" w:ascii="Times New Roman" w:hAnsi="Times New Roman" w:eastAsia="宋体" w:cs="Times New Roman"/>
          <w:color w:val="FF0000"/>
        </w:rPr>
      </w:pPr>
      <w:r>
        <w:rPr>
          <w:rFonts w:hint="default" w:ascii="Times New Roman" w:hAnsi="Times New Roman" w:eastAsia="宋体" w:cs="Times New Roman"/>
          <w:color w:val="FF0000"/>
        </w:rPr>
        <w:t>随着对模型安全性的日益重视，针对特定风险的专项基准陆续涌现。Zheng等</w:t>
      </w:r>
      <w:r>
        <w:rPr>
          <w:rFonts w:hint="default" w:ascii="Times New Roman" w:hAnsi="Times New Roman" w:eastAsia="宋体" w:cs="Times New Roman"/>
          <w:color w:val="FF0000"/>
          <w:vertAlign w:val="superscript"/>
          <w:lang w:val="en-US" w:eastAsia="zh-CN"/>
        </w:rPr>
        <w:t>[11]</w:t>
      </w:r>
      <w:r>
        <w:rPr>
          <w:rFonts w:hint="default" w:ascii="Times New Roman" w:hAnsi="Times New Roman" w:eastAsia="宋体" w:cs="Times New Roman"/>
          <w:color w:val="FF0000"/>
        </w:rPr>
        <w:t>指出医学LLM存在“正负向能力鸿沟”</w: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模型善于选出正确答案，却难以识别错误信息</w: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rPr>
        <w:t>据此设计了包含标准题、错误选项测试、误导性引导测试及虚构实体测试四种范式的安全评估框架。Wang等</w:t>
      </w:r>
      <w:r>
        <w:rPr>
          <w:rFonts w:hint="default" w:ascii="Times New Roman" w:hAnsi="Times New Roman" w:eastAsia="宋体" w:cs="Times New Roman"/>
          <w:color w:val="FF0000"/>
          <w:vertAlign w:val="superscript"/>
          <w:lang w:val="en-US" w:eastAsia="zh-CN"/>
        </w:rPr>
        <w:t>[12]</w:t>
      </w:r>
      <w:r>
        <w:rPr>
          <w:rFonts w:hint="default" w:ascii="Times New Roman" w:hAnsi="Times New Roman" w:eastAsia="宋体" w:cs="Times New Roman"/>
          <w:color w:val="FF0000"/>
        </w:rPr>
        <w:t>面向中药处方审核这一高风险场景，构建了TCMEval-PA基准，涵盖处方规范性、适宜性等安全维度。TCM-Align框架</w:t>
      </w:r>
      <w:r>
        <w:rPr>
          <w:rFonts w:hint="default" w:ascii="Times New Roman" w:hAnsi="Times New Roman" w:eastAsia="宋体" w:cs="Times New Roman"/>
          <w:color w:val="FF0000"/>
          <w:vertAlign w:val="superscript"/>
          <w:lang w:val="en-US" w:eastAsia="zh-CN"/>
        </w:rPr>
        <w:t>[13]</w:t>
      </w:r>
      <w:r>
        <w:rPr>
          <w:rFonts w:hint="default" w:ascii="Times New Roman" w:hAnsi="Times New Roman" w:eastAsia="宋体" w:cs="Times New Roman"/>
          <w:color w:val="FF0000"/>
        </w:rPr>
        <w:t>可从教材自动生成与课程大纲对齐的多项选择题，并设计含源一致性准确度在内的六项指标，为教育应用提供数据生成与评测工具。</w:t>
      </w:r>
    </w:p>
    <w:p w14:paraId="47D68DB7">
      <w:pPr>
        <w:pStyle w:val="5"/>
        <w:bidi w:val="0"/>
        <w:rPr>
          <w:rFonts w:hint="eastAsia" w:ascii="宋体" w:hAnsi="宋体" w:eastAsia="宋体" w:cs="宋体"/>
        </w:rPr>
      </w:pPr>
      <w:r>
        <w:rPr>
          <w:rFonts w:hint="eastAsia" w:ascii="宋体" w:hAnsi="宋体" w:eastAsia="宋体" w:cs="宋体"/>
        </w:rPr>
        <w:t>3.1.4 古汉语理解与多模态探索基准</w:t>
      </w:r>
    </w:p>
    <w:p w14:paraId="32780617">
      <w:pPr>
        <w:spacing w:line="360" w:lineRule="auto"/>
        <w:ind w:firstLine="440" w:firstLineChars="200"/>
        <w:jc w:val="both"/>
        <w:rPr>
          <w:rFonts w:hint="eastAsia" w:ascii="宋体" w:hAnsi="宋体" w:eastAsia="宋体" w:cs="宋体"/>
        </w:rPr>
      </w:pPr>
      <w:r>
        <w:rPr>
          <w:rFonts w:hint="default" w:ascii="Times New Roman" w:hAnsi="Times New Roman" w:eastAsia="宋体" w:cs="Times New Roman"/>
          <w:color w:val="FF0000"/>
        </w:rPr>
        <w:t>大量中医药知识以文言文形式存于古籍之中，对LLM的古汉语理解能力提出特殊要求。赵尚卿等</w:t>
      </w:r>
      <w:r>
        <w:rPr>
          <w:rFonts w:hint="default" w:ascii="Times New Roman" w:hAnsi="Times New Roman" w:eastAsia="宋体" w:cs="Times New Roman"/>
          <w:color w:val="FF0000"/>
          <w:vertAlign w:val="superscript"/>
          <w:lang w:val="en-US" w:eastAsia="zh-CN"/>
        </w:rPr>
        <w:t>[14]</w:t>
      </w:r>
      <w:r>
        <w:rPr>
          <w:rFonts w:hint="default" w:ascii="Times New Roman" w:hAnsi="Times New Roman" w:eastAsia="宋体" w:cs="Times New Roman"/>
          <w:color w:val="FF0000"/>
        </w:rPr>
        <w:t>提出的“负屃”基准评估了LLM在古汉语文本理解与生成方面的能力，发现模型在需要专业知识和文化背景的生成任务上性能显著下降，这直接影响LLM对中医古籍知识的有效挖掘。多模态评测亦已起步</w:t>
      </w:r>
      <w:r>
        <w:rPr>
          <w:rFonts w:hint="default" w:ascii="Times New Roman" w:hAnsi="Times New Roman" w:eastAsia="宋体" w:cs="Times New Roman"/>
          <w:color w:val="FF0000"/>
          <w:lang w:eastAsia="zh-CN"/>
        </w:rPr>
        <w:t>，</w:t>
      </w:r>
      <w:r>
        <w:rPr>
          <w:rFonts w:hint="default" w:ascii="Times New Roman" w:hAnsi="Times New Roman" w:eastAsia="宋体" w:cs="Times New Roman"/>
          <w:color w:val="FF0000"/>
          <w:lang w:val="en-US" w:eastAsia="zh-CN"/>
        </w:rPr>
        <w:t>初显基本框架。</w:t>
      </w:r>
      <w:r>
        <w:rPr>
          <w:rFonts w:hint="default" w:ascii="Times New Roman" w:hAnsi="Times New Roman" w:eastAsia="宋体" w:cs="Times New Roman"/>
          <w:color w:val="FF0000"/>
        </w:rPr>
        <w:t>Yu等</w:t>
      </w:r>
      <w:r>
        <w:rPr>
          <w:rFonts w:hint="default" w:ascii="Times New Roman" w:hAnsi="Times New Roman" w:eastAsia="宋体" w:cs="Times New Roman"/>
          <w:color w:val="FF0000"/>
          <w:vertAlign w:val="superscript"/>
          <w:lang w:val="en-US" w:eastAsia="zh-CN"/>
        </w:rPr>
        <w:t>[15]</w:t>
      </w:r>
      <w:r>
        <w:rPr>
          <w:rFonts w:hint="default" w:ascii="Times New Roman" w:hAnsi="Times New Roman" w:eastAsia="宋体" w:cs="Times New Roman"/>
          <w:color w:val="FF0000"/>
        </w:rPr>
        <w:t>结合舌象与临床数据建立儿童过敏性鼻炎的寒热辨证模型；TongueVLM将视觉编码与语言模型相结合，面向舌象描述生成与体质推理</w:t>
      </w:r>
      <w:r>
        <w:rPr>
          <w:rFonts w:hint="default" w:ascii="Times New Roman" w:hAnsi="Times New Roman" w:eastAsia="宋体" w:cs="Times New Roman"/>
          <w:color w:val="FF0000"/>
          <w:vertAlign w:val="superscript"/>
          <w:lang w:val="en-US" w:eastAsia="zh-CN"/>
        </w:rPr>
        <w:t>[16]</w:t>
      </w:r>
      <w:r>
        <w:rPr>
          <w:rFonts w:hint="default" w:ascii="Times New Roman" w:hAnsi="Times New Roman" w:eastAsia="宋体" w:cs="Times New Roman"/>
          <w:color w:val="FF0000"/>
        </w:rPr>
        <w:t>；Fu等</w:t>
      </w:r>
      <w:r>
        <w:rPr>
          <w:rFonts w:hint="default" w:ascii="Times New Roman" w:hAnsi="Times New Roman" w:eastAsia="宋体" w:cs="Times New Roman"/>
          <w:color w:val="FF0000"/>
          <w:vertAlign w:val="superscript"/>
          <w:lang w:val="en-US" w:eastAsia="zh-CN"/>
        </w:rPr>
        <w:t>[17]</w:t>
      </w:r>
      <w:r>
        <w:rPr>
          <w:rFonts w:hint="default" w:ascii="Times New Roman" w:hAnsi="Times New Roman" w:eastAsia="宋体" w:cs="Times New Roman"/>
          <w:color w:val="FF0000"/>
        </w:rPr>
        <w:t>采用上下文多任务学习缓解舌诊中小样本标注不足的问题。总体而言，多数LLM评测仍局限于文本模态，多模态基准的数量与规模均明显不足，亟待加强建设。</w:t>
      </w:r>
      <w:r>
        <w:rPr>
          <w:rFonts w:hint="default" w:ascii="Times New Roman" w:hAnsi="Times New Roman" w:eastAsia="宋体" w:cs="Times New Roman"/>
        </w:rPr>
        <w:br w:type="page"/>
      </w:r>
    </w:p>
    <w:p w14:paraId="4C7953C2">
      <w:pPr>
        <w:pStyle w:val="4"/>
        <w:bidi w:val="0"/>
        <w:rPr>
          <w:rFonts w:hint="eastAsia" w:ascii="宋体" w:hAnsi="宋体" w:eastAsia="宋体" w:cs="宋体"/>
        </w:rPr>
      </w:pPr>
      <w:r>
        <w:rPr>
          <w:rFonts w:hint="eastAsia" w:ascii="宋体" w:hAnsi="宋体" w:eastAsia="宋体" w:cs="宋体"/>
        </w:rPr>
        <w:t>3.2 不同类型LLMs的性能评测比较</w:t>
      </w:r>
    </w:p>
    <w:p w14:paraId="05BB288B">
      <w:pPr>
        <w:spacing w:line="360" w:lineRule="auto"/>
        <w:ind w:firstLine="440" w:firstLineChars="200"/>
        <w:jc w:val="both"/>
        <w:rPr>
          <w:rFonts w:hint="default" w:ascii="Times New Roman" w:hAnsi="Times New Roman" w:eastAsia="宋体" w:cs="Times New Roman"/>
        </w:rPr>
      </w:pPr>
      <w:r>
        <w:rPr>
          <w:rFonts w:hint="default" w:ascii="Times New Roman" w:hAnsi="Times New Roman" w:eastAsia="宋体" w:cs="Times New Roman"/>
        </w:rPr>
        <w:t>在上述基准之上，多项研究对通用LLM、医学LLM与中医专用LLM进行了横向比较</w:t>
      </w:r>
      <w:r>
        <w:rPr>
          <w:rFonts w:hint="default" w:ascii="Times New Roman" w:hAnsi="Times New Roman" w:eastAsia="宋体" w:cs="Times New Roman"/>
          <w:color w:val="FF0000"/>
          <w:vertAlign w:val="superscript"/>
          <w:lang w:val="en-US" w:eastAsia="zh-CN"/>
        </w:rPr>
        <w:t>[18]</w:t>
      </w:r>
      <w:r>
        <w:rPr>
          <w:rFonts w:hint="default" w:ascii="Times New Roman" w:hAnsi="Times New Roman" w:eastAsia="宋体" w:cs="Times New Roman"/>
        </w:rPr>
        <w:t>，从知识回忆、临床推理、安全性、文化适应性四个维度刻画了不同模型的能力边界。</w:t>
      </w:r>
    </w:p>
    <w:p w14:paraId="28AE5F0F">
      <w:pPr>
        <w:pStyle w:val="5"/>
        <w:bidi w:val="0"/>
        <w:rPr>
          <w:rFonts w:hint="eastAsia" w:ascii="宋体" w:hAnsi="宋体" w:eastAsia="宋体" w:cs="宋体"/>
        </w:rPr>
      </w:pPr>
      <w:r>
        <w:rPr>
          <w:rFonts w:hint="eastAsia" w:ascii="宋体" w:hAnsi="宋体" w:eastAsia="宋体" w:cs="宋体"/>
        </w:rPr>
        <w:t>3.2.1 知识回忆能力</w:t>
      </w:r>
    </w:p>
    <w:p w14:paraId="7683C6FE">
      <w:pPr>
        <w:spacing w:line="360" w:lineRule="auto"/>
        <w:ind w:firstLine="440" w:firstLineChars="200"/>
        <w:jc w:val="both"/>
        <w:rPr>
          <w:rFonts w:hint="eastAsia" w:ascii="宋体" w:hAnsi="宋体" w:eastAsia="宋体" w:cs="宋体"/>
          <w:color w:val="FF0000"/>
        </w:rPr>
      </w:pPr>
      <w:r>
        <w:rPr>
          <w:rFonts w:hint="default" w:ascii="Times New Roman" w:hAnsi="Times New Roman" w:eastAsia="宋体" w:cs="Times New Roman"/>
          <w:color w:val="FF0000"/>
        </w:rPr>
        <w:t>通用LLM（GPT-4、ChatGLM、Baichuan、Qwen系列等）在中医基础知识问答和标准化考试中表现出较强的零样本/少样本学习能力。Li等</w:t>
      </w:r>
      <w:r>
        <w:rPr>
          <w:rFonts w:hint="default" w:ascii="Times New Roman" w:hAnsi="Times New Roman" w:eastAsia="宋体" w:cs="Times New Roman"/>
          <w:color w:val="FF0000"/>
          <w:vertAlign w:val="superscript"/>
          <w:lang w:val="en-US" w:eastAsia="zh-CN"/>
        </w:rPr>
        <w:t>[3]</w:t>
      </w:r>
      <w:r>
        <w:rPr>
          <w:rFonts w:hint="default" w:ascii="Times New Roman" w:hAnsi="Times New Roman" w:eastAsia="宋体" w:cs="Times New Roman"/>
          <w:color w:val="FF0000"/>
        </w:rPr>
        <w:t>对11个模型在801道教材题上的测试显示，大规模模型单选题准确率为69.01%</w:t>
      </w:r>
      <w:r>
        <w:rPr>
          <w:rFonts w:hint="default" w:ascii="Times New Roman" w:hAnsi="Times New Roman" w:eastAsia="宋体" w:cs="Times New Roman"/>
          <w:color w:val="FF0000"/>
          <w:lang w:val="en-US" w:eastAsia="zh-CN"/>
        </w:rPr>
        <w:t>~</w:t>
      </w:r>
      <w:r>
        <w:rPr>
          <w:rFonts w:hint="default" w:ascii="Times New Roman" w:hAnsi="Times New Roman" w:eastAsia="宋体" w:cs="Times New Roman"/>
          <w:color w:val="FF0000"/>
        </w:rPr>
        <w:t>90.92%，判断题准确率为52.34%~59.38%，但多选题准确率出现大幅下降。曹露等</w:t>
      </w:r>
      <w:r>
        <w:rPr>
          <w:rFonts w:hint="eastAsia" w:eastAsia="宋体" w:cs="宋体"/>
          <w:color w:val="FF0000"/>
          <w:vertAlign w:val="superscript"/>
          <w:lang w:val="en-US" w:eastAsia="zh-CN"/>
        </w:rPr>
        <w:t>[5]</w:t>
      </w:r>
      <w:r>
        <w:rPr>
          <w:rFonts w:hint="default" w:ascii="Times New Roman" w:hAnsi="Times New Roman" w:eastAsia="宋体" w:cs="Times New Roman"/>
          <w:color w:val="FF0000"/>
        </w:rPr>
        <w:t>基于13个学科近3万道题的评测发现，所有模型的选择题准确率均不足60%，</w:t>
      </w:r>
      <w:r>
        <w:rPr>
          <w:rFonts w:hint="eastAsia" w:ascii="Times New Roman" w:hAnsi="Times New Roman" w:eastAsia="宋体" w:cs="Times New Roman"/>
          <w:color w:val="FF0000"/>
          <w:lang w:val="en-US" w:eastAsia="zh-CN"/>
        </w:rPr>
        <w:t>其中</w:t>
      </w:r>
      <w:r>
        <w:rPr>
          <w:rFonts w:hint="default" w:ascii="Times New Roman" w:hAnsi="Times New Roman" w:eastAsia="宋体" w:cs="Times New Roman"/>
          <w:color w:val="FF0000"/>
        </w:rPr>
        <w:t>Baichuan单选题仅为36.07%。</w:t>
      </w:r>
      <w:r>
        <w:rPr>
          <w:rFonts w:hint="eastAsia" w:ascii="宋体" w:hAnsi="宋体" w:eastAsia="宋体" w:cs="宋体"/>
          <w:color w:val="FF0000"/>
        </w:rPr>
        <w:t>上述结果差异主要源于模型代际、题型难度、数据集来源及评测协议的不同。这一现象深刻揭示：脱离模型版本、题型设置和评测协议讨论准确率缺乏实质性意义，也反映出当前中医LLM评测领域缺少统一、可复现的标准协议。经过领域微调的中医专用LLM在知识回忆任务上通常优于同规模的通用基础模型TCMChat</w:t>
      </w:r>
      <w:r>
        <w:rPr>
          <w:rFonts w:hint="eastAsia" w:eastAsia="宋体" w:cs="宋体"/>
          <w:color w:val="FF0000"/>
          <w:vertAlign w:val="superscript"/>
          <w:lang w:val="en-US" w:eastAsia="zh-CN"/>
        </w:rPr>
        <w:t>[19]</w:t>
      </w:r>
      <w:r>
        <w:rPr>
          <w:rFonts w:hint="eastAsia" w:ascii="宋体" w:hAnsi="宋体" w:eastAsia="宋体" w:cs="宋体"/>
          <w:color w:val="FF0000"/>
        </w:rPr>
        <w:t>、XuanHuGPT</w:t>
      </w:r>
      <w:r>
        <w:rPr>
          <w:rFonts w:hint="eastAsia" w:eastAsia="宋体" w:cs="宋体"/>
          <w:color w:val="FF0000"/>
          <w:vertAlign w:val="superscript"/>
          <w:lang w:val="en-US" w:eastAsia="zh-CN"/>
        </w:rPr>
        <w:t>[20]</w:t>
      </w:r>
      <w:r>
        <w:rPr>
          <w:rFonts w:hint="eastAsia" w:ascii="宋体" w:hAnsi="宋体" w:eastAsia="宋体" w:cs="宋体"/>
          <w:color w:val="FF0000"/>
        </w:rPr>
        <w:t>、Qibo</w:t>
      </w:r>
      <w:r>
        <w:rPr>
          <w:rFonts w:hint="eastAsia" w:eastAsia="宋体" w:cs="宋体"/>
          <w:color w:val="FF0000"/>
          <w:vertAlign w:val="superscript"/>
          <w:lang w:val="en-US" w:eastAsia="zh-CN"/>
        </w:rPr>
        <w:t>[21]</w:t>
      </w:r>
      <w:r>
        <w:rPr>
          <w:rFonts w:hint="eastAsia" w:ascii="宋体" w:hAnsi="宋体" w:eastAsia="宋体" w:cs="宋体"/>
          <w:color w:val="FF0000"/>
        </w:rPr>
        <w:t>在各自基准上均表现更优。值得注意的是，Li等</w:t>
      </w:r>
      <w:r>
        <w:rPr>
          <w:rFonts w:hint="eastAsia" w:eastAsia="宋体" w:cs="宋体"/>
          <w:color w:val="FF0000"/>
          <w:vertAlign w:val="superscript"/>
          <w:lang w:val="en-US" w:eastAsia="zh-CN"/>
        </w:rPr>
        <w:t>[3]</w:t>
      </w:r>
      <w:r>
        <w:rPr>
          <w:rFonts w:hint="eastAsia" w:ascii="宋体" w:hAnsi="宋体" w:eastAsia="宋体" w:cs="宋体"/>
          <w:color w:val="FF0000"/>
        </w:rPr>
        <w:t>发现轻量级模型Qwen3-1.7B的表现超过了领域专用的TCMChat-7B，</w:t>
      </w:r>
      <w:r>
        <w:rPr>
          <w:rFonts w:hint="eastAsia" w:eastAsia="宋体" w:cs="宋体"/>
          <w:color w:val="FF0000"/>
          <w:lang w:val="en-US" w:eastAsia="zh-CN"/>
        </w:rPr>
        <w:t>提示</w:t>
      </w:r>
      <w:r>
        <w:rPr>
          <w:rFonts w:hint="eastAsia" w:ascii="宋体" w:hAnsi="宋体" w:eastAsia="宋体" w:cs="宋体"/>
          <w:color w:val="FF0000"/>
        </w:rPr>
        <w:t>有效的领域优化策略可能比单纯增大模型规模更具成本效益。</w:t>
      </w:r>
    </w:p>
    <w:p w14:paraId="7388B286">
      <w:pPr>
        <w:pStyle w:val="5"/>
        <w:bidi w:val="0"/>
        <w:rPr>
          <w:rFonts w:hint="eastAsia" w:ascii="宋体" w:hAnsi="宋体" w:eastAsia="宋体" w:cs="宋体"/>
        </w:rPr>
      </w:pPr>
      <w:r>
        <w:rPr>
          <w:rFonts w:hint="eastAsia" w:ascii="宋体" w:hAnsi="宋体" w:eastAsia="宋体" w:cs="宋体"/>
        </w:rPr>
        <w:t>3.2.2 临床推理能力</w:t>
      </w:r>
    </w:p>
    <w:p w14:paraId="6B7E93F3">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在需要综合知识进行临床推理的任务上，各类模型均面临显著挑战。症状诊断通常被视为难度最高的推理类别</w:t>
      </w:r>
      <w:r>
        <w:rPr>
          <w:rFonts w:hint="eastAsia" w:eastAsia="宋体" w:cs="宋体"/>
          <w:color w:val="FF0000"/>
          <w:vertAlign w:val="superscript"/>
          <w:lang w:val="en-US" w:eastAsia="zh-CN"/>
        </w:rPr>
        <w:t>[3]</w:t>
      </w:r>
      <w:r>
        <w:rPr>
          <w:rFonts w:hint="eastAsia" w:ascii="宋体" w:hAnsi="宋体" w:eastAsia="宋体" w:cs="宋体"/>
          <w:color w:val="FF0000"/>
        </w:rPr>
        <w:t>。Chen等</w:t>
      </w:r>
      <w:r>
        <w:rPr>
          <w:rFonts w:hint="eastAsia" w:eastAsia="宋体" w:cs="宋体"/>
          <w:color w:val="FF0000"/>
          <w:vertAlign w:val="superscript"/>
          <w:lang w:val="en-US" w:eastAsia="zh-CN"/>
        </w:rPr>
        <w:t>[7]</w:t>
      </w:r>
      <w:r>
        <w:rPr>
          <w:rFonts w:hint="eastAsia" w:ascii="宋体" w:hAnsi="宋体" w:eastAsia="宋体" w:cs="宋体"/>
          <w:color w:val="FF0000"/>
        </w:rPr>
        <w:t>的评估显示，未经优化的通用LLM和中医专用LLM在病机推断与证候推断上的准确率均较为有限，而采用其提出的“开卷考试式指令微调”方法后，模型性能获得显著提升。上述结果表明，单纯的知识灌输不足以使模型掌握中医辨证思维，需借助特定策略引导模型遵循中医逻辑进行多步推理。</w:t>
      </w:r>
    </w:p>
    <w:p w14:paraId="28639147">
      <w:pPr>
        <w:pStyle w:val="5"/>
        <w:bidi w:val="0"/>
        <w:rPr>
          <w:rFonts w:hint="eastAsia" w:ascii="宋体" w:hAnsi="宋体" w:eastAsia="宋体" w:cs="宋体"/>
        </w:rPr>
      </w:pPr>
      <w:r>
        <w:rPr>
          <w:rFonts w:hint="eastAsia" w:ascii="宋体" w:hAnsi="宋体" w:eastAsia="宋体" w:cs="宋体"/>
        </w:rPr>
        <w:t>3.2.3 安全性评估</w:t>
      </w:r>
    </w:p>
    <w:p w14:paraId="2435B611">
      <w:pPr>
        <w:spacing w:line="360" w:lineRule="auto"/>
        <w:ind w:firstLine="440" w:firstLineChars="200"/>
        <w:jc w:val="both"/>
        <w:rPr>
          <w:rFonts w:hint="eastAsia" w:ascii="宋体" w:hAnsi="宋体" w:eastAsia="宋体" w:cs="宋体"/>
        </w:rPr>
      </w:pPr>
      <w:r>
        <w:rPr>
          <w:rFonts w:hint="eastAsia" w:eastAsia="宋体" w:cs="宋体"/>
          <w:color w:val="FF0000"/>
          <w:lang w:val="en-US" w:eastAsia="zh-CN"/>
        </w:rPr>
        <w:t>部分模型在</w:t>
      </w:r>
      <w:r>
        <w:rPr>
          <w:rFonts w:hint="eastAsia" w:ascii="宋体" w:hAnsi="宋体" w:eastAsia="宋体" w:cs="宋体"/>
          <w:color w:val="FF0000"/>
        </w:rPr>
        <w:t>标准考试中表现良好，在错误信息检测任务上准确率降至20%</w:t>
      </w:r>
      <w:r>
        <w:rPr>
          <w:rFonts w:hint="eastAsia" w:eastAsia="宋体" w:cs="宋体"/>
          <w:color w:val="FF0000"/>
          <w:lang w:val="en-US" w:eastAsia="zh-CN"/>
        </w:rPr>
        <w:t>-</w:t>
      </w:r>
      <w:r>
        <w:rPr>
          <w:rFonts w:hint="eastAsia" w:ascii="宋体" w:hAnsi="宋体" w:eastAsia="宋体" w:cs="宋体"/>
          <w:color w:val="FF0000"/>
        </w:rPr>
        <w:t>39%</w:t>
      </w:r>
      <w:r>
        <w:rPr>
          <w:rFonts w:hint="eastAsia" w:eastAsia="宋体" w:cs="宋体"/>
          <w:color w:val="FF0000"/>
          <w:lang w:val="en-US" w:eastAsia="zh-CN"/>
        </w:rPr>
        <w:t>时，</w:t>
      </w:r>
      <w:r>
        <w:rPr>
          <w:rFonts w:hint="eastAsia" w:ascii="宋体" w:hAnsi="宋体" w:eastAsia="宋体" w:cs="宋体"/>
          <w:color w:val="FF0000"/>
        </w:rPr>
        <w:t>答题能力与真伪辨识能力之间存在显著落差</w:t>
      </w:r>
      <w:r>
        <w:rPr>
          <w:rFonts w:hint="eastAsia" w:eastAsia="宋体" w:cs="宋体"/>
          <w:color w:val="FF0000"/>
          <w:vertAlign w:val="superscript"/>
          <w:lang w:val="en-US" w:eastAsia="zh-CN"/>
        </w:rPr>
        <w:t>[11]</w:t>
      </w:r>
      <w:r>
        <w:rPr>
          <w:rFonts w:hint="eastAsia" w:ascii="宋体" w:hAnsi="宋体" w:eastAsia="宋体" w:cs="宋体"/>
          <w:color w:val="FF0000"/>
        </w:rPr>
        <w:t>。处方审核基准直接针对用药安全这一核心临床风险</w:t>
      </w:r>
      <w:r>
        <w:rPr>
          <w:rFonts w:hint="eastAsia" w:eastAsia="宋体" w:cs="宋体"/>
          <w:color w:val="FF0000"/>
          <w:vertAlign w:val="superscript"/>
          <w:lang w:val="en-US" w:eastAsia="zh-CN"/>
        </w:rPr>
        <w:t>[12]</w:t>
      </w:r>
      <w:r>
        <w:rPr>
          <w:rFonts w:hint="eastAsia" w:ascii="宋体" w:hAnsi="宋体" w:eastAsia="宋体" w:cs="宋体"/>
          <w:color w:val="FF0000"/>
        </w:rPr>
        <w:t>。Zhao等</w:t>
      </w:r>
      <w:r>
        <w:rPr>
          <w:rFonts w:hint="eastAsia" w:eastAsia="宋体" w:cs="宋体"/>
          <w:color w:val="FF0000"/>
          <w:vertAlign w:val="superscript"/>
          <w:lang w:val="en-US" w:eastAsia="zh-CN"/>
        </w:rPr>
        <w:t>[22]</w:t>
      </w:r>
      <w:r>
        <w:rPr>
          <w:rFonts w:hint="eastAsia" w:ascii="宋体" w:hAnsi="宋体" w:eastAsia="宋体" w:cs="宋体"/>
          <w:color w:val="FF0000"/>
        </w:rPr>
        <w:t>从临床实践指南符合度的角度评估了八个模型，发现其在用药安全提示与指南一致性方面表现参差不齐。其他评估也表明，即使模型通过了中医考试，其生成内容的内部逻辑一致性、与外部知识的一致性及安全性仍需严格审查</w:t>
      </w:r>
      <w:r>
        <w:rPr>
          <w:rFonts w:hint="eastAsia" w:eastAsia="宋体" w:cs="宋体"/>
          <w:color w:val="FF0000"/>
          <w:vertAlign w:val="superscript"/>
          <w:lang w:val="en-US" w:eastAsia="zh-CN"/>
        </w:rPr>
        <w:t>[23]</w:t>
      </w:r>
      <w:r>
        <w:rPr>
          <w:rFonts w:hint="eastAsia" w:ascii="宋体" w:hAnsi="宋体" w:eastAsia="宋体" w:cs="宋体"/>
          <w:color w:val="FF0000"/>
        </w:rPr>
        <w:t>。未来的评测应当将安全性置于与准确性同等、甚至更为优先的地位</w:t>
      </w:r>
      <w:r>
        <w:rPr>
          <w:rFonts w:hint="eastAsia" w:eastAsia="宋体" w:cs="宋体"/>
          <w:color w:val="FF0000"/>
          <w:vertAlign w:val="superscript"/>
          <w:lang w:val="en-US" w:eastAsia="zh-CN"/>
        </w:rPr>
        <w:t>[11]</w:t>
      </w:r>
      <w:r>
        <w:rPr>
          <w:rFonts w:hint="eastAsia" w:ascii="宋体" w:hAnsi="宋体" w:eastAsia="宋体" w:cs="宋体"/>
          <w:color w:val="FF0000"/>
        </w:rPr>
        <w:t>。</w:t>
      </w:r>
    </w:p>
    <w:p w14:paraId="3D535EC2">
      <w:pPr>
        <w:pStyle w:val="5"/>
        <w:bidi w:val="0"/>
        <w:rPr>
          <w:rFonts w:hint="eastAsia" w:ascii="宋体" w:hAnsi="宋体" w:eastAsia="宋体" w:cs="宋体"/>
        </w:rPr>
      </w:pPr>
      <w:r>
        <w:rPr>
          <w:rFonts w:hint="eastAsia" w:ascii="宋体" w:hAnsi="宋体" w:eastAsia="宋体" w:cs="宋体"/>
        </w:rPr>
        <w:t>3.2.4 文化适应性</w:t>
      </w:r>
    </w:p>
    <w:p w14:paraId="105CCBF4">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语言和文化背景显著影响模型表现。对GPT-4在韩</w:t>
      </w:r>
      <w:r>
        <w:rPr>
          <w:rFonts w:hint="eastAsia" w:eastAsia="宋体" w:cs="宋体"/>
          <w:color w:val="FF0000"/>
          <w:lang w:val="en-US" w:eastAsia="zh-CN"/>
        </w:rPr>
        <w:t>国</w:t>
      </w:r>
      <w:r>
        <w:rPr>
          <w:rFonts w:hint="eastAsia" w:ascii="宋体" w:hAnsi="宋体" w:eastAsia="宋体" w:cs="宋体"/>
          <w:color w:val="FF0000"/>
        </w:rPr>
        <w:t>医</w:t>
      </w:r>
      <w:r>
        <w:rPr>
          <w:rFonts w:hint="eastAsia" w:eastAsia="宋体" w:cs="宋体"/>
          <w:color w:val="FF0000"/>
          <w:lang w:val="en-US" w:eastAsia="zh-CN"/>
        </w:rPr>
        <w:t>师</w:t>
      </w:r>
      <w:r>
        <w:rPr>
          <w:rFonts w:hint="eastAsia" w:ascii="宋体" w:hAnsi="宋体" w:eastAsia="宋体" w:cs="宋体"/>
          <w:color w:val="FF0000"/>
        </w:rPr>
        <w:t>考试中评估反映出模型处理文化特定性医学知识时的困难</w:t>
      </w:r>
      <w:r>
        <w:rPr>
          <w:rFonts w:hint="eastAsia" w:eastAsia="宋体" w:cs="宋体"/>
          <w:color w:val="FF0000"/>
          <w:vertAlign w:val="superscript"/>
          <w:lang w:val="en-US" w:eastAsia="zh-CN"/>
        </w:rPr>
        <w:t>[4]</w:t>
      </w:r>
      <w:r>
        <w:rPr>
          <w:rFonts w:hint="eastAsia" w:ascii="宋体" w:hAnsi="宋体" w:eastAsia="宋体" w:cs="宋体"/>
          <w:color w:val="FF0000"/>
        </w:rPr>
        <w:t>；Ghanad等</w:t>
      </w:r>
      <w:r>
        <w:rPr>
          <w:rFonts w:hint="eastAsia" w:eastAsia="宋体" w:cs="宋体"/>
          <w:color w:val="FF0000"/>
          <w:vertAlign w:val="superscript"/>
          <w:lang w:val="en-US" w:eastAsia="zh-CN"/>
        </w:rPr>
        <w:t>[24]</w:t>
      </w:r>
      <w:r>
        <w:rPr>
          <w:rFonts w:hint="eastAsia" w:ascii="宋体" w:hAnsi="宋体" w:eastAsia="宋体" w:cs="宋体"/>
          <w:color w:val="FF0000"/>
        </w:rPr>
        <w:t>比较GPT与ERNIE在中国中医执业医师考试上的表现，国产ERNIE-4.0以81.7%领先，高于GPT-4 turbo的50.7%，而在西医内科题上各模型差距很小。Zhu等</w:t>
      </w:r>
      <w:r>
        <w:rPr>
          <w:rFonts w:hint="eastAsia" w:eastAsia="宋体" w:cs="宋体"/>
          <w:color w:val="FF0000"/>
          <w:vertAlign w:val="superscript"/>
          <w:lang w:val="en-US" w:eastAsia="zh-CN"/>
        </w:rPr>
        <w:t>[25]</w:t>
      </w:r>
      <w:r>
        <w:rPr>
          <w:rFonts w:hint="eastAsia" w:ascii="宋体" w:hAnsi="宋体" w:eastAsia="宋体" w:cs="宋体"/>
          <w:color w:val="FF0000"/>
        </w:rPr>
        <w:t>进一步指出不同国家研发的模型在中医任务上存在偏差，强调了本地化模型的必要性。</w:t>
      </w:r>
      <w:r>
        <w:rPr>
          <w:rFonts w:hint="eastAsia" w:eastAsia="宋体" w:cs="宋体"/>
          <w:color w:val="FF0000"/>
          <w:lang w:val="en-US" w:eastAsia="zh-CN"/>
        </w:rPr>
        <w:t>研究表明，大部分</w:t>
      </w:r>
      <w:r>
        <w:rPr>
          <w:rFonts w:hint="eastAsia" w:ascii="宋体" w:hAnsi="宋体" w:eastAsia="宋体" w:cs="宋体"/>
          <w:color w:val="FF0000"/>
        </w:rPr>
        <w:t>模型在中文提示下表现更好</w:t>
      </w:r>
      <w:r>
        <w:rPr>
          <w:rFonts w:hint="eastAsia" w:eastAsia="宋体" w:cs="宋体"/>
          <w:color w:val="FF0000"/>
          <w:lang w:eastAsia="zh-CN"/>
        </w:rPr>
        <w:t>，</w:t>
      </w:r>
      <w:r>
        <w:rPr>
          <w:rFonts w:hint="eastAsia" w:eastAsia="宋体" w:cs="宋体"/>
          <w:color w:val="FF0000"/>
          <w:lang w:val="en-US" w:eastAsia="zh-CN"/>
        </w:rPr>
        <w:t>因此</w:t>
      </w:r>
      <w:r>
        <w:rPr>
          <w:rFonts w:hint="eastAsia" w:ascii="宋体" w:hAnsi="宋体" w:eastAsia="宋体" w:cs="宋体"/>
          <w:color w:val="FF0000"/>
        </w:rPr>
        <w:t>要构建具备跨文化中医药服务能力的LLM，评测数据需覆盖多语言和多地域场景。</w:t>
      </w:r>
      <w:r>
        <w:rPr>
          <w:rFonts w:hint="eastAsia" w:ascii="宋体" w:hAnsi="宋体" w:eastAsia="宋体" w:cs="宋体"/>
        </w:rPr>
        <w:br w:type="page"/>
      </w:r>
    </w:p>
    <w:p w14:paraId="4DF1A7A0">
      <w:pPr>
        <w:pStyle w:val="4"/>
        <w:bidi w:val="0"/>
        <w:rPr>
          <w:rFonts w:hint="eastAsia" w:ascii="宋体" w:hAnsi="宋体" w:eastAsia="宋体" w:cs="宋体"/>
        </w:rPr>
      </w:pPr>
      <w:r>
        <w:rPr>
          <w:rFonts w:hint="eastAsia" w:ascii="宋体" w:hAnsi="宋体" w:eastAsia="宋体" w:cs="宋体"/>
        </w:rPr>
        <w:t>3.3 中医药核心场景下的评测实践</w:t>
      </w:r>
    </w:p>
    <w:p w14:paraId="77C6A827">
      <w:pPr>
        <w:spacing w:line="360" w:lineRule="auto"/>
        <w:ind w:firstLine="440" w:firstLineChars="200"/>
        <w:rPr>
          <w:rFonts w:hint="eastAsia" w:ascii="宋体" w:hAnsi="宋体" w:eastAsia="宋体" w:cs="宋体"/>
        </w:rPr>
      </w:pPr>
      <w:r>
        <w:rPr>
          <w:rFonts w:hint="eastAsia" w:ascii="宋体" w:hAnsi="宋体" w:eastAsia="宋体" w:cs="宋体"/>
          <w:color w:val="FF0000"/>
        </w:rPr>
        <w:t>除横向比较模型能力外，评测还用于检验集成系统在具体场景中的落地效果。关注点从单纯的答题准确率转向系统如何融合外部知识、与专家意见是否一致、能否支撑完整诊疗流程。</w:t>
      </w:r>
    </w:p>
    <w:p w14:paraId="2A1953C8">
      <w:pPr>
        <w:pStyle w:val="6"/>
        <w:rPr>
          <w:rFonts w:hint="eastAsia" w:ascii="宋体" w:hAnsi="宋体" w:eastAsia="宋体" w:cs="宋体"/>
          <w:i w:val="0"/>
          <w:iCs w:val="0"/>
        </w:rPr>
      </w:pPr>
      <w:r>
        <w:rPr>
          <w:rFonts w:hint="eastAsia" w:ascii="宋体" w:hAnsi="宋体" w:eastAsia="宋体" w:cs="宋体"/>
          <w:i w:val="0"/>
          <w:iCs w:val="0"/>
          <w:color w:val="000000"/>
        </w:rPr>
        <w:t>3.3.1 知识增强型问答与辨证系统</w:t>
      </w:r>
    </w:p>
    <w:p w14:paraId="72CF81BC">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为提升回答的准确性与可靠性，研究者多在LLM基础上引入知识库、知识图谱与检索增强生成（RAG）等技术。TCMChat</w:t>
      </w:r>
      <w:r>
        <w:rPr>
          <w:rFonts w:hint="eastAsia" w:eastAsia="宋体" w:cs="宋体"/>
          <w:color w:val="FF0000"/>
          <w:vertAlign w:val="superscript"/>
          <w:lang w:val="en-US" w:eastAsia="zh-CN"/>
        </w:rPr>
        <w:t>[19]</w:t>
      </w:r>
      <w:r>
        <w:rPr>
          <w:rFonts w:hint="eastAsia" w:ascii="宋体" w:hAnsi="宋体" w:eastAsia="宋体" w:cs="宋体"/>
          <w:color w:val="FF0000"/>
        </w:rPr>
        <w:t>、Tianyi</w:t>
      </w:r>
      <w:r>
        <w:rPr>
          <w:rFonts w:hint="eastAsia" w:eastAsia="宋体" w:cs="宋体"/>
          <w:color w:val="FF0000"/>
          <w:vertAlign w:val="superscript"/>
          <w:lang w:val="en-US" w:eastAsia="zh-CN"/>
        </w:rPr>
        <w:t>[26]</w:t>
      </w:r>
      <w:r>
        <w:rPr>
          <w:rFonts w:hint="eastAsia" w:ascii="宋体" w:hAnsi="宋体" w:eastAsia="宋体" w:cs="宋体"/>
          <w:color w:val="FF0000"/>
        </w:rPr>
        <w:t>、XuanHuGPT</w:t>
      </w:r>
      <w:r>
        <w:rPr>
          <w:rFonts w:hint="eastAsia" w:eastAsia="宋体" w:cs="宋体"/>
          <w:color w:val="FF0000"/>
          <w:vertAlign w:val="superscript"/>
          <w:lang w:val="en-US" w:eastAsia="zh-CN"/>
        </w:rPr>
        <w:t>[20]</w:t>
      </w:r>
      <w:r>
        <w:rPr>
          <w:rFonts w:hint="eastAsia" w:ascii="宋体" w:hAnsi="宋体" w:eastAsia="宋体" w:cs="宋体"/>
          <w:color w:val="FF0000"/>
        </w:rPr>
        <w:t>等中医专用模型以高质量知识库支撑问答；知识图谱增强的问答系统</w:t>
      </w:r>
      <w:r>
        <w:rPr>
          <w:rFonts w:hint="eastAsia" w:eastAsia="宋体" w:cs="宋体"/>
          <w:color w:val="FF0000"/>
          <w:vertAlign w:val="superscript"/>
          <w:lang w:val="en-US" w:eastAsia="zh-CN"/>
        </w:rPr>
        <w:t>[27]</w:t>
      </w:r>
      <w:r>
        <w:rPr>
          <w:rFonts w:hint="eastAsia" w:ascii="宋体" w:hAnsi="宋体" w:eastAsia="宋体" w:cs="宋体"/>
          <w:color w:val="FF0000"/>
        </w:rPr>
        <w:t>及融合知识图谱的医案问答系统</w:t>
      </w:r>
      <w:r>
        <w:rPr>
          <w:rFonts w:hint="eastAsia" w:eastAsia="宋体" w:cs="宋体"/>
          <w:color w:val="FF0000"/>
          <w:vertAlign w:val="superscript"/>
          <w:lang w:val="en-US" w:eastAsia="zh-CN"/>
        </w:rPr>
        <w:t>[28]</w:t>
      </w:r>
      <w:r>
        <w:rPr>
          <w:rFonts w:hint="eastAsia" w:ascii="宋体" w:hAnsi="宋体" w:eastAsia="宋体" w:cs="宋体"/>
          <w:color w:val="FF0000"/>
        </w:rPr>
        <w:t>通过结构化知识约束生成过程、减少模型臆测。在辨证方向，Lingdan通过思维链进行症状分析与中成药推荐</w:t>
      </w:r>
      <w:r>
        <w:rPr>
          <w:rFonts w:hint="eastAsia" w:eastAsia="宋体" w:cs="宋体"/>
          <w:color w:val="FF0000"/>
          <w:vertAlign w:val="superscript"/>
          <w:lang w:val="en-US" w:eastAsia="zh-CN"/>
        </w:rPr>
        <w:t>[29]</w:t>
      </w:r>
      <w:r>
        <w:rPr>
          <w:rFonts w:hint="eastAsia" w:ascii="宋体" w:hAnsi="宋体" w:eastAsia="宋体" w:cs="宋体"/>
          <w:color w:val="FF0000"/>
        </w:rPr>
        <w:t>；DiagX-DT融合外部知识库与排除推理机制用于诊断</w:t>
      </w:r>
      <w:r>
        <w:rPr>
          <w:rFonts w:hint="eastAsia" w:eastAsia="宋体" w:cs="宋体"/>
          <w:color w:val="FF0000"/>
          <w:vertAlign w:val="superscript"/>
          <w:lang w:val="en-US" w:eastAsia="zh-CN"/>
        </w:rPr>
        <w:t>[8]</w:t>
      </w:r>
      <w:r>
        <w:rPr>
          <w:rFonts w:hint="eastAsia" w:ascii="宋体" w:hAnsi="宋体" w:eastAsia="宋体" w:cs="宋体"/>
          <w:color w:val="FF0000"/>
        </w:rPr>
        <w:t>；AcuGPT-Agent面向针灸治疗不孕症场景集成了领域模型、知识图谱与检索机制</w:t>
      </w:r>
      <w:r>
        <w:rPr>
          <w:rFonts w:hint="eastAsia" w:eastAsia="宋体" w:cs="宋体"/>
          <w:color w:val="FF0000"/>
          <w:vertAlign w:val="superscript"/>
          <w:lang w:val="en-US" w:eastAsia="zh-CN"/>
        </w:rPr>
        <w:t>[30]</w:t>
      </w:r>
      <w:r>
        <w:rPr>
          <w:rFonts w:hint="eastAsia" w:ascii="宋体" w:hAnsi="宋体" w:eastAsia="宋体" w:cs="宋体"/>
          <w:color w:val="FF0000"/>
        </w:rPr>
        <w:t>。对该类系统的评测不仅关注准确率，更强调推理逻辑与专家意见之间的一致性。</w:t>
      </w:r>
    </w:p>
    <w:p w14:paraId="0F8DF223">
      <w:pPr>
        <w:pStyle w:val="6"/>
        <w:rPr>
          <w:rFonts w:hint="eastAsia" w:ascii="宋体" w:hAnsi="宋体" w:eastAsia="宋体" w:cs="宋体"/>
          <w:i w:val="0"/>
          <w:iCs w:val="0"/>
        </w:rPr>
      </w:pPr>
      <w:r>
        <w:rPr>
          <w:rFonts w:hint="eastAsia" w:ascii="宋体" w:hAnsi="宋体" w:eastAsia="宋体" w:cs="宋体"/>
          <w:i w:val="0"/>
          <w:iCs w:val="0"/>
          <w:color w:val="000000"/>
        </w:rPr>
        <w:t>3.3.2 处方审核与方剂应用</w:t>
      </w:r>
    </w:p>
    <w:p w14:paraId="22B6D1D6">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Wang等</w:t>
      </w:r>
      <w:r>
        <w:rPr>
          <w:rFonts w:hint="eastAsia" w:eastAsia="宋体" w:cs="宋体"/>
          <w:color w:val="FF0000"/>
          <w:vertAlign w:val="superscript"/>
          <w:lang w:val="en-US" w:eastAsia="zh-CN"/>
        </w:rPr>
        <w:t>[31]</w:t>
      </w:r>
      <w:r>
        <w:rPr>
          <w:rFonts w:hint="eastAsia" w:ascii="宋体" w:hAnsi="宋体" w:eastAsia="宋体" w:cs="宋体"/>
          <w:color w:val="FF0000"/>
        </w:rPr>
        <w:t>采用加权投票集成多个微调LLM进行方剂分类，提高了分类准确性</w:t>
      </w:r>
      <w:r>
        <w:rPr>
          <w:rFonts w:hint="eastAsia" w:eastAsia="宋体" w:cs="宋体"/>
          <w:color w:val="FF0000"/>
          <w:lang w:eastAsia="zh-CN"/>
        </w:rPr>
        <w:t>；</w:t>
      </w:r>
      <w:r>
        <w:rPr>
          <w:rFonts w:hint="eastAsia" w:ascii="宋体" w:hAnsi="宋体" w:eastAsia="宋体" w:cs="宋体"/>
          <w:color w:val="FF0000"/>
        </w:rPr>
        <w:t>Lingdan在草药处方推荐任务上取得了领先性能</w:t>
      </w:r>
      <w:r>
        <w:rPr>
          <w:rFonts w:hint="eastAsia" w:eastAsia="宋体" w:cs="宋体"/>
          <w:color w:val="FF0000"/>
          <w:vertAlign w:val="superscript"/>
          <w:lang w:val="en-US" w:eastAsia="zh-CN"/>
        </w:rPr>
        <w:t>[29]</w:t>
      </w:r>
      <w:r>
        <w:rPr>
          <w:rFonts w:hint="eastAsia" w:ascii="宋体" w:hAnsi="宋体" w:eastAsia="宋体" w:cs="宋体"/>
          <w:color w:val="FF0000"/>
        </w:rPr>
        <w:t>；TCMEval-PA基准用于评估模型审核处方安全性的能力</w:t>
      </w:r>
      <w:r>
        <w:rPr>
          <w:rFonts w:hint="eastAsia" w:eastAsia="宋体" w:cs="宋体"/>
          <w:color w:val="FF0000"/>
          <w:vertAlign w:val="superscript"/>
          <w:lang w:val="en-US" w:eastAsia="zh-CN"/>
        </w:rPr>
        <w:t>[12]</w:t>
      </w:r>
      <w:r>
        <w:rPr>
          <w:rFonts w:hint="eastAsia" w:ascii="宋体" w:hAnsi="宋体" w:eastAsia="宋体" w:cs="宋体"/>
          <w:color w:val="FF0000"/>
        </w:rPr>
        <w:t>。上述评测着重考查模型对中药配伍禁忌、证候与方药对应关系等复杂知识的掌握程度与临床决策合理性。</w:t>
      </w:r>
    </w:p>
    <w:p w14:paraId="05CA6004">
      <w:pPr>
        <w:rPr>
          <w:rFonts w:hint="eastAsia" w:ascii="宋体" w:hAnsi="宋体" w:eastAsia="宋体" w:cs="宋体"/>
        </w:rPr>
      </w:pPr>
    </w:p>
    <w:p w14:paraId="7C60E9CA">
      <w:pPr>
        <w:pStyle w:val="6"/>
        <w:rPr>
          <w:rFonts w:hint="eastAsia" w:ascii="宋体" w:hAnsi="宋体" w:eastAsia="宋体" w:cs="宋体"/>
          <w:i w:val="0"/>
          <w:iCs w:val="0"/>
          <w:color w:val="000000"/>
        </w:rPr>
      </w:pPr>
      <w:r>
        <w:rPr>
          <w:rFonts w:hint="eastAsia" w:ascii="宋体" w:hAnsi="宋体" w:eastAsia="宋体" w:cs="宋体"/>
          <w:i w:val="0"/>
          <w:iCs w:val="0"/>
          <w:color w:val="000000"/>
        </w:rPr>
        <w:t>3.3.3 多模态与真实交互场景</w:t>
      </w:r>
    </w:p>
    <w:p w14:paraId="4509C2FF">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中医诊疗有赖于望闻问切的多感官信息获取，相关系统与评测正逐步向多模态和交互式方向延伸。TongueVLM面向舌象描述与体质推理，模拟医师依据舌象特征进行专业对话</w:t>
      </w:r>
      <w:r>
        <w:rPr>
          <w:rFonts w:hint="eastAsia" w:eastAsia="宋体" w:cs="宋体"/>
          <w:color w:val="FF0000"/>
          <w:vertAlign w:val="superscript"/>
          <w:lang w:val="en-US" w:eastAsia="zh-CN"/>
        </w:rPr>
        <w:t>[16]</w:t>
      </w:r>
      <w:r>
        <w:rPr>
          <w:rFonts w:hint="eastAsia" w:ascii="宋体" w:hAnsi="宋体" w:eastAsia="宋体" w:cs="宋体"/>
          <w:color w:val="FF0000"/>
        </w:rPr>
        <w:t>；DCB等动态基准以医患对话形式还原接诊过程</w:t>
      </w:r>
      <w:r>
        <w:rPr>
          <w:rFonts w:hint="eastAsia" w:eastAsia="宋体" w:cs="宋体"/>
          <w:color w:val="FF0000"/>
          <w:vertAlign w:val="superscript"/>
          <w:lang w:val="en-US" w:eastAsia="zh-CN"/>
        </w:rPr>
        <w:t>[10]</w:t>
      </w:r>
      <w:r>
        <w:rPr>
          <w:rFonts w:hint="eastAsia" w:ascii="宋体" w:hAnsi="宋体" w:eastAsia="宋体" w:cs="宋体"/>
          <w:color w:val="FF0000"/>
        </w:rPr>
        <w:t>。此类场景对模型的跨模态理解和多轮交互能力提出了超越文本问答的新要求。</w:t>
      </w:r>
    </w:p>
    <w:p w14:paraId="0A058F72">
      <w:pPr>
        <w:rPr>
          <w:rFonts w:hint="eastAsia" w:ascii="宋体" w:hAnsi="宋体" w:eastAsia="宋体" w:cs="宋体"/>
        </w:rPr>
      </w:pPr>
    </w:p>
    <w:p w14:paraId="7084A33D">
      <w:pPr>
        <w:pStyle w:val="6"/>
        <w:rPr>
          <w:rFonts w:hint="eastAsia" w:ascii="宋体" w:hAnsi="宋体" w:eastAsia="宋体" w:cs="宋体"/>
          <w:i w:val="0"/>
          <w:iCs w:val="0"/>
          <w:color w:val="000000"/>
        </w:rPr>
      </w:pPr>
      <w:r>
        <w:rPr>
          <w:rFonts w:hint="eastAsia" w:ascii="宋体" w:hAnsi="宋体" w:eastAsia="宋体" w:cs="宋体"/>
          <w:i w:val="0"/>
          <w:iCs w:val="0"/>
          <w:color w:val="000000"/>
        </w:rPr>
        <w:t>3.3.4 教育与考试辅助</w:t>
      </w:r>
    </w:p>
    <w:p w14:paraId="29DBD9C0">
      <w:pPr>
        <w:spacing w:line="360" w:lineRule="auto"/>
        <w:ind w:firstLine="440" w:firstLineChars="200"/>
        <w:rPr>
          <w:rFonts w:hint="eastAsia" w:ascii="宋体" w:hAnsi="宋体" w:eastAsia="宋体" w:cs="宋体"/>
          <w:color w:val="FF0000"/>
        </w:rPr>
      </w:pPr>
      <w:r>
        <w:rPr>
          <w:rFonts w:hint="eastAsia" w:ascii="宋体" w:hAnsi="宋体" w:eastAsia="宋体" w:cs="宋体"/>
          <w:color w:val="FF0000"/>
        </w:rPr>
        <w:t>TCM-Align可自动生成与课程大纲对齐的多项选择题</w:t>
      </w:r>
      <w:r>
        <w:rPr>
          <w:rFonts w:hint="eastAsia" w:eastAsia="宋体" w:cs="宋体"/>
          <w:color w:val="FF0000"/>
          <w:vertAlign w:val="superscript"/>
          <w:lang w:val="en-US" w:eastAsia="zh-CN"/>
        </w:rPr>
        <w:t>[13]</w:t>
      </w:r>
      <w:r>
        <w:rPr>
          <w:rFonts w:hint="eastAsia" w:ascii="宋体" w:hAnsi="宋体" w:eastAsia="宋体" w:cs="宋体"/>
          <w:color w:val="FF0000"/>
        </w:rPr>
        <w:t>。多项研究评估了LLM在中医研究生、执业医师考试中的表现</w:t>
      </w:r>
      <w:r>
        <w:rPr>
          <w:rFonts w:hint="eastAsia" w:eastAsia="宋体" w:cs="宋体"/>
          <w:color w:val="FF0000"/>
          <w:vertAlign w:val="superscript"/>
          <w:lang w:val="en-US" w:eastAsia="zh-CN"/>
        </w:rPr>
        <w:t>[23]</w:t>
      </w:r>
      <w:r>
        <w:rPr>
          <w:rFonts w:hint="eastAsia" w:ascii="宋体" w:hAnsi="宋体" w:eastAsia="宋体" w:cs="宋体"/>
          <w:color w:val="FF0000"/>
        </w:rPr>
        <w:t>，除答题正确率外，还分析其解题逻辑和信息使用方式，以评估其作为教育工具的可行性与潜在风险。</w:t>
      </w:r>
    </w:p>
    <w:p w14:paraId="18487CCA">
      <w:pPr>
        <w:rPr>
          <w:rFonts w:hint="eastAsia" w:ascii="宋体" w:hAnsi="宋体" w:eastAsia="宋体" w:cs="宋体"/>
        </w:rPr>
      </w:pPr>
    </w:p>
    <w:p w14:paraId="55B8EF5A">
      <w:pPr>
        <w:pStyle w:val="6"/>
        <w:rPr>
          <w:rFonts w:hint="eastAsia" w:ascii="宋体" w:hAnsi="宋体" w:eastAsia="宋体" w:cs="宋体"/>
          <w:i w:val="0"/>
          <w:iCs w:val="0"/>
          <w:color w:val="000000"/>
        </w:rPr>
      </w:pPr>
      <w:r>
        <w:rPr>
          <w:rFonts w:hint="eastAsia" w:ascii="宋体" w:hAnsi="宋体" w:eastAsia="宋体" w:cs="宋体"/>
          <w:i w:val="0"/>
          <w:iCs w:val="0"/>
          <w:color w:val="000000"/>
        </w:rPr>
        <w:t>3.3.5 科研与知识发现</w:t>
      </w:r>
    </w:p>
    <w:p w14:paraId="2C51C0DE">
      <w:pPr>
        <w:spacing w:line="360" w:lineRule="auto"/>
        <w:ind w:firstLine="440" w:firstLineChars="200"/>
        <w:rPr>
          <w:rFonts w:hint="eastAsia" w:ascii="宋体" w:hAnsi="宋体" w:eastAsia="宋体" w:cs="宋体"/>
        </w:rPr>
      </w:pPr>
      <w:r>
        <w:rPr>
          <w:rFonts w:hint="eastAsia" w:eastAsia="宋体" w:cs="宋体"/>
          <w:color w:val="FF0000"/>
          <w:lang w:val="en-US" w:eastAsia="zh-CN"/>
        </w:rPr>
        <w:t>研究表明</w:t>
      </w:r>
      <w:r>
        <w:rPr>
          <w:rFonts w:hint="eastAsia" w:eastAsia="宋体" w:cs="宋体"/>
          <w:color w:val="FF0000"/>
          <w:vertAlign w:val="superscript"/>
          <w:lang w:val="en-US" w:eastAsia="zh-CN"/>
        </w:rPr>
        <w:t>[32]</w:t>
      </w:r>
      <w:r>
        <w:rPr>
          <w:rFonts w:hint="eastAsia" w:eastAsia="宋体" w:cs="宋体"/>
          <w:color w:val="FF0000"/>
          <w:vertAlign w:val="baseline"/>
          <w:lang w:val="en-US" w:eastAsia="zh-CN"/>
        </w:rPr>
        <w:t>，</w:t>
      </w:r>
      <w:r>
        <w:rPr>
          <w:rFonts w:hint="eastAsia" w:ascii="宋体" w:hAnsi="宋体" w:eastAsia="宋体" w:cs="宋体"/>
          <w:color w:val="FF0000"/>
        </w:rPr>
        <w:t>TEmbed-DDI利用LLM嵌入和双向神经网络进行跨领域药物相互作用注释，展示LLM在发现潜在药物相互作用方面的能力。Xu等</w:t>
      </w:r>
      <w:r>
        <w:rPr>
          <w:rFonts w:hint="eastAsia" w:eastAsia="宋体" w:cs="宋体"/>
          <w:color w:val="FF0000"/>
          <w:vertAlign w:val="superscript"/>
          <w:lang w:val="en-US" w:eastAsia="zh-CN"/>
        </w:rPr>
        <w:t>[33]</w:t>
      </w:r>
      <w:r>
        <w:rPr>
          <w:rFonts w:hint="eastAsia" w:ascii="宋体" w:hAnsi="宋体" w:eastAsia="宋体" w:cs="宋体"/>
          <w:color w:val="FF0000"/>
        </w:rPr>
        <w:t>提出的字符级卷积循环交互网络（CCRIN）可从中医临床文本中联合抽取实体和关系，为构建知识图谱提供支持。</w:t>
      </w:r>
      <w:r>
        <w:rPr>
          <w:rFonts w:hint="eastAsia" w:ascii="宋体" w:hAnsi="宋体" w:eastAsia="宋体" w:cs="宋体"/>
        </w:rPr>
        <w:br w:type="page"/>
      </w:r>
    </w:p>
    <w:p w14:paraId="6BBE1C27">
      <w:pPr>
        <w:pStyle w:val="4"/>
        <w:rPr>
          <w:rFonts w:hint="eastAsia" w:ascii="宋体" w:hAnsi="宋体" w:eastAsia="宋体" w:cs="宋体"/>
        </w:rPr>
      </w:pPr>
      <w:r>
        <w:rPr>
          <w:rFonts w:hint="eastAsia" w:ascii="宋体" w:hAnsi="宋体" w:eastAsia="宋体" w:cs="宋体"/>
          <w:color w:val="000000"/>
        </w:rPr>
        <w:t>4 现有评测体系的主要局限及方法学反思</w:t>
      </w:r>
    </w:p>
    <w:p w14:paraId="04E356F1">
      <w:pPr>
        <w:spacing w:line="360" w:lineRule="auto"/>
        <w:ind w:firstLine="440" w:firstLineChars="200"/>
        <w:jc w:val="both"/>
        <w:rPr>
          <w:rFonts w:hint="eastAsia" w:ascii="宋体" w:hAnsi="宋体" w:eastAsia="宋体" w:cs="宋体"/>
        </w:rPr>
      </w:pPr>
      <w:r>
        <w:rPr>
          <w:rFonts w:hint="eastAsia" w:ascii="宋体" w:hAnsi="宋体" w:eastAsia="宋体" w:cs="宋体"/>
          <w:color w:val="FF0000"/>
        </w:rPr>
        <w:t>现有评测基准</w:t>
      </w:r>
      <w:r>
        <w:rPr>
          <w:rFonts w:hint="eastAsia" w:eastAsia="宋体" w:cs="宋体"/>
          <w:color w:val="FF0000"/>
          <w:lang w:eastAsia="zh-CN"/>
        </w:rPr>
        <w:t>，</w:t>
      </w:r>
      <w:r>
        <w:rPr>
          <w:rFonts w:hint="eastAsia" w:eastAsia="宋体" w:cs="宋体"/>
          <w:color w:val="FF0000"/>
          <w:lang w:val="en-US" w:eastAsia="zh-CN"/>
        </w:rPr>
        <w:t>例如</w:t>
      </w:r>
      <w:r>
        <w:rPr>
          <w:rFonts w:hint="eastAsia" w:ascii="宋体" w:hAnsi="宋体" w:eastAsia="宋体" w:cs="宋体"/>
          <w:color w:val="FF0000"/>
        </w:rPr>
        <w:t>标准化考试、静态病例与知识问答在数据可获得性、客观性和可重复性方面</w:t>
      </w:r>
      <w:r>
        <w:rPr>
          <w:rFonts w:hint="eastAsia" w:eastAsia="宋体" w:cs="宋体"/>
          <w:color w:val="FF0000"/>
          <w:lang w:val="en-US" w:eastAsia="zh-CN"/>
        </w:rPr>
        <w:t>具备</w:t>
      </w:r>
      <w:r>
        <w:rPr>
          <w:rFonts w:hint="eastAsia" w:ascii="宋体" w:hAnsi="宋体" w:eastAsia="宋体" w:cs="宋体"/>
          <w:color w:val="FF0000"/>
        </w:rPr>
        <w:t>不可替代的基础作用，是模型能力评价的重要基础，也是后续复杂评测得以展开的前提。本部分从评测效度角度，针对当前体系在能力刻画、安全覆盖与临床效用三方面的不足进行方法学反思。</w:t>
      </w:r>
    </w:p>
    <w:p w14:paraId="67EF7B3A">
      <w:pPr>
        <w:pStyle w:val="5"/>
        <w:rPr>
          <w:rFonts w:hint="eastAsia" w:ascii="宋体" w:hAnsi="宋体" w:eastAsia="宋体" w:cs="宋体"/>
        </w:rPr>
      </w:pPr>
      <w:r>
        <w:rPr>
          <w:rFonts w:hint="eastAsia" w:ascii="宋体" w:hAnsi="宋体" w:eastAsia="宋体" w:cs="宋体"/>
          <w:color w:val="000000"/>
        </w:rPr>
        <w:t>4.1 文本封闭假设与多感官诊断范式的错位</w:t>
      </w:r>
    </w:p>
    <w:p w14:paraId="7E6B0F4D">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LLM能</w:t>
      </w:r>
      <w:r>
        <w:rPr>
          <w:rFonts w:hint="eastAsia" w:eastAsia="宋体" w:cs="宋体"/>
          <w:color w:val="FF0000"/>
          <w:lang w:val="en-US" w:eastAsia="zh-CN"/>
        </w:rPr>
        <w:t>够</w:t>
      </w:r>
      <w:r>
        <w:rPr>
          <w:rFonts w:hint="eastAsia" w:ascii="宋体" w:hAnsi="宋体" w:eastAsia="宋体" w:cs="宋体"/>
          <w:color w:val="FF0000"/>
        </w:rPr>
        <w:t>通过执业</w:t>
      </w:r>
      <w:r>
        <w:rPr>
          <w:rFonts w:hint="eastAsia" w:eastAsia="宋体" w:cs="宋体"/>
          <w:color w:val="FF0000"/>
          <w:lang w:val="en-US" w:eastAsia="zh-CN"/>
        </w:rPr>
        <w:t>医师</w:t>
      </w:r>
      <w:r>
        <w:rPr>
          <w:rFonts w:hint="eastAsia" w:ascii="宋体" w:hAnsi="宋体" w:eastAsia="宋体" w:cs="宋体"/>
          <w:color w:val="FF0000"/>
        </w:rPr>
        <w:t>考试</w:t>
      </w:r>
      <w:r>
        <w:rPr>
          <w:rFonts w:hint="eastAsia" w:eastAsia="宋体" w:cs="宋体"/>
          <w:color w:val="FF0000"/>
          <w:lang w:val="en-US" w:eastAsia="zh-CN"/>
        </w:rPr>
        <w:t>并在</w:t>
      </w:r>
      <w:r>
        <w:rPr>
          <w:rFonts w:hint="eastAsia" w:ascii="宋体" w:hAnsi="宋体" w:eastAsia="宋体" w:cs="宋体"/>
          <w:color w:val="FF0000"/>
        </w:rPr>
        <w:t>选择题上</w:t>
      </w:r>
      <w:r>
        <w:rPr>
          <w:rFonts w:hint="eastAsia" w:eastAsia="宋体" w:cs="宋体"/>
          <w:color w:val="FF0000"/>
          <w:lang w:val="en-US" w:eastAsia="zh-CN"/>
        </w:rPr>
        <w:t>达</w:t>
      </w:r>
      <w:r>
        <w:rPr>
          <w:rFonts w:hint="eastAsia" w:ascii="宋体" w:hAnsi="宋体" w:eastAsia="宋体" w:cs="宋体"/>
          <w:color w:val="FF0000"/>
        </w:rPr>
        <w:t>90%以上的准确率，这本质上度量的是文本</w:t>
      </w:r>
      <w:r>
        <w:rPr>
          <w:rFonts w:hint="eastAsia" w:eastAsia="宋体" w:cs="宋体"/>
          <w:color w:val="FF0000"/>
          <w:lang w:val="en-US" w:eastAsia="zh-CN"/>
        </w:rPr>
        <w:t>到</w:t>
      </w:r>
      <w:r>
        <w:rPr>
          <w:rFonts w:hint="eastAsia" w:ascii="宋体" w:hAnsi="宋体" w:eastAsia="宋体" w:cs="宋体"/>
          <w:color w:val="FF0000"/>
        </w:rPr>
        <w:t>文本的符号映射能力，与真实中医诊疗所需的跨模态感知综合判断能力之间存在本质区别。文本映射任务上的良好表现，可能严重掩盖中医临床所需的多感官、具身、情境依赖认知过程的评估缺失，从而导致对模型实际临床能力的高估。“知道”舌红苔黄腻主湿热的模型，未必能在真实舌象图像中准确识别该特征，更难以结合脉象、面色和问诊信息完成综合辨证。</w:t>
      </w:r>
      <w:r>
        <w:rPr>
          <w:rFonts w:hint="eastAsia" w:eastAsia="宋体" w:cs="宋体"/>
          <w:color w:val="FF0000"/>
          <w:lang w:val="en-US" w:eastAsia="zh-CN"/>
        </w:rPr>
        <w:t>中</w:t>
      </w:r>
      <w:r>
        <w:rPr>
          <w:rFonts w:hint="eastAsia" w:ascii="宋体" w:hAnsi="宋体" w:eastAsia="宋体" w:cs="宋体"/>
          <w:color w:val="FF0000"/>
        </w:rPr>
        <w:t>医</w:t>
      </w:r>
      <w:r>
        <w:rPr>
          <w:rFonts w:hint="eastAsia" w:eastAsia="宋体" w:cs="宋体"/>
          <w:color w:val="FF0000"/>
          <w:lang w:val="en-US" w:eastAsia="zh-CN"/>
        </w:rPr>
        <w:t>药</w:t>
      </w:r>
      <w:r>
        <w:rPr>
          <w:rFonts w:hint="eastAsia" w:ascii="宋体" w:hAnsi="宋体" w:eastAsia="宋体" w:cs="宋体"/>
          <w:color w:val="FF0000"/>
        </w:rPr>
        <w:t>学AI要实现真正的临床价值，必须系统构建多模态感知能力</w:t>
      </w:r>
      <w:r>
        <w:rPr>
          <w:rFonts w:hint="eastAsia" w:eastAsia="宋体" w:cs="宋体"/>
          <w:color w:val="FF0000"/>
          <w:vertAlign w:val="superscript"/>
          <w:lang w:val="en-US" w:eastAsia="zh-CN"/>
        </w:rPr>
        <w:t>[34]</w:t>
      </w:r>
      <w:r>
        <w:rPr>
          <w:rFonts w:hint="eastAsia" w:ascii="宋体" w:hAnsi="宋体" w:eastAsia="宋体" w:cs="宋体"/>
          <w:color w:val="FF0000"/>
        </w:rPr>
        <w:t>。</w:t>
      </w:r>
    </w:p>
    <w:p w14:paraId="6718ABFC">
      <w:pPr>
        <w:pStyle w:val="5"/>
        <w:rPr>
          <w:rFonts w:hint="eastAsia" w:ascii="宋体" w:hAnsi="宋体" w:eastAsia="宋体" w:cs="宋体"/>
        </w:rPr>
      </w:pPr>
      <w:r>
        <w:rPr>
          <w:rFonts w:hint="eastAsia" w:ascii="宋体" w:hAnsi="宋体" w:eastAsia="宋体" w:cs="宋体"/>
          <w:color w:val="000000"/>
        </w:rPr>
        <w:t>4.2 安全评价维度的覆盖不足</w:t>
      </w:r>
    </w:p>
    <w:p w14:paraId="2FD05500">
      <w:pPr>
        <w:spacing w:line="360" w:lineRule="auto"/>
        <w:ind w:firstLine="440" w:firstLineChars="200"/>
        <w:jc w:val="both"/>
        <w:rPr>
          <w:rFonts w:hint="eastAsia" w:ascii="宋体" w:hAnsi="宋体" w:eastAsia="宋体" w:cs="宋体"/>
        </w:rPr>
      </w:pPr>
      <w:r>
        <w:rPr>
          <w:rFonts w:hint="default" w:ascii="Times New Roman" w:hAnsi="Times New Roman" w:eastAsia="宋体" w:cs="Times New Roman"/>
          <w:color w:val="FF0000"/>
          <w:lang w:val="en-US" w:eastAsia="zh-CN"/>
        </w:rPr>
        <w:t>研究</w:t>
      </w:r>
      <w:r>
        <w:rPr>
          <w:rFonts w:hint="default" w:ascii="Times New Roman" w:hAnsi="Times New Roman" w:eastAsia="宋体" w:cs="Times New Roman"/>
          <w:color w:val="FF0000"/>
        </w:rPr>
        <w:t>发现</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正负向能力鸿沟</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仅是文本层面安全问题的一部分</w:t>
      </w:r>
      <w:r>
        <w:rPr>
          <w:rFonts w:hint="default" w:ascii="Times New Roman" w:hAnsi="Times New Roman" w:eastAsia="宋体" w:cs="Times New Roman"/>
          <w:color w:val="FF0000"/>
          <w:vertAlign w:val="superscript"/>
          <w:lang w:val="en-US" w:eastAsia="zh-CN"/>
        </w:rPr>
        <w:t>[11]</w:t>
      </w:r>
      <w:r>
        <w:rPr>
          <w:rFonts w:hint="eastAsia" w:ascii="Times New Roman" w:hAnsi="Times New Roman" w:eastAsia="宋体" w:cs="Times New Roman"/>
          <w:color w:val="FF0000"/>
          <w:vertAlign w:val="baseline"/>
          <w:lang w:val="en-US" w:eastAsia="zh-CN"/>
        </w:rPr>
        <w:t>，</w:t>
      </w:r>
      <w:r>
        <w:rPr>
          <w:rFonts w:hint="default" w:ascii="Times New Roman" w:hAnsi="Times New Roman" w:eastAsia="宋体" w:cs="Times New Roman"/>
          <w:color w:val="FF0000"/>
        </w:rPr>
        <w:t>现有评测大多仅关注文本准确率，对幻觉（Hallucination）、错误信息识别和不确定性校准（Uncertainty Calibration） 等核心安全属性关注不足。在多模态临床场景中，还存在图像质量欺骗</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如色彩被篡改的舌诊图、跨模态信息矛盾</w:t>
      </w:r>
      <w:r>
        <w:rPr>
          <w:rFonts w:hint="eastAsia" w:ascii="Times New Roman" w:hAnsi="Times New Roman" w:eastAsia="宋体" w:cs="Times New Roman"/>
          <w:color w:val="FF0000"/>
          <w:lang w:eastAsia="zh-CN"/>
        </w:rPr>
        <w:t>，</w:t>
      </w:r>
      <w:r>
        <w:rPr>
          <w:rFonts w:hint="eastAsia" w:ascii="Times New Roman" w:hAnsi="Times New Roman" w:eastAsia="宋体" w:cs="Times New Roman"/>
          <w:color w:val="FF0000"/>
          <w:lang w:val="en-US" w:eastAsia="zh-CN"/>
        </w:rPr>
        <w:t>如</w:t>
      </w:r>
      <w:r>
        <w:rPr>
          <w:rFonts w:hint="default" w:ascii="Times New Roman" w:hAnsi="Times New Roman" w:eastAsia="宋体" w:cs="Times New Roman"/>
          <w:color w:val="FF0000"/>
        </w:rPr>
        <w:t>舌脉不一致时如何取舍以及模态缺失时过度自信推断等风险，而这些在现有评测体系中几乎未被涉及。Singhal等</w:t>
      </w:r>
      <w:r>
        <w:rPr>
          <w:rFonts w:hint="eastAsia" w:eastAsia="宋体" w:cs="宋体"/>
          <w:color w:val="FF0000"/>
          <w:vertAlign w:val="superscript"/>
          <w:lang w:val="en-US" w:eastAsia="zh-CN"/>
        </w:rPr>
        <w:t>[35]</w:t>
      </w:r>
      <w:r>
        <w:rPr>
          <w:rFonts w:hint="default" w:ascii="Times New Roman" w:hAnsi="Times New Roman" w:eastAsia="宋体" w:cs="Times New Roman"/>
          <w:color w:val="FF0000"/>
        </w:rPr>
        <w:t>在Med-PaLM研究中强调医学LLM的安全评测应超越准确率，将</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模型是否自知其知识边界</w:t>
      </w:r>
      <w:r>
        <w:rPr>
          <w:rFonts w:hint="eastAsia" w:ascii="Times New Roman" w:hAnsi="Times New Roman" w:eastAsia="宋体" w:cs="Times New Roman"/>
          <w:color w:val="FF0000"/>
          <w:lang w:eastAsia="zh-CN"/>
        </w:rPr>
        <w:t>”</w:t>
      </w:r>
      <w:r>
        <w:rPr>
          <w:rFonts w:hint="default" w:ascii="Times New Roman" w:hAnsi="Times New Roman" w:eastAsia="宋体" w:cs="Times New Roman"/>
          <w:color w:val="FF0000"/>
        </w:rPr>
        <w:t>的不确定性校准纳入核心指标。Wang等</w:t>
      </w:r>
      <w:r>
        <w:rPr>
          <w:rFonts w:hint="default" w:ascii="Times New Roman" w:hAnsi="Times New Roman" w:eastAsia="宋体" w:cs="Times New Roman"/>
          <w:color w:val="FF0000"/>
          <w:vertAlign w:val="superscript"/>
          <w:lang w:val="en-US" w:eastAsia="zh-CN"/>
        </w:rPr>
        <w:t>[11]</w:t>
      </w:r>
      <w:r>
        <w:rPr>
          <w:rFonts w:hint="default" w:ascii="Times New Roman" w:hAnsi="Times New Roman" w:eastAsia="宋体" w:cs="Times New Roman"/>
          <w:color w:val="FF0000"/>
        </w:rPr>
        <w:t>处方审核基准在用药安全维度上</w:t>
      </w:r>
      <w:r>
        <w:rPr>
          <w:rFonts w:hint="eastAsia" w:ascii="Times New Roman" w:hAnsi="Times New Roman" w:eastAsia="宋体" w:cs="Times New Roman"/>
          <w:color w:val="FF0000"/>
          <w:lang w:val="en-US" w:eastAsia="zh-CN"/>
        </w:rPr>
        <w:t>已</w:t>
      </w:r>
      <w:r>
        <w:rPr>
          <w:rFonts w:hint="default" w:ascii="Times New Roman" w:hAnsi="Times New Roman" w:eastAsia="宋体" w:cs="Times New Roman"/>
          <w:color w:val="FF0000"/>
        </w:rPr>
        <w:t>取得初步进展，但对多模态安全漏洞的系统研究仍相对缺乏</w:t>
      </w:r>
      <w:r>
        <w:rPr>
          <w:rFonts w:hint="eastAsia" w:ascii="Times New Roman" w:hAnsi="Times New Roman" w:eastAsia="宋体" w:cs="Times New Roman"/>
          <w:color w:val="FF0000"/>
          <w:lang w:eastAsia="zh-CN"/>
        </w:rPr>
        <w:t>。</w:t>
      </w:r>
    </w:p>
    <w:p w14:paraId="4A120A09">
      <w:pPr>
        <w:pStyle w:val="5"/>
        <w:rPr>
          <w:rFonts w:hint="eastAsia" w:ascii="宋体" w:hAnsi="宋体" w:eastAsia="宋体" w:cs="宋体"/>
        </w:rPr>
      </w:pPr>
      <w:r>
        <w:rPr>
          <w:rFonts w:hint="eastAsia" w:ascii="宋体" w:hAnsi="宋体" w:eastAsia="宋体" w:cs="宋体"/>
          <w:color w:val="000000"/>
        </w:rPr>
        <w:t>4.3 离线基准与真实临床场景的脱节</w:t>
      </w:r>
    </w:p>
    <w:p w14:paraId="39D5813A">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现有研究较少考察LLM作为辅助工具在真实临床环境中对诊疗质量的实际影响。多数评测为静态离线测试，脱离真实临床的动态诊疗过程，缺少以患者结局为终点的闭环验证，难以据此预测模型的真实临床价值。近期虽有改进尝试：Liu等</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36</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以真实针灸病案为基础，由中、韩、美三国28名专家进行多语言盲评；ATCMD-Bench</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9</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与DCB</w:t>
      </w:r>
      <w:r>
        <w:rPr>
          <w:rFonts w:hint="default" w:ascii="Times New Roman" w:hAnsi="Times New Roman" w:eastAsia="宋体" w:cs="Times New Roman"/>
          <w:color w:val="FF0000"/>
          <w:vertAlign w:val="superscript"/>
          <w:lang w:val="en-US" w:eastAsia="zh-CN"/>
        </w:rPr>
        <w:t>[1</w:t>
      </w:r>
      <w:r>
        <w:rPr>
          <w:rFonts w:hint="eastAsia" w:ascii="Times New Roman" w:hAnsi="Times New Roman" w:eastAsia="宋体" w:cs="Times New Roman"/>
          <w:color w:val="FF0000"/>
          <w:vertAlign w:val="superscript"/>
          <w:lang w:val="en-US" w:eastAsia="zh-CN"/>
        </w:rPr>
        <w:t>0</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分别采用多智能体模拟和全流程动态环境以逼近真实接诊场景。但这些工作仍以专家评分或模拟环境为主，与以患者结局为终点的前瞻性验证尚有差距。Topol</w:t>
      </w:r>
      <w:r>
        <w:rPr>
          <w:rFonts w:hint="default" w:ascii="Times New Roman" w:hAnsi="Times New Roman" w:eastAsia="宋体" w:cs="Times New Roman"/>
          <w:color w:val="FF0000"/>
          <w:vertAlign w:val="superscript"/>
          <w:lang w:val="en-US" w:eastAsia="zh-CN"/>
        </w:rPr>
        <w:t>[</w:t>
      </w:r>
      <w:r>
        <w:rPr>
          <w:rFonts w:hint="eastAsia" w:ascii="Times New Roman" w:hAnsi="Times New Roman" w:eastAsia="宋体" w:cs="Times New Roman"/>
          <w:color w:val="FF0000"/>
          <w:vertAlign w:val="superscript"/>
          <w:lang w:val="en-US" w:eastAsia="zh-CN"/>
        </w:rPr>
        <w:t>37</w:t>
      </w:r>
      <w:r>
        <w:rPr>
          <w:rFonts w:hint="default" w:ascii="Times New Roman" w:hAnsi="Times New Roman" w:eastAsia="宋体" w:cs="Times New Roman"/>
          <w:color w:val="FF0000"/>
          <w:vertAlign w:val="superscript"/>
          <w:lang w:val="en-US" w:eastAsia="zh-CN"/>
        </w:rPr>
        <w:t>]</w:t>
      </w:r>
      <w:r>
        <w:rPr>
          <w:rFonts w:hint="eastAsia" w:ascii="宋体" w:hAnsi="宋体" w:eastAsia="宋体" w:cs="宋体"/>
          <w:color w:val="FF0000"/>
        </w:rPr>
        <w:t>指出，医疗AI与临床实践之间的差距主要不在于技术精度，而在于缺乏以患者结局为终点的验证范式。中医诊疗是医患共建的动态过程，而非一次性的问答任务，脱离临床情境的离线基准带有系统性偏差。在真实临床</w:t>
      </w:r>
      <w:r>
        <w:rPr>
          <w:rFonts w:hint="eastAsia" w:eastAsia="宋体" w:cs="宋体"/>
          <w:color w:val="FF0000"/>
          <w:lang w:val="en-US" w:eastAsia="zh-CN"/>
        </w:rPr>
        <w:t>实践</w:t>
      </w:r>
      <w:r>
        <w:rPr>
          <w:rFonts w:hint="eastAsia" w:ascii="宋体" w:hAnsi="宋体" w:eastAsia="宋体" w:cs="宋体"/>
          <w:color w:val="FF0000"/>
        </w:rPr>
        <w:t>中，医师需根据患者反馈不断调整辨证和治疗方案；而现有基准中，模型给出一次回答即视为评测完成。这一评测设计上的局限，是当前中医药LLM评测研究共同面临的问题。</w:t>
      </w:r>
    </w:p>
    <w:p w14:paraId="7671CDB0">
      <w:pPr>
        <w:rPr>
          <w:rFonts w:hint="eastAsia" w:ascii="宋体" w:hAnsi="宋体" w:eastAsia="宋体" w:cs="宋体"/>
        </w:rPr>
      </w:pPr>
      <w:r>
        <w:rPr>
          <w:rFonts w:hint="eastAsia" w:ascii="宋体" w:hAnsi="宋体" w:eastAsia="宋体" w:cs="宋体"/>
        </w:rPr>
        <w:br w:type="page"/>
      </w:r>
    </w:p>
    <w:p w14:paraId="57E099ED">
      <w:pPr>
        <w:pStyle w:val="4"/>
        <w:rPr>
          <w:rFonts w:hint="eastAsia" w:ascii="宋体" w:hAnsi="宋体" w:eastAsia="宋体" w:cs="宋体"/>
        </w:rPr>
      </w:pPr>
      <w:r>
        <w:rPr>
          <w:rFonts w:hint="eastAsia" w:ascii="宋体" w:hAnsi="宋体" w:eastAsia="宋体" w:cs="宋体"/>
          <w:color w:val="000000"/>
        </w:rPr>
        <w:t>5 中医药大语言模型评测体系的未来发展方向</w:t>
      </w:r>
    </w:p>
    <w:p w14:paraId="7AC64159">
      <w:pPr>
        <w:pStyle w:val="5"/>
        <w:spacing w:line="360" w:lineRule="auto"/>
        <w:rPr>
          <w:rFonts w:hint="eastAsia" w:ascii="宋体" w:hAnsi="宋体" w:eastAsia="宋体" w:cs="宋体"/>
        </w:rPr>
      </w:pPr>
      <w:r>
        <w:rPr>
          <w:rFonts w:hint="eastAsia" w:ascii="宋体" w:hAnsi="宋体" w:eastAsia="宋体" w:cs="宋体"/>
          <w:color w:val="000000"/>
        </w:rPr>
        <w:t>5.1 构建中医药知识驱动的分层评测体系</w:t>
      </w:r>
    </w:p>
    <w:p w14:paraId="59DA5ED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中医临床遵循由四诊信息到证候、由证候到治法、由治法到方药、再由疗效检验的递进链条，评测体系亦应循此分层展开，本文提出构建“知识驱动的五层评测框架”：</w:t>
      </w:r>
    </w:p>
    <w:p w14:paraId="29B46786">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知识层（Knowledge）：考查中医基础理论、术语规范与中药功效等事实性知识的掌握程度。</w:t>
      </w:r>
    </w:p>
    <w:p w14:paraId="65F36F5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辨证层（Syndrome Differentiation）：考查从四诊信息到证候推断的推理链条与病机分析能力。</w:t>
      </w:r>
    </w:p>
    <w:p w14:paraId="63C6405C">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治则层（Treatment Principle）：考查依据证候确立相应治则治法的合理性与准确性。</w:t>
      </w:r>
    </w:p>
    <w:p w14:paraId="44E1E14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4</w:t>
      </w:r>
      <w:r>
        <w:rPr>
          <w:rFonts w:hint="eastAsia" w:eastAsia="宋体" w:cs="宋体"/>
          <w:color w:val="FF0000"/>
          <w:lang w:eastAsia="zh-CN"/>
        </w:rPr>
        <w:t>）</w:t>
      </w:r>
      <w:r>
        <w:rPr>
          <w:rFonts w:hint="eastAsia" w:ascii="宋体" w:hAnsi="宋体" w:eastAsia="宋体" w:cs="宋体"/>
          <w:color w:val="FF0000"/>
        </w:rPr>
        <w:t>方药层（Formula &amp; Medication）：考查方剂配伍、剂量恰当性及配伍禁忌识别能力。</w:t>
      </w:r>
    </w:p>
    <w:p w14:paraId="2F2DF192">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5</w:t>
      </w:r>
      <w:r>
        <w:rPr>
          <w:rFonts w:hint="eastAsia" w:eastAsia="宋体" w:cs="宋体"/>
          <w:color w:val="FF0000"/>
          <w:lang w:eastAsia="zh-CN"/>
        </w:rPr>
        <w:t>）</w:t>
      </w:r>
      <w:r>
        <w:rPr>
          <w:rFonts w:hint="eastAsia" w:ascii="宋体" w:hAnsi="宋体" w:eastAsia="宋体" w:cs="宋体"/>
          <w:color w:val="FF0000"/>
        </w:rPr>
        <w:t>疗效层（Efficacy）：以随访结局和复诊调方的合理性检验临床决策的闭环能力。</w:t>
      </w:r>
    </w:p>
    <w:p w14:paraId="5F62CBA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各层逐层递进，采用条件化评分（Conditional Scoring） 机制：上一层推理错误则终止后续评测，并报告误差沿链条的传导与放大效应。同时为各层设定准入阈值，未通过知识层与辨证层阈值者，其方药层、疗效层的高分不予采信。疗效层有赖于真实世界随访与前瞻性数据，目前仍属亟待建设的目标层次。各层与评测内容、代表指标及对应基准类别的对应关系见图3。</w:t>
      </w:r>
    </w:p>
    <w:p w14:paraId="4BDAABAF">
      <w:pPr>
        <w:spacing w:line="360" w:lineRule="auto"/>
        <w:ind w:firstLine="440" w:firstLineChars="200"/>
        <w:jc w:val="both"/>
        <w:rPr>
          <w:rFonts w:hint="eastAsia" w:ascii="宋体" w:hAnsi="宋体" w:eastAsia="宋体" w:cs="宋体"/>
          <w:color w:val="FF0000"/>
          <w:lang w:eastAsia="zh-CN"/>
        </w:rPr>
      </w:pPr>
      <w:r>
        <w:rPr>
          <w:rFonts w:hint="eastAsia" w:ascii="宋体" w:hAnsi="宋体" w:eastAsia="宋体" w:cs="宋体"/>
          <w:color w:val="FF0000"/>
          <w:lang w:eastAsia="zh-CN"/>
        </w:rPr>
        <w:drawing>
          <wp:inline distT="0" distB="0" distL="114300" distR="114300">
            <wp:extent cx="5482590" cy="3816350"/>
            <wp:effectExtent l="0" t="0" r="3810" b="12700"/>
            <wp:docPr id="1" name="图片 1" descr="图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drawio"/>
                    <pic:cNvPicPr>
                      <a:picLocks noChangeAspect="1"/>
                    </pic:cNvPicPr>
                  </pic:nvPicPr>
                  <pic:blipFill>
                    <a:blip r:embed="rId8"/>
                    <a:stretch>
                      <a:fillRect/>
                    </a:stretch>
                  </pic:blipFill>
                  <pic:spPr>
                    <a:xfrm>
                      <a:off x="0" y="0"/>
                      <a:ext cx="5482590" cy="3816350"/>
                    </a:xfrm>
                    <a:prstGeom prst="rect">
                      <a:avLst/>
                    </a:prstGeom>
                  </pic:spPr>
                </pic:pic>
              </a:graphicData>
            </a:graphic>
          </wp:inline>
        </w:drawing>
      </w:r>
    </w:p>
    <w:p w14:paraId="44CFCAC9">
      <w:pPr>
        <w:jc w:val="center"/>
        <w:rPr>
          <w:rFonts w:hint="eastAsia" w:ascii="宋体" w:hAnsi="宋体" w:eastAsia="宋体" w:cs="宋体"/>
          <w:color w:val="FF0000"/>
        </w:rPr>
      </w:pPr>
      <w:r>
        <w:rPr>
          <w:rFonts w:hint="eastAsia" w:ascii="宋体" w:hAnsi="宋体" w:eastAsia="宋体" w:cs="宋体"/>
          <w:color w:val="FF0000"/>
        </w:rPr>
        <w:t>图3 中医药知识驱动的五层评测框架</w:t>
      </w:r>
    </w:p>
    <w:p w14:paraId="776A78AF">
      <w:pPr>
        <w:pStyle w:val="5"/>
        <w:spacing w:line="360" w:lineRule="auto"/>
        <w:rPr>
          <w:rFonts w:hint="eastAsia" w:ascii="宋体" w:hAnsi="宋体" w:eastAsia="宋体" w:cs="宋体"/>
        </w:rPr>
      </w:pPr>
      <w:r>
        <w:rPr>
          <w:rFonts w:hint="eastAsia" w:ascii="宋体" w:hAnsi="宋体" w:eastAsia="宋体" w:cs="宋体"/>
          <w:color w:val="000000"/>
        </w:rPr>
        <w:t>5.2 加快推进多模态评测数据基础设施建设</w:t>
      </w:r>
    </w:p>
    <w:p w14:paraId="245ED121">
      <w:pPr>
        <w:spacing w:line="360" w:lineRule="auto"/>
        <w:ind w:firstLine="440" w:firstLineChars="200"/>
        <w:jc w:val="both"/>
        <w:rPr>
          <w:rFonts w:hint="eastAsia" w:ascii="宋体" w:hAnsi="宋体" w:eastAsia="宋体" w:cs="宋体"/>
        </w:rPr>
      </w:pPr>
      <w:r>
        <w:rPr>
          <w:rFonts w:hint="eastAsia" w:ascii="宋体" w:hAnsi="宋体" w:eastAsia="宋体" w:cs="宋体"/>
        </w:rPr>
        <w:t>多模态评测的前提在于拥有高质量的多模态标注数据集。建议依托国内中医临床研究网络，参照多中心临床研究的数据治理规范，优先建设覆盖舌象图像、标准化脉象波形、结构化四诊文本和随访结局的多模态中医临床评测语料库。数据采集需满足多中心、多地域、多体质类型的代表性要求，并建立开放共享机制，形成公共基准平台。</w:t>
      </w:r>
    </w:p>
    <w:p w14:paraId="0C218AB2">
      <w:pPr>
        <w:pStyle w:val="5"/>
        <w:spacing w:line="360" w:lineRule="auto"/>
        <w:jc w:val="both"/>
        <w:rPr>
          <w:rFonts w:hint="eastAsia" w:ascii="宋体" w:hAnsi="宋体" w:eastAsia="宋体" w:cs="宋体"/>
        </w:rPr>
      </w:pPr>
      <w:r>
        <w:rPr>
          <w:rFonts w:hint="eastAsia" w:ascii="宋体" w:hAnsi="宋体" w:eastAsia="宋体" w:cs="宋体"/>
          <w:color w:val="000000"/>
        </w:rPr>
        <w:t>5.3 构建分层递进的临床多模态能力评测标准体系</w:t>
      </w:r>
    </w:p>
    <w:p w14:paraId="4CE80874">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建议按三层递进的思路建设评测标准体系。</w:t>
      </w:r>
    </w:p>
    <w:p w14:paraId="47DA6CE7">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1</w:t>
      </w:r>
      <w:r>
        <w:rPr>
          <w:rFonts w:hint="eastAsia" w:eastAsia="宋体" w:cs="宋体"/>
          <w:color w:val="FF0000"/>
          <w:lang w:eastAsia="zh-CN"/>
        </w:rPr>
        <w:t>）</w:t>
      </w:r>
      <w:r>
        <w:rPr>
          <w:rFonts w:hint="eastAsia" w:ascii="宋体" w:hAnsi="宋体" w:eastAsia="宋体" w:cs="宋体"/>
          <w:color w:val="FF0000"/>
        </w:rPr>
        <w:t>第一层为模态基础准入层</w:t>
      </w:r>
      <w:r>
        <w:rPr>
          <w:rFonts w:hint="eastAsia" w:eastAsia="宋体" w:cs="宋体"/>
          <w:color w:val="FF0000"/>
          <w:lang w:eastAsia="zh-CN"/>
        </w:rPr>
        <w:t>：</w:t>
      </w:r>
      <w:r>
        <w:rPr>
          <w:rFonts w:hint="eastAsia" w:ascii="宋体" w:hAnsi="宋体" w:eastAsia="宋体" w:cs="宋体"/>
          <w:color w:val="FF0000"/>
        </w:rPr>
        <w:t>以单模态识别精度</w:t>
      </w:r>
      <w:r>
        <w:rPr>
          <w:rFonts w:hint="eastAsia" w:eastAsia="宋体" w:cs="宋体"/>
          <w:color w:val="FF0000"/>
          <w:lang w:eastAsia="zh-CN"/>
        </w:rPr>
        <w:t>，</w:t>
      </w:r>
      <w:r>
        <w:rPr>
          <w:rFonts w:hint="eastAsia" w:ascii="宋体" w:hAnsi="宋体" w:eastAsia="宋体" w:cs="宋体"/>
          <w:color w:val="FF0000"/>
        </w:rPr>
        <w:t>如舌色分类准确率、脉象参数识别准确率</w:t>
      </w:r>
      <w:r>
        <w:rPr>
          <w:rFonts w:hint="eastAsia" w:eastAsia="宋体" w:cs="宋体"/>
          <w:color w:val="FF0000"/>
          <w:lang w:eastAsia="zh-CN"/>
        </w:rPr>
        <w:t>，</w:t>
      </w:r>
      <w:r>
        <w:rPr>
          <w:rFonts w:hint="eastAsia" w:ascii="宋体" w:hAnsi="宋体" w:eastAsia="宋体" w:cs="宋体"/>
          <w:color w:val="FF0000"/>
        </w:rPr>
        <w:t>作为模型进入临床推理评测的门槛。</w:t>
      </w:r>
    </w:p>
    <w:p w14:paraId="0CDA18B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2</w:t>
      </w:r>
      <w:r>
        <w:rPr>
          <w:rFonts w:hint="eastAsia" w:eastAsia="宋体" w:cs="宋体"/>
          <w:color w:val="FF0000"/>
          <w:lang w:eastAsia="zh-CN"/>
        </w:rPr>
        <w:t>）</w:t>
      </w:r>
      <w:r>
        <w:rPr>
          <w:rFonts w:hint="eastAsia" w:ascii="宋体" w:hAnsi="宋体" w:eastAsia="宋体" w:cs="宋体"/>
          <w:color w:val="FF0000"/>
        </w:rPr>
        <w:t>第二层为临床推理核心层，重点考查跨模态融合增益率、模态冲突处置准确率、不确定性校准误差等反映真实临床智能水平的指标，并将</w:t>
      </w:r>
      <w:r>
        <w:rPr>
          <w:rFonts w:hint="eastAsia" w:eastAsia="宋体" w:cs="宋体"/>
          <w:color w:val="FF0000"/>
          <w:lang w:eastAsia="zh-CN"/>
        </w:rPr>
        <w:t>“</w:t>
      </w:r>
      <w:r>
        <w:rPr>
          <w:rFonts w:hint="eastAsia" w:ascii="宋体" w:hAnsi="宋体" w:eastAsia="宋体" w:cs="宋体"/>
          <w:color w:val="FF0000"/>
        </w:rPr>
        <w:t>危险诊疗建议率</w:t>
      </w:r>
      <w:r>
        <w:rPr>
          <w:rFonts w:hint="eastAsia" w:eastAsia="宋体" w:cs="宋体"/>
          <w:color w:val="FF0000"/>
          <w:lang w:eastAsia="zh-CN"/>
        </w:rPr>
        <w:t>”</w:t>
      </w:r>
      <w:r>
        <w:rPr>
          <w:rFonts w:hint="eastAsia" w:ascii="宋体" w:hAnsi="宋体" w:eastAsia="宋体" w:cs="宋体"/>
          <w:color w:val="FF0000"/>
        </w:rPr>
        <w:t>设定为不可逾越的</w:t>
      </w:r>
      <w:r>
        <w:rPr>
          <w:rFonts w:hint="eastAsia" w:eastAsia="宋体" w:cs="宋体"/>
          <w:color w:val="FF0000"/>
          <w:lang w:val="en-US" w:eastAsia="zh-CN"/>
        </w:rPr>
        <w:t>安全</w:t>
      </w:r>
      <w:r>
        <w:rPr>
          <w:rFonts w:hint="eastAsia" w:ascii="宋体" w:hAnsi="宋体" w:eastAsia="宋体" w:cs="宋体"/>
          <w:color w:val="FF0000"/>
        </w:rPr>
        <w:t>阈值。</w:t>
      </w:r>
    </w:p>
    <w:p w14:paraId="49AE2910">
      <w:pPr>
        <w:spacing w:line="360" w:lineRule="auto"/>
        <w:ind w:firstLine="440" w:firstLineChars="200"/>
        <w:jc w:val="both"/>
        <w:rPr>
          <w:rFonts w:hint="eastAsia" w:ascii="宋体" w:hAnsi="宋体" w:eastAsia="宋体" w:cs="宋体"/>
          <w:color w:val="FF0000"/>
        </w:rPr>
      </w:pPr>
      <w:r>
        <w:rPr>
          <w:rFonts w:hint="eastAsia" w:eastAsia="宋体" w:cs="宋体"/>
          <w:color w:val="FF0000"/>
          <w:lang w:eastAsia="zh-CN"/>
        </w:rPr>
        <w:t>（</w:t>
      </w:r>
      <w:r>
        <w:rPr>
          <w:rFonts w:hint="eastAsia" w:eastAsia="宋体" w:cs="宋体"/>
          <w:color w:val="FF0000"/>
          <w:lang w:val="en-US" w:eastAsia="zh-CN"/>
        </w:rPr>
        <w:t>3</w:t>
      </w:r>
      <w:r>
        <w:rPr>
          <w:rFonts w:hint="eastAsia" w:eastAsia="宋体" w:cs="宋体"/>
          <w:color w:val="FF0000"/>
          <w:lang w:eastAsia="zh-CN"/>
        </w:rPr>
        <w:t>）</w:t>
      </w:r>
      <w:r>
        <w:rPr>
          <w:rFonts w:hint="eastAsia" w:ascii="宋体" w:hAnsi="宋体" w:eastAsia="宋体" w:cs="宋体"/>
          <w:color w:val="FF0000"/>
        </w:rPr>
        <w:t>第三层为临床效用验证层，通过前瞻性临床研究评价诊断辅助增效率、医师采纳与合理修改率以及纵向治疗结局预测准确度，以患者结局数据作为最终验证标准</w:t>
      </w:r>
      <w:r>
        <w:rPr>
          <w:rFonts w:hint="eastAsia" w:eastAsia="宋体" w:cs="宋体"/>
          <w:color w:val="FF0000"/>
          <w:vertAlign w:val="superscript"/>
          <w:lang w:val="en-US" w:eastAsia="zh-CN"/>
        </w:rPr>
        <w:t>[37]</w:t>
      </w:r>
      <w:r>
        <w:rPr>
          <w:rFonts w:hint="eastAsia" w:ascii="宋体" w:hAnsi="宋体" w:eastAsia="宋体" w:cs="宋体"/>
          <w:color w:val="FF0000"/>
        </w:rPr>
        <w:t>。</w:t>
      </w:r>
    </w:p>
    <w:p w14:paraId="7D03AA58">
      <w:pPr>
        <w:pStyle w:val="5"/>
        <w:spacing w:line="360" w:lineRule="auto"/>
        <w:jc w:val="both"/>
        <w:rPr>
          <w:rFonts w:hint="eastAsia" w:ascii="宋体" w:hAnsi="宋体" w:eastAsia="宋体" w:cs="宋体"/>
        </w:rPr>
      </w:pPr>
      <w:r>
        <w:rPr>
          <w:rFonts w:hint="eastAsia" w:ascii="宋体" w:hAnsi="宋体" w:eastAsia="宋体" w:cs="宋体"/>
          <w:color w:val="000000"/>
        </w:rPr>
        <w:t>5.4 发展面向中医认知特质的评测方法论创新</w:t>
      </w:r>
    </w:p>
    <w:p w14:paraId="2D321798">
      <w:pPr>
        <w:spacing w:line="360" w:lineRule="auto"/>
        <w:ind w:firstLine="440" w:firstLineChars="200"/>
        <w:jc w:val="both"/>
        <w:rPr>
          <w:rFonts w:hint="eastAsia" w:eastAsia="宋体" w:cs="宋体"/>
          <w:color w:val="FF0000"/>
          <w:lang w:eastAsia="zh-CN"/>
        </w:rPr>
      </w:pPr>
      <w:r>
        <w:rPr>
          <w:rFonts w:hint="eastAsia" w:ascii="宋体" w:hAnsi="宋体" w:eastAsia="宋体" w:cs="宋体"/>
          <w:color w:val="FF0000"/>
        </w:rPr>
        <w:t>现有评测方法论多借鉴自通用医学AI领域，对中医特有的认知结构关注不足</w:t>
      </w:r>
      <w:r>
        <w:rPr>
          <w:rFonts w:hint="eastAsia" w:eastAsia="宋体" w:cs="宋体"/>
          <w:color w:val="FF0000"/>
          <w:lang w:eastAsia="zh-CN"/>
        </w:rPr>
        <w:t>。</w:t>
      </w:r>
    </w:p>
    <w:p w14:paraId="7E8D46A1">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一是辨证整体性的量化表达</w:t>
      </w:r>
      <w:r>
        <w:rPr>
          <w:rFonts w:hint="eastAsia" w:eastAsia="宋体" w:cs="宋体"/>
          <w:color w:val="FF0000"/>
          <w:lang w:eastAsia="zh-CN"/>
        </w:rPr>
        <w:t>：</w:t>
      </w:r>
      <w:r>
        <w:rPr>
          <w:rFonts w:hint="eastAsia" w:eastAsia="宋体" w:cs="宋体"/>
          <w:color w:val="FF0000"/>
          <w:lang w:val="en-US" w:eastAsia="zh-CN"/>
        </w:rPr>
        <w:t>需</w:t>
      </w:r>
      <w:r>
        <w:rPr>
          <w:rFonts w:hint="eastAsia" w:ascii="宋体" w:hAnsi="宋体" w:eastAsia="宋体" w:cs="宋体"/>
          <w:color w:val="FF0000"/>
        </w:rPr>
        <w:t>设计反映辨证结论整体合理性的评估方法，而非各分项指标的简单相加。</w:t>
      </w:r>
    </w:p>
    <w:p w14:paraId="0916A0E7">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二是同病异治、异病同治的个体化评测设计。需要构建同种疾病、不同体质患者的标准化案例集，考查模型能否给出有差异且有依据的辨证处方。</w:t>
      </w:r>
    </w:p>
    <w:p w14:paraId="13BC38C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三是纵向推理能力的评测框架。开发覆盖多次就诊记录的纵向评测范式，替代目前大多锚定单次就诊横断面的评测设计。</w:t>
      </w:r>
    </w:p>
    <w:p w14:paraId="2ADC20CE">
      <w:pPr>
        <w:pStyle w:val="5"/>
        <w:spacing w:line="360" w:lineRule="auto"/>
        <w:jc w:val="both"/>
        <w:rPr>
          <w:rFonts w:hint="eastAsia" w:ascii="宋体" w:hAnsi="宋体" w:eastAsia="宋体" w:cs="宋体"/>
        </w:rPr>
      </w:pPr>
      <w:r>
        <w:rPr>
          <w:rFonts w:hint="eastAsia" w:ascii="宋体" w:hAnsi="宋体" w:eastAsia="宋体" w:cs="宋体"/>
          <w:color w:val="000000"/>
        </w:rPr>
        <w:t>5.5 推动真实世界临床验证与国际标准化协同推进</w:t>
      </w:r>
    </w:p>
    <w:p w14:paraId="4BF23023">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在国内层面，建议将LLM临床多模态评测研究纳入国家中医药科技创新的重点部署，依托现有中医临床研究基地开展人机协同的前瞻性试点，逐步积累AI辅助与人工独立对照条件下的临床证据。在国际层面，可参照WHO传统医学战略框架和国际医疗AI评估规范（如FDA的AI/ML行动计划），推动中医药LLM评测标准的国际化表达，使其融入全球传统医学AI治理体系。</w:t>
      </w:r>
    </w:p>
    <w:p w14:paraId="42393619">
      <w:pPr>
        <w:rPr>
          <w:rFonts w:hint="eastAsia" w:ascii="宋体" w:hAnsi="宋体" w:eastAsia="宋体" w:cs="宋体"/>
        </w:rPr>
      </w:pPr>
      <w:r>
        <w:rPr>
          <w:rFonts w:hint="eastAsia" w:ascii="宋体" w:hAnsi="宋体" w:eastAsia="宋体" w:cs="宋体"/>
        </w:rPr>
        <w:br w:type="page"/>
      </w:r>
    </w:p>
    <w:p w14:paraId="12676936">
      <w:pPr>
        <w:pStyle w:val="4"/>
        <w:rPr>
          <w:rFonts w:hint="eastAsia" w:ascii="宋体" w:hAnsi="宋体" w:eastAsia="宋体" w:cs="宋体"/>
        </w:rPr>
      </w:pPr>
      <w:r>
        <w:rPr>
          <w:rFonts w:hint="eastAsia" w:ascii="宋体" w:hAnsi="宋体" w:eastAsia="宋体" w:cs="宋体"/>
          <w:color w:val="000000"/>
        </w:rPr>
        <w:t>6 小结</w:t>
      </w:r>
    </w:p>
    <w:p w14:paraId="2EE41523">
      <w:pPr>
        <w:spacing w:line="360" w:lineRule="auto"/>
        <w:ind w:firstLine="440" w:firstLineChars="200"/>
        <w:jc w:val="both"/>
        <w:rPr>
          <w:rFonts w:hint="eastAsia" w:eastAsia="宋体" w:cs="宋体"/>
          <w:color w:val="FF0000"/>
          <w:lang w:val="en-US" w:eastAsia="zh-CN"/>
        </w:rPr>
      </w:pPr>
    </w:p>
    <w:p w14:paraId="45415818">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目前，中医药领域的大语言模型评测已跨越标准化考试的初级检验阶段，正朝着辨证思维链条构建、处方安全性审查及古籍知识挖掘等彰显中医认知特质的方向延伸，体现出评测内容从"知识记忆"向"专业智能体"能力考查的逐步深入。但从整体格局审视，评测实践仍以文本单模态为主导，其深层局限可凝练为三类系统性问题，分别对应诊疗信息的输入维度、安全维度与过程—结局维度。</w:t>
      </w:r>
    </w:p>
    <w:p w14:paraId="0356D05F">
      <w:pPr>
        <w:spacing w:line="360" w:lineRule="auto"/>
        <w:ind w:firstLine="440" w:firstLineChars="200"/>
        <w:jc w:val="both"/>
        <w:rPr>
          <w:rFonts w:hint="eastAsia" w:ascii="宋体" w:hAnsi="宋体" w:eastAsia="宋体" w:cs="宋体"/>
          <w:color w:val="FF0000"/>
        </w:rPr>
      </w:pPr>
    </w:p>
    <w:p w14:paraId="440BA54E">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其一，输入层面的能力高估，源于"文本封闭假设"对中医四诊感知本质的背离。 望、闻、问、切本质上是依托视觉、听觉、嗅觉与触觉的多模态信息采集过程，而现有基准将复杂的四诊合参简化为文本到文本的映射任务，剥离了舌象、面色、脉象、声息等非文本感官信息。模型在此类静态文本数据集上的优良表现，仅能反映其语言层面的知识复现能力，并不足以证明其具备多感官信息融合与情境依赖的综合研判能力，从而极易高估模型的真实临床感知水平。</w:t>
      </w:r>
    </w:p>
    <w:p w14:paraId="2F0FCA36">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其二，安全层面的评价缺位，体现为对幻觉生成、错误信息校准及跨模态信息冲突处置等核心安全属性的系统性忽视。 即使模型在标准测试中答题合格，其在真实用药指导与风险预警中的潜在隐患，仍缺乏可操作、多维度的评价标尺，安全性始终游离于现有评测体系之外。</w:t>
      </w:r>
    </w:p>
    <w:p w14:paraId="1AA0CD0B">
      <w:pPr>
        <w:spacing w:line="360" w:lineRule="auto"/>
        <w:ind w:firstLine="440" w:firstLineChars="200"/>
        <w:jc w:val="both"/>
        <w:rPr>
          <w:rFonts w:hint="eastAsia" w:ascii="宋体" w:hAnsi="宋体" w:eastAsia="宋体" w:cs="宋体"/>
          <w:color w:val="FF0000"/>
        </w:rPr>
      </w:pPr>
      <w:r>
        <w:rPr>
          <w:rFonts w:hint="eastAsia" w:ascii="宋体" w:hAnsi="宋体" w:eastAsia="宋体" w:cs="宋体"/>
          <w:color w:val="FF0000"/>
        </w:rPr>
        <w:t>其三，过程与结局层面的临床效用偏估，根植于"单次问答"评测范式与中医连续诊疗实践之间的结构性脱节。 中医诊疗是医患反复交互、四诊动态互参、随访调方持续优化的认知过程，而当前评测多以一次性问答为终局，既未刻画多轮交互中的动态决策能力，也缺少以患者结局为验证终点的闭环机制，据此难以推断模型在真实诊疗链条中的临床增益价值。</w:t>
      </w:r>
    </w:p>
    <w:p w14:paraId="2962F99F">
      <w:pPr>
        <w:spacing w:line="360" w:lineRule="auto"/>
        <w:ind w:firstLine="440" w:firstLineChars="200"/>
        <w:jc w:val="both"/>
        <w:rPr>
          <w:rFonts w:hint="eastAsia" w:ascii="宋体" w:hAnsi="宋体" w:eastAsia="宋体" w:cs="宋体"/>
          <w:color w:val="FF0000"/>
        </w:rPr>
      </w:pPr>
      <w:bookmarkStart w:id="0" w:name="_GoBack"/>
      <w:bookmarkEnd w:id="0"/>
      <w:r>
        <w:rPr>
          <w:rFonts w:hint="eastAsia" w:ascii="宋体" w:hAnsi="宋体" w:eastAsia="宋体" w:cs="宋体"/>
          <w:color w:val="FF0000"/>
        </w:rPr>
        <w:t>现有评测体系过度聚焦于模型的“文本输出正确性”，而未能有效度量其“临床认知充分性”与“决策过程可靠性”。要使中医药大语言模型从“可用”走向“可信、可靠”，其核心路径在于重构评测范式</w:t>
      </w:r>
      <w:r>
        <w:rPr>
          <w:rFonts w:hint="eastAsia" w:eastAsia="宋体" w:cs="宋体"/>
          <w:color w:val="FF0000"/>
          <w:lang w:eastAsia="zh-CN"/>
        </w:rPr>
        <w:t>，</w:t>
      </w:r>
      <w:r>
        <w:rPr>
          <w:rFonts w:hint="eastAsia" w:ascii="宋体" w:hAnsi="宋体" w:eastAsia="宋体" w:cs="宋体"/>
          <w:color w:val="FF0000"/>
        </w:rPr>
        <w:t>将评价重心从文本问答的准确率转向临床多模态综合判断能力，并以真实世界的前瞻性结局数据作为最终验证尺度，构建“能力评估—安全审查—效用验证”三位一体的评测闭环。这既是人工智能与中医药交叉领域方法学创新的前沿挑战，也是推动中医药信息化、智能化深度融合与规范发展的基础性工程，亟需在高质量多模态数据基础建设、动态交互式评测协议开发及人机协同临床验证等方面形成系统性突破，以审慎而积极的姿态迎接智能时代中医药事业发展的机遇与责任。</w:t>
      </w:r>
    </w:p>
    <w:p w14:paraId="42A85771">
      <w:pPr>
        <w:spacing w:line="360" w:lineRule="auto"/>
        <w:ind w:firstLine="440" w:firstLineChars="200"/>
        <w:jc w:val="both"/>
        <w:rPr>
          <w:rFonts w:hint="eastAsia" w:ascii="宋体" w:hAnsi="宋体" w:eastAsia="宋体" w:cs="宋体"/>
          <w:color w:val="FF0000"/>
        </w:rPr>
      </w:pPr>
    </w:p>
    <w:p w14:paraId="248D64E5">
      <w:pPr>
        <w:rPr>
          <w:rFonts w:hint="eastAsia" w:ascii="宋体" w:hAnsi="宋体" w:eastAsia="宋体" w:cs="宋体"/>
        </w:rPr>
      </w:pPr>
      <w:r>
        <w:rPr>
          <w:rFonts w:hint="eastAsia" w:ascii="宋体" w:hAnsi="宋体" w:eastAsia="宋体" w:cs="宋体"/>
          <w:b/>
        </w:rPr>
        <w:t>利益冲突声明：</w:t>
      </w:r>
      <w:r>
        <w:rPr>
          <w:rFonts w:hint="eastAsia" w:ascii="宋体" w:hAnsi="宋体" w:eastAsia="宋体" w:cs="宋体"/>
        </w:rPr>
        <w:t>作者声明无利益冲突。</w:t>
      </w:r>
      <w:r>
        <w:rPr>
          <w:rFonts w:hint="eastAsia" w:ascii="宋体" w:hAnsi="宋体" w:eastAsia="宋体" w:cs="宋体"/>
        </w:rPr>
        <w:br w:type="page"/>
      </w:r>
    </w:p>
    <w:p w14:paraId="46959A4E">
      <w:pPr>
        <w:pStyle w:val="4"/>
        <w:rPr>
          <w:rFonts w:hint="eastAsia" w:ascii="宋体" w:hAnsi="宋体" w:eastAsia="宋体" w:cs="宋体"/>
        </w:rPr>
      </w:pPr>
      <w:r>
        <w:rPr>
          <w:rFonts w:hint="eastAsia" w:ascii="宋体" w:hAnsi="宋体" w:eastAsia="宋体" w:cs="宋体"/>
          <w:color w:val="000000"/>
        </w:rPr>
        <w:t>参考文献</w:t>
      </w:r>
    </w:p>
    <w:p w14:paraId="3BA233F8">
      <w:pPr>
        <w:ind w:left="720" w:hanging="720"/>
        <w:jc w:val="left"/>
        <w:rPr>
          <w:rFonts w:hint="eastAsia" w:ascii="宋体" w:hAnsi="宋体" w:eastAsia="宋体" w:cs="宋体"/>
        </w:rPr>
      </w:pPr>
      <w:r>
        <w:rPr>
          <w:rFonts w:hint="eastAsia" w:ascii="宋体" w:hAnsi="宋体" w:eastAsia="宋体" w:cs="宋体"/>
        </w:rPr>
        <w:t>[1] HAN C X, YANG G Y, LI H T, et al. Tuning and clinical application of large language models in traditional Chinese medicine: a scoping review[J]. Chinese Medicine, 2026, 21(1): 71.</w:t>
      </w:r>
    </w:p>
    <w:p w14:paraId="0D8FA0E0">
      <w:pPr>
        <w:ind w:left="720" w:hanging="720"/>
        <w:jc w:val="left"/>
        <w:rPr>
          <w:rFonts w:hint="eastAsia" w:ascii="宋体" w:hAnsi="宋体" w:eastAsia="宋体" w:cs="宋体"/>
        </w:rPr>
      </w:pPr>
      <w:r>
        <w:rPr>
          <w:rFonts w:hint="eastAsia" w:ascii="宋体" w:hAnsi="宋体" w:eastAsia="宋体" w:cs="宋体"/>
        </w:rPr>
        <w:t>[2] YIP H F, LI Z M, ZHANG L, et al. Large language models in integrative medicine: progress, challenges, and opportunities[J]. Journal of Evidence-Based Medicine, 2025, 18(2): e70031.</w:t>
      </w:r>
    </w:p>
    <w:p w14:paraId="41A9DBDC">
      <w:pPr>
        <w:ind w:left="720" w:hanging="720"/>
        <w:jc w:val="left"/>
        <w:rPr>
          <w:rFonts w:hint="eastAsia" w:ascii="宋体" w:hAnsi="宋体" w:eastAsia="宋体" w:cs="宋体"/>
        </w:rPr>
      </w:pPr>
      <w:r>
        <w:rPr>
          <w:rFonts w:hint="eastAsia" w:ascii="宋体" w:hAnsi="宋体" w:eastAsia="宋体" w:cs="宋体"/>
        </w:rPr>
        <w:t>[3] LI Y Z, HUANG S H, QI J X, et al. Evaluating large-scale and lightweight large language models for traditional Chinese medicine exam questions: a comparative study[J]. Journal of Evidence-Based Medicine, 2026, 19(1): e70118.</w:t>
      </w:r>
    </w:p>
    <w:p w14:paraId="0284FCE3">
      <w:pPr>
        <w:ind w:left="720" w:hanging="720"/>
        <w:jc w:val="left"/>
        <w:rPr>
          <w:rFonts w:hint="eastAsia" w:ascii="宋体" w:hAnsi="宋体" w:eastAsia="宋体" w:cs="宋体"/>
        </w:rPr>
      </w:pPr>
      <w:r>
        <w:rPr>
          <w:rFonts w:hint="eastAsia" w:ascii="宋体" w:hAnsi="宋体" w:eastAsia="宋体" w:cs="宋体"/>
        </w:rPr>
        <w:t>[4] JANG D Y, YUN T R, LEE C Y, et al. GPT-4 can pass the Korean National Licensing Examination for Korean Medicine Doctors[J]. PLOS Digital Health, 2023, 2(12): e0000416.</w:t>
      </w:r>
    </w:p>
    <w:p w14:paraId="4DAF0265">
      <w:pPr>
        <w:ind w:left="720" w:hanging="720"/>
        <w:jc w:val="left"/>
        <w:rPr>
          <w:rFonts w:hint="eastAsia" w:ascii="宋体" w:hAnsi="宋体" w:eastAsia="宋体" w:cs="宋体"/>
        </w:rPr>
      </w:pPr>
      <w:r>
        <w:rPr>
          <w:rFonts w:hint="eastAsia" w:ascii="宋体" w:hAnsi="宋体" w:eastAsia="宋体" w:cs="宋体"/>
        </w:rPr>
        <w:t>[5] 曹露, 许林, 张宇洁, 等. 大语言模型在中医领域的标准化评估[J]. 南京中医药大学学报, 2024, 40(12): 1383-1392.</w:t>
      </w:r>
    </w:p>
    <w:p w14:paraId="1C915166">
      <w:pPr>
        <w:ind w:left="720" w:hanging="720"/>
        <w:jc w:val="left"/>
        <w:rPr>
          <w:rFonts w:hint="eastAsia" w:ascii="宋体" w:hAnsi="宋体" w:eastAsia="宋体" w:cs="宋体"/>
        </w:rPr>
      </w:pPr>
      <w:r>
        <w:rPr>
          <w:rFonts w:hint="eastAsia" w:ascii="宋体" w:hAnsi="宋体" w:eastAsia="宋体" w:cs="宋体"/>
        </w:rPr>
        <w:t>[6] 郝梦. 面向大语言模型的中医辨证思维测评数据集构建研究[D]. 北京: 中国中医科学院, 2025.</w:t>
      </w:r>
    </w:p>
    <w:p w14:paraId="1EF149EB">
      <w:pPr>
        <w:ind w:left="720" w:hanging="720"/>
        <w:jc w:val="left"/>
        <w:rPr>
          <w:rFonts w:hint="eastAsia" w:ascii="宋体" w:hAnsi="宋体" w:eastAsia="宋体" w:cs="宋体"/>
        </w:rPr>
      </w:pPr>
      <w:r>
        <w:rPr>
          <w:rFonts w:hint="eastAsia" w:ascii="宋体" w:hAnsi="宋体" w:eastAsia="宋体" w:cs="宋体"/>
        </w:rPr>
        <w:t>[7] CHEN C L, WANG X Y, GUAN M, et al. Evaluating and improving syndrome differentiation thinking ability in large language models: method development study[J]. JMIR Medical Informatics, 2025, 13: e75103.</w:t>
      </w:r>
    </w:p>
    <w:p w14:paraId="0DF2B899">
      <w:pPr>
        <w:ind w:left="720" w:hanging="720"/>
        <w:jc w:val="left"/>
        <w:rPr>
          <w:rFonts w:hint="eastAsia" w:ascii="宋体" w:hAnsi="宋体" w:eastAsia="宋体" w:cs="宋体"/>
        </w:rPr>
      </w:pPr>
      <w:r>
        <w:rPr>
          <w:rFonts w:hint="eastAsia" w:ascii="宋体" w:hAnsi="宋体" w:eastAsia="宋体" w:cs="宋体"/>
        </w:rPr>
        <w:t>[8] NIE G X, ZHOU Y L, XU D Y, et al. DiagX-DT: diagnostic exclusion reasoning with dialectical thinking for traditional Chinese medicine in large language models[J]. Journal of King Saud University-Computer and Information Sciences, 2025, 37(5): 102.</w:t>
      </w:r>
    </w:p>
    <w:p w14:paraId="5607CA7E">
      <w:pPr>
        <w:ind w:left="720" w:hanging="720"/>
        <w:jc w:val="left"/>
        <w:rPr>
          <w:rFonts w:hint="eastAsia" w:ascii="宋体" w:hAnsi="宋体" w:eastAsia="宋体" w:cs="宋体"/>
        </w:rPr>
      </w:pPr>
      <w:r>
        <w:rPr>
          <w:rFonts w:hint="eastAsia" w:ascii="宋体" w:hAnsi="宋体" w:eastAsia="宋体" w:cs="宋体"/>
        </w:rPr>
        <w:t>[9] LIN J X, DAI G, PENG W J, et al. ATCMD-Bench: agentic traditional Chinese medicine diagnosis benchmark for large language models via multi-agent simulation[J]. Pattern Recognition, 2026, 179: 113679.</w:t>
      </w:r>
    </w:p>
    <w:p w14:paraId="4FA2C90A">
      <w:pPr>
        <w:ind w:left="720" w:hanging="720"/>
        <w:jc w:val="left"/>
        <w:rPr>
          <w:rFonts w:hint="eastAsia" w:ascii="宋体" w:hAnsi="宋体" w:eastAsia="宋体" w:cs="宋体"/>
        </w:rPr>
      </w:pPr>
      <w:r>
        <w:rPr>
          <w:rFonts w:hint="eastAsia" w:ascii="宋体" w:hAnsi="宋体" w:eastAsia="宋体" w:cs="宋体"/>
        </w:rPr>
        <w:t>[10] SHI D S, YI X, LI Y, et al. Benchmarking large language models for end-to-end clinical support in traditional Chinese medicine[J]. Expert Systems with Applications, 2026, 325: 132267.</w:t>
      </w:r>
    </w:p>
    <w:p w14:paraId="518F4FF3">
      <w:pPr>
        <w:ind w:left="720" w:hanging="720"/>
        <w:jc w:val="left"/>
        <w:rPr>
          <w:rFonts w:hint="eastAsia" w:ascii="宋体" w:hAnsi="宋体" w:eastAsia="宋体" w:cs="宋体"/>
        </w:rPr>
      </w:pPr>
      <w:r>
        <w:rPr>
          <w:rFonts w:hint="eastAsia" w:ascii="宋体" w:hAnsi="宋体" w:eastAsia="宋体" w:cs="宋体"/>
        </w:rPr>
        <w:t>[11] ZHENG Y W, YUAN J L, LIU L, et al. Evaluating large language models in traditional Chinese medicine with enhanced misinformation detection[C]// Companion of the 2025 ACM International Joint Conference on Pervasive and Ubiquitous Computing. New York: ACM, 2025: 1358-1363.</w:t>
      </w:r>
    </w:p>
    <w:p w14:paraId="33BBEF22">
      <w:pPr>
        <w:ind w:left="720" w:hanging="720"/>
        <w:jc w:val="left"/>
        <w:rPr>
          <w:rFonts w:hint="eastAsia" w:ascii="宋体" w:hAnsi="宋体" w:eastAsia="宋体" w:cs="宋体"/>
        </w:rPr>
      </w:pPr>
      <w:r>
        <w:rPr>
          <w:rFonts w:hint="eastAsia" w:ascii="宋体" w:hAnsi="宋体" w:eastAsia="宋体" w:cs="宋体"/>
        </w:rPr>
        <w:t>[12] WANG B F, LU Y W, WANG Z, et al. TCMEval-PA: a question-answering benchmark dataset for the prescription audit of traditional Chinese medicine[J]. Scientific Data, 2025, 12(1): 79.</w:t>
      </w:r>
    </w:p>
    <w:p w14:paraId="441F3539">
      <w:pPr>
        <w:ind w:left="720" w:hanging="720"/>
        <w:jc w:val="left"/>
        <w:rPr>
          <w:rFonts w:hint="eastAsia" w:ascii="宋体" w:hAnsi="宋体" w:eastAsia="宋体" w:cs="宋体"/>
        </w:rPr>
      </w:pPr>
      <w:r>
        <w:rPr>
          <w:rFonts w:hint="eastAsia" w:ascii="宋体" w:hAnsi="宋体" w:eastAsia="宋体" w:cs="宋体"/>
        </w:rPr>
        <w:t>[13] LU H M, LIU L, YUAN J L, et al. TCM-Align: curriculum-aligned MCQ generation for traditional Chinese medicine[C]// Companion of the 2025 ACM International Joint Conference on Pervasive and Ubiquitous Computing. New York: ACM, 2025: 1382-1387.</w:t>
      </w:r>
    </w:p>
    <w:p w14:paraId="7C19FBC1">
      <w:pPr>
        <w:ind w:left="720" w:hanging="720"/>
        <w:jc w:val="left"/>
        <w:rPr>
          <w:rFonts w:hint="eastAsia" w:ascii="宋体" w:hAnsi="宋体" w:eastAsia="宋体" w:cs="宋体"/>
        </w:rPr>
      </w:pPr>
      <w:r>
        <w:rPr>
          <w:rFonts w:hint="eastAsia" w:ascii="宋体" w:hAnsi="宋体" w:eastAsia="宋体" w:cs="宋体"/>
        </w:rPr>
        <w:t>[14] 赵尚卿, 兰曼, 柏晓鹏, 等. 负屃:古汉语文本理解与生成能力评测基准[J]. 中文信息学报, 2026, 40(1): 85-99.</w:t>
      </w:r>
    </w:p>
    <w:p w14:paraId="23804AE6">
      <w:pPr>
        <w:ind w:left="720" w:hanging="720"/>
        <w:jc w:val="left"/>
        <w:rPr>
          <w:rFonts w:hint="eastAsia" w:ascii="宋体" w:hAnsi="宋体" w:eastAsia="宋体" w:cs="宋体"/>
        </w:rPr>
      </w:pPr>
      <w:r>
        <w:rPr>
          <w:rFonts w:hint="eastAsia" w:ascii="宋体" w:hAnsi="宋体" w:eastAsia="宋体" w:cs="宋体"/>
        </w:rPr>
        <w:t>[15] YU N, HUANG J, LIU J, et al. Development of a cold-heat syndrome classification model for children with allergic rhinitis based on multimodal data[J]. Translational Pediatrics, 2025, 14(12): 3375-3386.</w:t>
      </w:r>
    </w:p>
    <w:p w14:paraId="5E9C54B4">
      <w:pPr>
        <w:ind w:left="720" w:hanging="720"/>
        <w:jc w:val="left"/>
        <w:rPr>
          <w:rFonts w:hint="eastAsia" w:ascii="宋体" w:hAnsi="宋体" w:eastAsia="宋体" w:cs="宋体"/>
        </w:rPr>
      </w:pPr>
      <w:r>
        <w:rPr>
          <w:rFonts w:hint="eastAsia" w:ascii="宋体" w:hAnsi="宋体" w:eastAsia="宋体" w:cs="宋体"/>
        </w:rPr>
        <w:t>[16] PENG C D, GAO J, YANG N, et al. Application of a large visual language model on tongue image description generation and physical constitution reasoning in traditional Chinese medicine (TongueVLM): model development and validation study[J]. JMIR Medical Informatics, 2026, 14: e87237.</w:t>
      </w:r>
    </w:p>
    <w:p w14:paraId="28738BA7">
      <w:pPr>
        <w:ind w:left="720" w:hanging="720"/>
        <w:jc w:val="left"/>
        <w:rPr>
          <w:rFonts w:hint="eastAsia" w:ascii="宋体" w:hAnsi="宋体" w:eastAsia="宋体" w:cs="宋体"/>
        </w:rPr>
      </w:pPr>
      <w:r>
        <w:rPr>
          <w:rFonts w:hint="eastAsia" w:ascii="宋体" w:hAnsi="宋体" w:eastAsia="宋体" w:cs="宋体"/>
        </w:rPr>
        <w:t>[17] FU C Z, FU Z L, YAN S J, et al. In-context multitask learning for few-shot fine-tuning of large language models in traditional Chinese medicine tongue diagnosis[C]// ICASSP 2025. Piscataway: IEEE, 2025: 1-5.</w:t>
      </w:r>
    </w:p>
    <w:p w14:paraId="4EAFFAFB">
      <w:pPr>
        <w:ind w:left="720" w:hanging="720"/>
        <w:jc w:val="left"/>
        <w:rPr>
          <w:rFonts w:hint="eastAsia" w:ascii="宋体" w:hAnsi="宋体" w:eastAsia="宋体" w:cs="宋体"/>
        </w:rPr>
      </w:pPr>
      <w:r>
        <w:rPr>
          <w:rFonts w:hint="eastAsia" w:ascii="宋体" w:hAnsi="宋体" w:eastAsia="宋体" w:cs="宋体"/>
        </w:rPr>
        <w:t>[18] 张童, 王一凡, 王若佳, 等. 面向中医药领域专业能力的生成式大语言模型对比研究[J]. 中华中医药学刊, 2025, 43(10): 19-27.</w:t>
      </w:r>
    </w:p>
    <w:p w14:paraId="3C650503">
      <w:pPr>
        <w:ind w:left="720" w:hanging="720"/>
        <w:jc w:val="left"/>
        <w:rPr>
          <w:rFonts w:hint="eastAsia" w:ascii="宋体" w:hAnsi="宋体" w:eastAsia="宋体" w:cs="宋体"/>
        </w:rPr>
      </w:pPr>
      <w:r>
        <w:rPr>
          <w:rFonts w:hint="eastAsia" w:ascii="宋体" w:hAnsi="宋体" w:eastAsia="宋体" w:cs="宋体"/>
        </w:rPr>
        <w:t>[19] DAI Y Z, SHAO X, ZHANG J L, et al. TCMChat: a generative large language model for traditional Chinese medicine[J]. Pharmacological Research, 2024, 210: 107530.</w:t>
      </w:r>
    </w:p>
    <w:p w14:paraId="61E0BE83">
      <w:pPr>
        <w:ind w:left="720" w:hanging="720"/>
        <w:jc w:val="left"/>
        <w:rPr>
          <w:rFonts w:hint="eastAsia" w:ascii="宋体" w:hAnsi="宋体" w:eastAsia="宋体" w:cs="宋体"/>
        </w:rPr>
      </w:pPr>
      <w:r>
        <w:rPr>
          <w:rFonts w:hint="eastAsia" w:ascii="宋体" w:hAnsi="宋体" w:eastAsia="宋体" w:cs="宋体"/>
        </w:rPr>
        <w:t>[20] TONG X M, DING X Z, JIA H R, et al. XuanHuGPT: parameter-efficient fine-tuning of large language model in the field of traditional Chinese medicine[J]. Chinese Medicine, 2025, 20(1): 204.</w:t>
      </w:r>
    </w:p>
    <w:p w14:paraId="13920C12">
      <w:pPr>
        <w:ind w:left="720" w:hanging="720"/>
        <w:jc w:val="left"/>
        <w:rPr>
          <w:rFonts w:hint="eastAsia" w:ascii="宋体" w:hAnsi="宋体" w:eastAsia="宋体" w:cs="宋体"/>
        </w:rPr>
      </w:pPr>
      <w:r>
        <w:rPr>
          <w:rFonts w:hint="eastAsia" w:ascii="宋体" w:hAnsi="宋体" w:eastAsia="宋体" w:cs="宋体"/>
        </w:rPr>
        <w:t>[21] JIA Y Z, JI X Y, WANG X, et al. Qibo: a large language model for traditional Chinese medicine[J]. Expert Systems with Applications, 2025, 284: 127672.</w:t>
      </w:r>
    </w:p>
    <w:p w14:paraId="3AB23647">
      <w:pPr>
        <w:ind w:left="720" w:hanging="720"/>
        <w:jc w:val="left"/>
        <w:rPr>
          <w:rFonts w:hint="eastAsia" w:ascii="宋体" w:hAnsi="宋体" w:eastAsia="宋体" w:cs="宋体"/>
        </w:rPr>
      </w:pPr>
      <w:r>
        <w:rPr>
          <w:rFonts w:hint="eastAsia" w:ascii="宋体" w:hAnsi="宋体" w:eastAsia="宋体" w:cs="宋体"/>
        </w:rPr>
        <w:t>[22] ZHAO W L, LAI H H, PAN B, et al. Assessing the adherence of large language models to clinical practice guidelines in Chinese medicine: a content analysis[J]. Frontiers in Pharmacology, 2025, 16: 1649041.</w:t>
      </w:r>
    </w:p>
    <w:p w14:paraId="49D4832B">
      <w:pPr>
        <w:ind w:left="720" w:hanging="720"/>
        <w:jc w:val="left"/>
        <w:rPr>
          <w:rFonts w:hint="eastAsia" w:ascii="宋体" w:hAnsi="宋体" w:eastAsia="宋体" w:cs="宋体"/>
        </w:rPr>
      </w:pPr>
      <w:r>
        <w:rPr>
          <w:rFonts w:hint="eastAsia" w:ascii="宋体" w:hAnsi="宋体" w:eastAsia="宋体" w:cs="宋体"/>
        </w:rPr>
        <w:t>[23] WANG B F, ZHANG M W, WANG Z, et al. Supporting postgraduate exam preparation with large language models: implications for traditional Chinese medicine education[J]. Frontiers in Medicine, 2026, 12: 1667104.</w:t>
      </w:r>
    </w:p>
    <w:p w14:paraId="16FDF5B4">
      <w:pPr>
        <w:ind w:left="720" w:hanging="720"/>
        <w:jc w:val="left"/>
        <w:rPr>
          <w:rFonts w:hint="eastAsia" w:ascii="宋体" w:hAnsi="宋体" w:eastAsia="宋体" w:cs="宋体"/>
        </w:rPr>
      </w:pPr>
      <w:r>
        <w:rPr>
          <w:rFonts w:hint="eastAsia" w:ascii="宋体" w:hAnsi="宋体" w:eastAsia="宋体" w:cs="宋体"/>
        </w:rPr>
        <w:t>[24] GHANAD E, WEISS C, GAO H, et al. GPT versus ERNIE for national traditional Chinese medicine licensing examination: does cultural background matter?[J]. Journal of Integrative and Complementary Medicine, 2025, 31(9): 844-848.</w:t>
      </w:r>
    </w:p>
    <w:p w14:paraId="076007A0">
      <w:pPr>
        <w:ind w:left="720" w:hanging="720"/>
        <w:jc w:val="left"/>
        <w:rPr>
          <w:rFonts w:hint="eastAsia" w:ascii="宋体" w:hAnsi="宋体" w:eastAsia="宋体" w:cs="宋体"/>
        </w:rPr>
      </w:pPr>
      <w:r>
        <w:rPr>
          <w:rFonts w:hint="eastAsia" w:ascii="宋体" w:hAnsi="宋体" w:eastAsia="宋体" w:cs="宋体"/>
        </w:rPr>
        <w:t>[25] ZHU L X, MOU W M, LAI Y C, et al. Language and cultural bias in AI: comparing the performance of large language models developed in different countries on traditional Chinese medicine highlights the need for localized models[J]. Journal of Translational Medicine, 2024, 22(1): 319.</w:t>
      </w:r>
    </w:p>
    <w:p w14:paraId="36E0BC9F">
      <w:pPr>
        <w:ind w:left="720" w:hanging="720"/>
        <w:jc w:val="left"/>
        <w:rPr>
          <w:rFonts w:hint="eastAsia" w:ascii="宋体" w:hAnsi="宋体" w:eastAsia="宋体" w:cs="宋体"/>
        </w:rPr>
      </w:pPr>
      <w:r>
        <w:rPr>
          <w:rFonts w:hint="eastAsia" w:ascii="宋体" w:hAnsi="宋体" w:eastAsia="宋体" w:cs="宋体"/>
        </w:rPr>
        <w:t>[26] LIU Z, YANG T, WANG J, et al. Tianyi: a traditional Chinese medicine all-rounder language model and its real-world clinical practice[J]. Information Fusion, 2026, 126: 103663.</w:t>
      </w:r>
    </w:p>
    <w:p w14:paraId="08181A42">
      <w:pPr>
        <w:ind w:left="720" w:hanging="720"/>
        <w:jc w:val="left"/>
        <w:rPr>
          <w:rFonts w:hint="eastAsia" w:ascii="宋体" w:hAnsi="宋体" w:eastAsia="宋体" w:cs="宋体"/>
        </w:rPr>
      </w:pPr>
      <w:r>
        <w:rPr>
          <w:rFonts w:hint="eastAsia" w:ascii="宋体" w:hAnsi="宋体" w:eastAsia="宋体" w:cs="宋体"/>
        </w:rPr>
        <w:t>[27] YANG Q R, HAN J X, WANG H Z, et al. Knowledge graph enhanced large language models for traditional Chinese medicine question-answering[C]// 2026 IEEE International Conference on Big Data and Smart Computing (BigComp). Piscataway: IEEE, 2025: 96-103.</w:t>
      </w:r>
    </w:p>
    <w:p w14:paraId="4859B7C8">
      <w:pPr>
        <w:ind w:left="720" w:hanging="720"/>
        <w:jc w:val="left"/>
        <w:rPr>
          <w:rFonts w:hint="eastAsia" w:ascii="宋体" w:hAnsi="宋体" w:eastAsia="宋体" w:cs="宋体"/>
        </w:rPr>
      </w:pPr>
      <w:r>
        <w:rPr>
          <w:rFonts w:hint="eastAsia" w:ascii="宋体" w:hAnsi="宋体" w:eastAsia="宋体" w:cs="宋体"/>
        </w:rPr>
        <w:t>[28] DUAN Y C, ZHOU Q Q, LI Y, et al. Research on a traditional Chinese medicine case-based question-answering system integrating large language models and knowledge graphs[J]. Frontiers in Medicine, 2025, 11: 1512329.</w:t>
      </w:r>
    </w:p>
    <w:p w14:paraId="1D0755C8">
      <w:pPr>
        <w:ind w:left="720" w:hanging="720"/>
        <w:jc w:val="left"/>
        <w:rPr>
          <w:rFonts w:hint="eastAsia" w:ascii="宋体" w:hAnsi="宋体" w:eastAsia="宋体" w:cs="宋体"/>
        </w:rPr>
      </w:pPr>
      <w:r>
        <w:rPr>
          <w:rFonts w:hint="eastAsia" w:ascii="宋体" w:hAnsi="宋体" w:eastAsia="宋体" w:cs="宋体"/>
        </w:rPr>
        <w:t>[29] HUA R, DONG X, WEI Y, et al. Lingdan: enhancing encoding of traditional Chinese medicine knowledge for clinical reasoning tasks with large language models[J]. Journal of the American Medical Informatics Association, 2024, 31(9): 2019-2029.</w:t>
      </w:r>
    </w:p>
    <w:p w14:paraId="61DC1E03">
      <w:pPr>
        <w:ind w:left="720" w:hanging="720"/>
        <w:jc w:val="left"/>
        <w:rPr>
          <w:rFonts w:hint="eastAsia" w:ascii="宋体" w:hAnsi="宋体" w:eastAsia="宋体" w:cs="宋体"/>
        </w:rPr>
      </w:pPr>
      <w:r>
        <w:rPr>
          <w:rFonts w:hint="eastAsia" w:ascii="宋体" w:hAnsi="宋体" w:eastAsia="宋体" w:cs="宋体"/>
        </w:rPr>
        <w:t>[30] WEN J, LIU D D, XIE Y X, et al. AcuGPT-Agent: an LLM-powered intelligent system for acupuncture-based infertility treatment[J]. Neurocomputing, 2025, 652: 131116.</w:t>
      </w:r>
    </w:p>
    <w:p w14:paraId="65B6D18F">
      <w:pPr>
        <w:ind w:left="720" w:hanging="720"/>
        <w:jc w:val="left"/>
        <w:rPr>
          <w:rFonts w:hint="eastAsia" w:ascii="宋体" w:hAnsi="宋体" w:eastAsia="宋体" w:cs="宋体"/>
        </w:rPr>
      </w:pPr>
      <w:r>
        <w:rPr>
          <w:rFonts w:hint="eastAsia" w:ascii="宋体" w:hAnsi="宋体" w:eastAsia="宋体" w:cs="宋体"/>
        </w:rPr>
        <w:t>[31] WANG Z, LI K Q, PENG S Y, et al. A weighted voting approach for traditional Chinese medicine formula classification using large language models: algorithm development and validation study[J]. JMIR Medical Informatics, 2025, 13: e69286.</w:t>
      </w:r>
    </w:p>
    <w:p w14:paraId="7F92A88E">
      <w:pPr>
        <w:ind w:left="720" w:hanging="720"/>
        <w:jc w:val="left"/>
        <w:rPr>
          <w:rFonts w:hint="eastAsia" w:ascii="宋体" w:hAnsi="宋体" w:eastAsia="宋体" w:cs="宋体"/>
        </w:rPr>
      </w:pPr>
      <w:r>
        <w:rPr>
          <w:rFonts w:hint="eastAsia" w:ascii="宋体" w:hAnsi="宋体" w:eastAsia="宋体" w:cs="宋体"/>
        </w:rPr>
        <w:t>[32] ZHANG R X, XIE W D, LIN Q Z, et al. When East meets West: cross-domain drug interaction annotations with large language models and bidirectional neural networks[J]. IEEE Journal of Biomedical and Health Informatics, 2025, 29(10): 7694-7703.</w:t>
      </w:r>
    </w:p>
    <w:p w14:paraId="4041C96C">
      <w:pPr>
        <w:ind w:left="720" w:hanging="720"/>
        <w:jc w:val="left"/>
        <w:rPr>
          <w:rFonts w:hint="eastAsia" w:ascii="宋体" w:hAnsi="宋体" w:eastAsia="宋体" w:cs="宋体"/>
        </w:rPr>
      </w:pPr>
      <w:r>
        <w:rPr>
          <w:rFonts w:hint="eastAsia" w:ascii="宋体" w:hAnsi="宋体" w:eastAsia="宋体" w:cs="宋体"/>
        </w:rPr>
        <w:t>[33] XU Q, ZHAO Z H, LIU W W, et al. A character-level convolutional recurrent interaction network for joint traditional Chinese medicine clinical named entity recognition and relation extraction[J]. Artificial Intelligence in Medicine, 2026, 175: 103372.</w:t>
      </w:r>
    </w:p>
    <w:p w14:paraId="4AEAEC6D">
      <w:pPr>
        <w:ind w:left="720" w:hanging="720"/>
        <w:jc w:val="left"/>
        <w:rPr>
          <w:rFonts w:hint="eastAsia" w:ascii="宋体" w:hAnsi="宋体" w:eastAsia="宋体" w:cs="宋体"/>
        </w:rPr>
      </w:pPr>
      <w:r>
        <w:rPr>
          <w:rFonts w:hint="eastAsia" w:ascii="宋体" w:hAnsi="宋体" w:eastAsia="宋体" w:cs="宋体"/>
        </w:rPr>
        <w:t>[34] MOOR M, BANERJEE O, ABAD Z S H, et al. Foundation models for generalist medical artificial intelligence[J]. Nature, 2023, 616(7956): 259-265.</w:t>
      </w:r>
    </w:p>
    <w:p w14:paraId="02B2110E">
      <w:pPr>
        <w:ind w:left="720" w:hanging="720"/>
        <w:jc w:val="left"/>
        <w:rPr>
          <w:rFonts w:hint="eastAsia" w:ascii="宋体" w:hAnsi="宋体" w:eastAsia="宋体" w:cs="宋体"/>
        </w:rPr>
      </w:pPr>
      <w:r>
        <w:rPr>
          <w:rFonts w:hint="eastAsia" w:ascii="宋体" w:hAnsi="宋体" w:eastAsia="宋体" w:cs="宋体"/>
        </w:rPr>
        <w:t>[35] SINGHAL K, AZIZI S, TU T, et al. Large language models encode clinical knowledge[J]. Nature, 2023, 620(7972): 172-180.</w:t>
      </w:r>
    </w:p>
    <w:p w14:paraId="5F00353A">
      <w:pPr>
        <w:ind w:left="720" w:hanging="720"/>
        <w:jc w:val="left"/>
        <w:rPr>
          <w:rFonts w:hint="eastAsia" w:ascii="宋体" w:hAnsi="宋体" w:eastAsia="宋体" w:cs="宋体"/>
        </w:rPr>
      </w:pPr>
      <w:r>
        <w:rPr>
          <w:rFonts w:hint="eastAsia" w:ascii="宋体" w:hAnsi="宋体" w:eastAsia="宋体" w:cs="宋体"/>
        </w:rPr>
        <w:t>[36] LIU Y, YUAN Y S, YAN K M, et al. Evaluating the role of large language models in traditional Chinese medicine diagnosis and treatment recommendations[J]. npj Digital Medicine, 2025, 8(1): 466.</w:t>
      </w:r>
    </w:p>
    <w:p w14:paraId="3180ACC8">
      <w:pPr>
        <w:ind w:left="720" w:hanging="720"/>
        <w:jc w:val="left"/>
        <w:rPr>
          <w:rFonts w:hint="eastAsia" w:ascii="宋体" w:hAnsi="宋体" w:eastAsia="宋体" w:cs="宋体"/>
        </w:rPr>
      </w:pPr>
      <w:r>
        <w:rPr>
          <w:rFonts w:hint="eastAsia" w:ascii="宋体" w:hAnsi="宋体" w:eastAsia="宋体" w:cs="宋体"/>
        </w:rPr>
        <w:t>[37] TOPOL E J. High-performance medicine: the convergence of human and artificial intelligence[J]. Nature Medicine, 2019, 25(1): 44-56.</w:t>
      </w:r>
    </w:p>
    <w:p w14:paraId="1856FECC">
      <w:pPr>
        <w:ind w:left="720" w:hanging="720"/>
        <w:jc w:val="left"/>
        <w:rPr>
          <w:rFonts w:hint="eastAsia" w:ascii="宋体" w:hAnsi="宋体" w:eastAsia="宋体" w:cs="宋体"/>
        </w:rPr>
      </w:pPr>
      <w:r>
        <w:rPr>
          <w:rFonts w:hint="eastAsia" w:ascii="宋体" w:hAnsi="宋体" w:eastAsia="宋体" w:cs="宋体"/>
        </w:rPr>
        <w:t>[38] 全国信息技术标准化技术委员会. 人工智能 大模型 第2部分: 评测指标与方法: GB/T 45288.2—2025[S]. 北京: 中国标准出版社, 2025.</w:t>
      </w:r>
    </w:p>
    <w:p w14:paraId="792E96A5">
      <w:pPr>
        <w:ind w:left="720" w:hanging="720"/>
        <w:jc w:val="left"/>
        <w:rPr>
          <w:rFonts w:hint="eastAsia" w:ascii="宋体" w:hAnsi="宋体" w:eastAsia="宋体" w:cs="宋体"/>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2BAB"/>
    <w:rsid w:val="0029639D"/>
    <w:rsid w:val="00326F90"/>
    <w:rsid w:val="005539A0"/>
    <w:rsid w:val="00AA1D8D"/>
    <w:rsid w:val="00B47730"/>
    <w:rsid w:val="00CB0664"/>
    <w:rsid w:val="00FC693F"/>
    <w:rsid w:val="016F0A91"/>
    <w:rsid w:val="02704AC1"/>
    <w:rsid w:val="027520D7"/>
    <w:rsid w:val="03DE5A5A"/>
    <w:rsid w:val="0451447E"/>
    <w:rsid w:val="047168CE"/>
    <w:rsid w:val="04AC1BED"/>
    <w:rsid w:val="04B862AB"/>
    <w:rsid w:val="04C2712A"/>
    <w:rsid w:val="05272903"/>
    <w:rsid w:val="068F128E"/>
    <w:rsid w:val="074F739B"/>
    <w:rsid w:val="07DB478B"/>
    <w:rsid w:val="07EA70C4"/>
    <w:rsid w:val="087E15BA"/>
    <w:rsid w:val="08FF6B9F"/>
    <w:rsid w:val="090D306A"/>
    <w:rsid w:val="093A3733"/>
    <w:rsid w:val="09815806"/>
    <w:rsid w:val="09A3752A"/>
    <w:rsid w:val="0A5E16A3"/>
    <w:rsid w:val="0B220922"/>
    <w:rsid w:val="0BC1013B"/>
    <w:rsid w:val="0C57284E"/>
    <w:rsid w:val="0DBA12E6"/>
    <w:rsid w:val="0DDF6F9F"/>
    <w:rsid w:val="0E0D7668"/>
    <w:rsid w:val="0E4312DC"/>
    <w:rsid w:val="0F8C280E"/>
    <w:rsid w:val="0FFA00C0"/>
    <w:rsid w:val="112E6273"/>
    <w:rsid w:val="11AD363C"/>
    <w:rsid w:val="12E34E3B"/>
    <w:rsid w:val="138A3509"/>
    <w:rsid w:val="148A7C64"/>
    <w:rsid w:val="152F25BA"/>
    <w:rsid w:val="15763D45"/>
    <w:rsid w:val="15CF16A7"/>
    <w:rsid w:val="15D078F9"/>
    <w:rsid w:val="15F829AC"/>
    <w:rsid w:val="16225C7A"/>
    <w:rsid w:val="1638549E"/>
    <w:rsid w:val="167A7865"/>
    <w:rsid w:val="16946B78"/>
    <w:rsid w:val="16976668"/>
    <w:rsid w:val="16D90A2F"/>
    <w:rsid w:val="18866995"/>
    <w:rsid w:val="19197809"/>
    <w:rsid w:val="191E097B"/>
    <w:rsid w:val="1B7C7BDB"/>
    <w:rsid w:val="1B8076CB"/>
    <w:rsid w:val="1BE91714"/>
    <w:rsid w:val="1CA4563B"/>
    <w:rsid w:val="1CCB706C"/>
    <w:rsid w:val="1CCE26B8"/>
    <w:rsid w:val="1D8D60CF"/>
    <w:rsid w:val="1DD2442A"/>
    <w:rsid w:val="1E171E3D"/>
    <w:rsid w:val="1E8C282B"/>
    <w:rsid w:val="1EBB6C6C"/>
    <w:rsid w:val="1F3F164B"/>
    <w:rsid w:val="1F680BA2"/>
    <w:rsid w:val="1FEA15B7"/>
    <w:rsid w:val="206770AC"/>
    <w:rsid w:val="20DB1848"/>
    <w:rsid w:val="210E39CB"/>
    <w:rsid w:val="22F34C27"/>
    <w:rsid w:val="231D7EF5"/>
    <w:rsid w:val="2369138D"/>
    <w:rsid w:val="24A51F50"/>
    <w:rsid w:val="25317C88"/>
    <w:rsid w:val="256040C9"/>
    <w:rsid w:val="25D845A8"/>
    <w:rsid w:val="26BB5A5B"/>
    <w:rsid w:val="277B51EB"/>
    <w:rsid w:val="281A4A03"/>
    <w:rsid w:val="28FC05AD"/>
    <w:rsid w:val="293B10D5"/>
    <w:rsid w:val="29A547A1"/>
    <w:rsid w:val="29B42C36"/>
    <w:rsid w:val="29C235A5"/>
    <w:rsid w:val="2A2C6C70"/>
    <w:rsid w:val="2A554419"/>
    <w:rsid w:val="2AA66A22"/>
    <w:rsid w:val="2AC31382"/>
    <w:rsid w:val="2BBB02AC"/>
    <w:rsid w:val="2C0E2AD1"/>
    <w:rsid w:val="2C6646BB"/>
    <w:rsid w:val="2CE35D0C"/>
    <w:rsid w:val="2D6D3827"/>
    <w:rsid w:val="2F097580"/>
    <w:rsid w:val="2F4F1437"/>
    <w:rsid w:val="2F7610B9"/>
    <w:rsid w:val="3049232A"/>
    <w:rsid w:val="30B11C7D"/>
    <w:rsid w:val="30CE282F"/>
    <w:rsid w:val="30F2476F"/>
    <w:rsid w:val="31B163D9"/>
    <w:rsid w:val="31C83722"/>
    <w:rsid w:val="31F12C79"/>
    <w:rsid w:val="31F938DC"/>
    <w:rsid w:val="32036508"/>
    <w:rsid w:val="32236BAB"/>
    <w:rsid w:val="32562ADC"/>
    <w:rsid w:val="32D22AAA"/>
    <w:rsid w:val="33C00B55"/>
    <w:rsid w:val="344277BC"/>
    <w:rsid w:val="34796F56"/>
    <w:rsid w:val="34C74165"/>
    <w:rsid w:val="3643781B"/>
    <w:rsid w:val="3667175C"/>
    <w:rsid w:val="377A726D"/>
    <w:rsid w:val="383B2EA0"/>
    <w:rsid w:val="387A0F38"/>
    <w:rsid w:val="38B14F10"/>
    <w:rsid w:val="38F31085"/>
    <w:rsid w:val="3A175247"/>
    <w:rsid w:val="3A23599A"/>
    <w:rsid w:val="3AB31024"/>
    <w:rsid w:val="3B057795"/>
    <w:rsid w:val="3B47390A"/>
    <w:rsid w:val="3B4A33FA"/>
    <w:rsid w:val="3B561D9F"/>
    <w:rsid w:val="3B5F0C53"/>
    <w:rsid w:val="3C917532"/>
    <w:rsid w:val="3CAF79B9"/>
    <w:rsid w:val="3CC571DC"/>
    <w:rsid w:val="3D0715A3"/>
    <w:rsid w:val="3D8E3A72"/>
    <w:rsid w:val="3DEE2762"/>
    <w:rsid w:val="3DF77869"/>
    <w:rsid w:val="3EBA43F3"/>
    <w:rsid w:val="414F52C6"/>
    <w:rsid w:val="417C5A7B"/>
    <w:rsid w:val="41AF045B"/>
    <w:rsid w:val="41CE08E1"/>
    <w:rsid w:val="42CF2B62"/>
    <w:rsid w:val="42FE51F6"/>
    <w:rsid w:val="431467C7"/>
    <w:rsid w:val="43FE2FD4"/>
    <w:rsid w:val="450B3BFA"/>
    <w:rsid w:val="45196317"/>
    <w:rsid w:val="457572C5"/>
    <w:rsid w:val="458614D2"/>
    <w:rsid w:val="46BC369C"/>
    <w:rsid w:val="4A9E2E1A"/>
    <w:rsid w:val="4ABA5EA6"/>
    <w:rsid w:val="4B1C090F"/>
    <w:rsid w:val="4B893ACB"/>
    <w:rsid w:val="4B9761E7"/>
    <w:rsid w:val="4C207F8B"/>
    <w:rsid w:val="4C5E6D05"/>
    <w:rsid w:val="4D0E4287"/>
    <w:rsid w:val="4DFE60AA"/>
    <w:rsid w:val="4E6A7BE3"/>
    <w:rsid w:val="4E8A5B90"/>
    <w:rsid w:val="4F8C5937"/>
    <w:rsid w:val="4F9A0054"/>
    <w:rsid w:val="4FB530E0"/>
    <w:rsid w:val="50E33C7D"/>
    <w:rsid w:val="5139389D"/>
    <w:rsid w:val="51B573C7"/>
    <w:rsid w:val="51EE6435"/>
    <w:rsid w:val="526D1A50"/>
    <w:rsid w:val="534053B7"/>
    <w:rsid w:val="535B5D4C"/>
    <w:rsid w:val="54330A77"/>
    <w:rsid w:val="54F63F7F"/>
    <w:rsid w:val="55116D80"/>
    <w:rsid w:val="565C42B5"/>
    <w:rsid w:val="569357FD"/>
    <w:rsid w:val="56BC4D54"/>
    <w:rsid w:val="56C1236A"/>
    <w:rsid w:val="574A6804"/>
    <w:rsid w:val="575C02E5"/>
    <w:rsid w:val="57EF1159"/>
    <w:rsid w:val="5814296E"/>
    <w:rsid w:val="58515970"/>
    <w:rsid w:val="585F1E3B"/>
    <w:rsid w:val="595B4CF8"/>
    <w:rsid w:val="5A8E2EAB"/>
    <w:rsid w:val="5A985AD8"/>
    <w:rsid w:val="5ABA77FD"/>
    <w:rsid w:val="5B2F01EA"/>
    <w:rsid w:val="5B8147BE"/>
    <w:rsid w:val="5DB22A0D"/>
    <w:rsid w:val="5DBE5856"/>
    <w:rsid w:val="5E435D5B"/>
    <w:rsid w:val="5F88611B"/>
    <w:rsid w:val="620D46B6"/>
    <w:rsid w:val="62571DD5"/>
    <w:rsid w:val="62F53AC8"/>
    <w:rsid w:val="63442359"/>
    <w:rsid w:val="63534C92"/>
    <w:rsid w:val="637A3FCD"/>
    <w:rsid w:val="63E458EA"/>
    <w:rsid w:val="645B3DFE"/>
    <w:rsid w:val="649E3CEB"/>
    <w:rsid w:val="6525440C"/>
    <w:rsid w:val="653D3504"/>
    <w:rsid w:val="655D5954"/>
    <w:rsid w:val="65842EE1"/>
    <w:rsid w:val="65CC6636"/>
    <w:rsid w:val="660758C0"/>
    <w:rsid w:val="66805D9E"/>
    <w:rsid w:val="6727446C"/>
    <w:rsid w:val="69623539"/>
    <w:rsid w:val="69912070"/>
    <w:rsid w:val="6AB778B5"/>
    <w:rsid w:val="6AC326FD"/>
    <w:rsid w:val="6B317667"/>
    <w:rsid w:val="6D284A9A"/>
    <w:rsid w:val="6DA85BDA"/>
    <w:rsid w:val="6DAD4F9F"/>
    <w:rsid w:val="6DB66549"/>
    <w:rsid w:val="6E2E60E0"/>
    <w:rsid w:val="6E7D7067"/>
    <w:rsid w:val="6F457B85"/>
    <w:rsid w:val="700E441B"/>
    <w:rsid w:val="718A7AD1"/>
    <w:rsid w:val="719721EE"/>
    <w:rsid w:val="71F31B1A"/>
    <w:rsid w:val="72273572"/>
    <w:rsid w:val="722E4900"/>
    <w:rsid w:val="73DC038C"/>
    <w:rsid w:val="73E060CE"/>
    <w:rsid w:val="74620891"/>
    <w:rsid w:val="7467234B"/>
    <w:rsid w:val="74744A68"/>
    <w:rsid w:val="7487654A"/>
    <w:rsid w:val="757A4300"/>
    <w:rsid w:val="759E7FEF"/>
    <w:rsid w:val="75AB44BA"/>
    <w:rsid w:val="75B63A90"/>
    <w:rsid w:val="75B94E29"/>
    <w:rsid w:val="75C31803"/>
    <w:rsid w:val="76742AFE"/>
    <w:rsid w:val="769A6A08"/>
    <w:rsid w:val="769B62DC"/>
    <w:rsid w:val="76A07D97"/>
    <w:rsid w:val="76F123A0"/>
    <w:rsid w:val="77040325"/>
    <w:rsid w:val="77933457"/>
    <w:rsid w:val="77A6318B"/>
    <w:rsid w:val="783E33C3"/>
    <w:rsid w:val="78526E6F"/>
    <w:rsid w:val="79305402"/>
    <w:rsid w:val="79701CA2"/>
    <w:rsid w:val="799040F2"/>
    <w:rsid w:val="7B5D1DB2"/>
    <w:rsid w:val="7B7F61CD"/>
    <w:rsid w:val="7C0B7A60"/>
    <w:rsid w:val="7CEF7382"/>
    <w:rsid w:val="7D292894"/>
    <w:rsid w:val="7D6E64F9"/>
    <w:rsid w:val="7DF10ED8"/>
    <w:rsid w:val="7E0230E5"/>
    <w:rsid w:val="7E4454AB"/>
    <w:rsid w:val="7E9C52E7"/>
    <w:rsid w:val="7EA36676"/>
    <w:rsid w:val="7EDE145C"/>
    <w:rsid w:val="7F0709B3"/>
    <w:rsid w:val="7F0A04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15724</Words>
  <Characters>25538</Characters>
  <Lines>0</Lines>
  <Paragraphs>0</Paragraphs>
  <TotalTime>31</TotalTime>
  <ScaleCrop>false</ScaleCrop>
  <LinksUpToDate>false</LinksUpToDate>
  <CharactersWithSpaces>27218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2026-06-17T06:18:31Z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FD0398F6219D4EBA91C175785F4725DE_12</vt:lpwstr>
  </property>
</Properties>
</file>