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AF3D14">
      <w:pPr>
        <w:spacing w:before="800" w:after="200" w:line="360" w:lineRule="auto"/>
        <w:jc w:val="center"/>
        <w:rPr>
          <w:rFonts w:ascii="黑体" w:hAnsi="黑体" w:eastAsia="黑体" w:cs="黑体"/>
          <w:b/>
          <w:bCs/>
          <w:sz w:val="40"/>
          <w:szCs w:val="40"/>
        </w:rPr>
      </w:pPr>
    </w:p>
    <w:p w14:paraId="53ADA464">
      <w:pPr>
        <w:spacing w:before="800" w:after="200" w:line="360" w:lineRule="auto"/>
        <w:jc w:val="center"/>
        <w:rPr>
          <w:rFonts w:ascii="黑体" w:hAnsi="黑体" w:eastAsia="黑体" w:cs="黑体"/>
          <w:b/>
          <w:bCs/>
          <w:sz w:val="40"/>
          <w:szCs w:val="40"/>
        </w:rPr>
      </w:pPr>
    </w:p>
    <w:p w14:paraId="190A956E">
      <w:pPr>
        <w:spacing w:before="800" w:after="200" w:line="360" w:lineRule="auto"/>
        <w:jc w:val="center"/>
      </w:pPr>
      <w:r>
        <w:rPr>
          <w:rFonts w:ascii="黑体" w:hAnsi="黑体" w:eastAsia="黑体" w:cs="黑体"/>
          <w:b/>
          <w:bCs/>
          <w:sz w:val="40"/>
          <w:szCs w:val="40"/>
        </w:rPr>
        <w:t>多模态中医药人工智能模型评测标准</w:t>
      </w:r>
    </w:p>
    <w:p w14:paraId="2B6F9CF1">
      <w:pPr>
        <w:spacing w:before="200" w:after="600" w:line="360" w:lineRule="auto"/>
        <w:jc w:val="center"/>
        <w:rPr>
          <w:rFonts w:ascii="黑体" w:hAnsi="黑体" w:eastAsia="黑体" w:cs="黑体"/>
          <w:b/>
          <w:bCs/>
          <w:sz w:val="36"/>
          <w:szCs w:val="36"/>
        </w:rPr>
      </w:pPr>
    </w:p>
    <w:p w14:paraId="766FA307">
      <w:pPr>
        <w:spacing w:before="200" w:after="600" w:line="360" w:lineRule="auto"/>
        <w:jc w:val="center"/>
        <w:rPr>
          <w:rFonts w:ascii="黑体" w:hAnsi="黑体" w:eastAsia="黑体" w:cs="黑体"/>
          <w:b/>
          <w:bCs/>
          <w:sz w:val="36"/>
          <w:szCs w:val="36"/>
        </w:rPr>
      </w:pPr>
    </w:p>
    <w:p w14:paraId="5D2AE17B">
      <w:pPr>
        <w:spacing w:before="200" w:after="600" w:line="360" w:lineRule="auto"/>
        <w:jc w:val="center"/>
        <w:rPr>
          <w:rFonts w:ascii="黑体" w:hAnsi="黑体" w:eastAsia="黑体" w:cs="黑体"/>
          <w:b/>
          <w:bCs/>
          <w:sz w:val="36"/>
          <w:szCs w:val="36"/>
        </w:rPr>
      </w:pPr>
      <w:r>
        <w:rPr>
          <w:rFonts w:ascii="黑体" w:hAnsi="黑体" w:eastAsia="黑体" w:cs="黑体"/>
          <w:b/>
          <w:bCs/>
          <w:sz w:val="36"/>
          <w:szCs w:val="36"/>
        </w:rPr>
        <w:t>编  制  说  明</w:t>
      </w:r>
    </w:p>
    <w:p w14:paraId="44ED3EF3">
      <w:pPr>
        <w:spacing w:before="200" w:after="600" w:line="360" w:lineRule="auto"/>
        <w:jc w:val="center"/>
        <w:rPr>
          <w:rFonts w:ascii="黑体" w:hAnsi="黑体" w:eastAsia="黑体" w:cs="黑体"/>
          <w:b/>
          <w:bCs/>
          <w:sz w:val="36"/>
          <w:szCs w:val="36"/>
        </w:rPr>
      </w:pPr>
    </w:p>
    <w:p w14:paraId="5FC6D358">
      <w:pPr>
        <w:spacing w:before="120" w:after="120" w:line="360" w:lineRule="auto"/>
        <w:jc w:val="center"/>
      </w:pPr>
      <w:r>
        <w:rPr>
          <w:rFonts w:ascii="仿宋_GB2312" w:hAnsi="仿宋_GB2312" w:eastAsia="仿宋_GB2312" w:cs="仿宋_GB2312"/>
          <w:sz w:val="24"/>
          <w:szCs w:val="24"/>
        </w:rPr>
        <w:t>项目承担单位：中国中医科学院中医药信息研究所、陕西中医药大学</w:t>
      </w:r>
    </w:p>
    <w:p w14:paraId="48AB93C2">
      <w:pPr>
        <w:spacing w:before="120" w:after="1000" w:line="360" w:lineRule="auto"/>
        <w:jc w:val="center"/>
      </w:pPr>
      <w:r>
        <w:rPr>
          <w:rFonts w:ascii="仿宋_GB2312" w:hAnsi="仿宋_GB2312" w:eastAsia="仿宋_GB2312" w:cs="仿宋_GB2312"/>
          <w:sz w:val="24"/>
          <w:szCs w:val="24"/>
        </w:rPr>
        <w:t>2025年5月</w:t>
      </w:r>
    </w:p>
    <w:p w14:paraId="51872A2A">
      <w:pPr>
        <w:spacing w:before="60" w:after="60" w:line="360" w:lineRule="auto"/>
        <w:ind w:left="720"/>
        <w:rPr>
          <w:rFonts w:ascii="黑体" w:hAnsi="黑体" w:eastAsia="黑体" w:cs="黑体"/>
          <w:b/>
          <w:bCs/>
          <w:sz w:val="28"/>
          <w:szCs w:val="28"/>
        </w:rPr>
      </w:pPr>
    </w:p>
    <w:p w14:paraId="6E74FBBE">
      <w:pPr>
        <w:spacing w:before="60" w:after="60" w:line="360" w:lineRule="auto"/>
        <w:ind w:left="720"/>
        <w:rPr>
          <w:rFonts w:ascii="黑体" w:hAnsi="黑体" w:eastAsia="黑体" w:cs="黑体"/>
          <w:b/>
          <w:bCs/>
          <w:sz w:val="28"/>
          <w:szCs w:val="28"/>
        </w:rPr>
      </w:pPr>
    </w:p>
    <w:p w14:paraId="1E02E207">
      <w:pPr>
        <w:spacing w:before="60" w:after="60" w:line="360" w:lineRule="auto"/>
        <w:ind w:left="720"/>
        <w:rPr>
          <w:rFonts w:ascii="黑体" w:hAnsi="黑体" w:eastAsia="黑体" w:cs="黑体"/>
          <w:b/>
          <w:bCs/>
          <w:sz w:val="28"/>
          <w:szCs w:val="28"/>
        </w:rPr>
      </w:pPr>
    </w:p>
    <w:sdt>
      <w:sdtPr>
        <w:rPr>
          <w:rFonts w:ascii="宋体" w:hAnsi="宋体" w:eastAsia="宋体" w:cs="仿宋_GB2312"/>
          <w:sz w:val="21"/>
          <w:szCs w:val="24"/>
        </w:rPr>
        <w:id w:val="147461171"/>
        <w15:color w:val="DBDBDB"/>
        <w:docPartObj>
          <w:docPartGallery w:val="Table of Contents"/>
          <w:docPartUnique/>
        </w:docPartObj>
      </w:sdtPr>
      <w:sdtEndPr>
        <w:rPr>
          <w:rFonts w:ascii="黑体" w:hAnsi="黑体" w:eastAsia="黑体" w:cs="黑体"/>
          <w:bCs/>
          <w:sz w:val="24"/>
          <w:szCs w:val="28"/>
        </w:rPr>
      </w:sdtEndPr>
      <w:sdtContent>
        <w:p w14:paraId="6460ABB1">
          <w:pPr>
            <w:spacing w:before="0" w:beforeLines="0" w:after="0" w:afterLines="0" w:line="360" w:lineRule="auto"/>
            <w:ind w:left="0" w:leftChars="0" w:right="0" w:rightChars="0" w:firstLine="0" w:firstLineChars="0"/>
            <w:jc w:val="center"/>
            <w:rPr>
              <w:rFonts w:ascii="宋体" w:hAnsi="宋体" w:eastAsia="宋体" w:cs="仿宋_GB2312"/>
              <w:sz w:val="21"/>
              <w:szCs w:val="24"/>
            </w:rPr>
          </w:pPr>
        </w:p>
        <w:p w14:paraId="3D262C64">
          <w:pPr>
            <w:spacing w:before="0" w:beforeLines="0" w:after="0" w:afterLines="0" w:line="360" w:lineRule="auto"/>
            <w:ind w:left="0" w:leftChars="0" w:right="0" w:rightChars="0" w:firstLine="0" w:firstLineChars="0"/>
            <w:jc w:val="center"/>
            <w:rPr>
              <w:b/>
              <w:bCs/>
              <w:sz w:val="48"/>
              <w:szCs w:val="48"/>
            </w:rPr>
          </w:pPr>
          <w:bookmarkStart w:id="7" w:name="_GoBack"/>
          <w:bookmarkEnd w:id="7"/>
          <w:r>
            <w:rPr>
              <w:rFonts w:ascii="宋体" w:hAnsi="宋体" w:eastAsia="宋体"/>
              <w:b/>
              <w:bCs/>
              <w:sz w:val="40"/>
              <w:szCs w:val="48"/>
            </w:rPr>
            <w:t>目录</w:t>
          </w:r>
        </w:p>
        <w:p w14:paraId="55DE1EF4">
          <w:pPr>
            <w:pStyle w:val="9"/>
            <w:tabs>
              <w:tab w:val="right" w:leader="dot" w:pos="8810"/>
            </w:tabs>
            <w:spacing w:line="720" w:lineRule="auto"/>
          </w:pPr>
          <w:r>
            <w:rPr>
              <w:rFonts w:ascii="黑体" w:hAnsi="黑体" w:eastAsia="黑体" w:cs="黑体"/>
              <w:b/>
              <w:bCs/>
              <w:sz w:val="28"/>
              <w:szCs w:val="28"/>
            </w:rPr>
            <w:fldChar w:fldCharType="begin"/>
          </w:r>
          <w:r>
            <w:rPr>
              <w:rFonts w:ascii="黑体" w:hAnsi="黑体" w:eastAsia="黑体" w:cs="黑体"/>
              <w:b/>
              <w:bCs/>
              <w:sz w:val="28"/>
              <w:szCs w:val="28"/>
            </w:rPr>
            <w:instrText xml:space="preserve">TOC \o "1-1" \h \u </w:instrText>
          </w:r>
          <w:r>
            <w:rPr>
              <w:rFonts w:ascii="黑体" w:hAnsi="黑体" w:eastAsia="黑体" w:cs="黑体"/>
              <w:b/>
              <w:bCs/>
              <w:sz w:val="28"/>
              <w:szCs w:val="28"/>
            </w:rPr>
            <w:fldChar w:fldCharType="separate"/>
          </w:r>
          <w:r>
            <w:rPr>
              <w:rFonts w:ascii="黑体" w:hAnsi="黑体" w:eastAsia="黑体" w:cs="黑体"/>
              <w:bCs/>
              <w:szCs w:val="28"/>
            </w:rPr>
            <w:fldChar w:fldCharType="begin"/>
          </w:r>
          <w:r>
            <w:rPr>
              <w:rFonts w:ascii="黑体" w:hAnsi="黑体" w:eastAsia="黑体" w:cs="黑体"/>
              <w:bCs/>
              <w:szCs w:val="28"/>
            </w:rPr>
            <w:instrText xml:space="preserve"> HYPERLINK \l _Toc22354 </w:instrText>
          </w:r>
          <w:r>
            <w:rPr>
              <w:rFonts w:ascii="黑体" w:hAnsi="黑体" w:eastAsia="黑体" w:cs="黑体"/>
              <w:bCs/>
              <w:szCs w:val="28"/>
            </w:rPr>
            <w:fldChar w:fldCharType="separate"/>
          </w:r>
          <w:r>
            <w:t>一、任务来源</w:t>
          </w:r>
          <w:r>
            <w:tab/>
          </w:r>
          <w:r>
            <w:fldChar w:fldCharType="begin"/>
          </w:r>
          <w:r>
            <w:instrText xml:space="preserve"> PAGEREF _Toc22354 \h </w:instrText>
          </w:r>
          <w:r>
            <w:fldChar w:fldCharType="separate"/>
          </w:r>
          <w:r>
            <w:t>3</w:t>
          </w:r>
          <w:r>
            <w:fldChar w:fldCharType="end"/>
          </w:r>
          <w:r>
            <w:rPr>
              <w:rFonts w:ascii="黑体" w:hAnsi="黑体" w:eastAsia="黑体" w:cs="黑体"/>
              <w:bCs/>
              <w:szCs w:val="28"/>
            </w:rPr>
            <w:fldChar w:fldCharType="end"/>
          </w:r>
        </w:p>
        <w:p w14:paraId="2BFD5543">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_Toc8973 </w:instrText>
          </w:r>
          <w:r>
            <w:rPr>
              <w:rFonts w:ascii="黑体" w:hAnsi="黑体" w:eastAsia="黑体" w:cs="黑体"/>
              <w:bCs/>
              <w:szCs w:val="28"/>
            </w:rPr>
            <w:fldChar w:fldCharType="separate"/>
          </w:r>
          <w:r>
            <w:t>二、项目组概况</w:t>
          </w:r>
          <w:r>
            <w:tab/>
          </w:r>
          <w:r>
            <w:fldChar w:fldCharType="begin"/>
          </w:r>
          <w:r>
            <w:instrText xml:space="preserve"> PAGEREF _Toc8973 \h </w:instrText>
          </w:r>
          <w:r>
            <w:fldChar w:fldCharType="separate"/>
          </w:r>
          <w:r>
            <w:t>3</w:t>
          </w:r>
          <w:r>
            <w:fldChar w:fldCharType="end"/>
          </w:r>
          <w:r>
            <w:rPr>
              <w:rFonts w:ascii="黑体" w:hAnsi="黑体" w:eastAsia="黑体" w:cs="黑体"/>
              <w:bCs/>
              <w:szCs w:val="28"/>
            </w:rPr>
            <w:fldChar w:fldCharType="end"/>
          </w:r>
        </w:p>
        <w:p w14:paraId="03A49ED5">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_Toc16386 </w:instrText>
          </w:r>
          <w:r>
            <w:rPr>
              <w:rFonts w:ascii="黑体" w:hAnsi="黑体" w:eastAsia="黑体" w:cs="黑体"/>
              <w:bCs/>
              <w:szCs w:val="28"/>
            </w:rPr>
            <w:fldChar w:fldCharType="separate"/>
          </w:r>
          <w:r>
            <w:t>三、主要工作过程</w:t>
          </w:r>
          <w:r>
            <w:tab/>
          </w:r>
          <w:r>
            <w:fldChar w:fldCharType="begin"/>
          </w:r>
          <w:r>
            <w:instrText xml:space="preserve"> PAGEREF _Toc16386 \h </w:instrText>
          </w:r>
          <w:r>
            <w:fldChar w:fldCharType="separate"/>
          </w:r>
          <w:r>
            <w:t>4</w:t>
          </w:r>
          <w:r>
            <w:fldChar w:fldCharType="end"/>
          </w:r>
          <w:r>
            <w:rPr>
              <w:rFonts w:ascii="黑体" w:hAnsi="黑体" w:eastAsia="黑体" w:cs="黑体"/>
              <w:bCs/>
              <w:szCs w:val="28"/>
            </w:rPr>
            <w:fldChar w:fldCharType="end"/>
          </w:r>
        </w:p>
        <w:p w14:paraId="23622A72">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_Toc32288 </w:instrText>
          </w:r>
          <w:r>
            <w:rPr>
              <w:rFonts w:ascii="黑体" w:hAnsi="黑体" w:eastAsia="黑体" w:cs="黑体"/>
              <w:bCs/>
              <w:szCs w:val="28"/>
            </w:rPr>
            <w:fldChar w:fldCharType="separate"/>
          </w:r>
          <w:r>
            <w:t>四、标准编制的主要原则</w:t>
          </w:r>
          <w:r>
            <w:tab/>
          </w:r>
          <w:r>
            <w:fldChar w:fldCharType="begin"/>
          </w:r>
          <w:r>
            <w:instrText xml:space="preserve"> PAGEREF _Toc32288 \h </w:instrText>
          </w:r>
          <w:r>
            <w:fldChar w:fldCharType="separate"/>
          </w:r>
          <w:r>
            <w:t>6</w:t>
          </w:r>
          <w:r>
            <w:fldChar w:fldCharType="end"/>
          </w:r>
          <w:r>
            <w:rPr>
              <w:rFonts w:ascii="黑体" w:hAnsi="黑体" w:eastAsia="黑体" w:cs="黑体"/>
              <w:bCs/>
              <w:szCs w:val="28"/>
            </w:rPr>
            <w:fldChar w:fldCharType="end"/>
          </w:r>
        </w:p>
        <w:p w14:paraId="0829288A">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_Toc1155 </w:instrText>
          </w:r>
          <w:r>
            <w:rPr>
              <w:rFonts w:ascii="黑体" w:hAnsi="黑体" w:eastAsia="黑体" w:cs="黑体"/>
              <w:bCs/>
              <w:szCs w:val="28"/>
            </w:rPr>
            <w:fldChar w:fldCharType="separate"/>
          </w:r>
          <w:r>
            <w:t>五、技术内容的确定方法与依据</w:t>
          </w:r>
          <w:r>
            <w:tab/>
          </w:r>
          <w:r>
            <w:fldChar w:fldCharType="begin"/>
          </w:r>
          <w:r>
            <w:instrText xml:space="preserve"> PAGEREF _Toc1155 \h </w:instrText>
          </w:r>
          <w:r>
            <w:fldChar w:fldCharType="separate"/>
          </w:r>
          <w:r>
            <w:t>7</w:t>
          </w:r>
          <w:r>
            <w:fldChar w:fldCharType="end"/>
          </w:r>
          <w:r>
            <w:rPr>
              <w:rFonts w:ascii="黑体" w:hAnsi="黑体" w:eastAsia="黑体" w:cs="黑体"/>
              <w:bCs/>
              <w:szCs w:val="28"/>
            </w:rPr>
            <w:fldChar w:fldCharType="end"/>
          </w:r>
        </w:p>
        <w:p w14:paraId="2B77176F">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_Toc28696 </w:instrText>
          </w:r>
          <w:r>
            <w:rPr>
              <w:rFonts w:ascii="黑体" w:hAnsi="黑体" w:eastAsia="黑体" w:cs="黑体"/>
              <w:bCs/>
              <w:szCs w:val="28"/>
            </w:rPr>
            <w:fldChar w:fldCharType="separate"/>
          </w:r>
          <w:r>
            <w:t>六、重大分歧意见的处理经过和依据</w:t>
          </w:r>
          <w:r>
            <w:tab/>
          </w:r>
          <w:r>
            <w:fldChar w:fldCharType="begin"/>
          </w:r>
          <w:r>
            <w:instrText xml:space="preserve"> PAGEREF _Toc28696 \h </w:instrText>
          </w:r>
          <w:r>
            <w:fldChar w:fldCharType="separate"/>
          </w:r>
          <w:r>
            <w:t>12</w:t>
          </w:r>
          <w:r>
            <w:fldChar w:fldCharType="end"/>
          </w:r>
          <w:r>
            <w:rPr>
              <w:rFonts w:ascii="黑体" w:hAnsi="黑体" w:eastAsia="黑体" w:cs="黑体"/>
              <w:bCs/>
              <w:szCs w:val="28"/>
            </w:rPr>
            <w:fldChar w:fldCharType="end"/>
          </w:r>
        </w:p>
        <w:p w14:paraId="11B2D413">
          <w:pPr>
            <w:pStyle w:val="9"/>
            <w:tabs>
              <w:tab w:val="right" w:leader="dot" w:pos="8810"/>
            </w:tabs>
            <w:spacing w:line="720" w:lineRule="auto"/>
          </w:pPr>
          <w:r>
            <w:rPr>
              <w:rFonts w:ascii="黑体" w:hAnsi="黑体" w:eastAsia="黑体" w:cs="黑体"/>
              <w:bCs/>
              <w:szCs w:val="28"/>
            </w:rPr>
            <w:fldChar w:fldCharType="begin"/>
          </w:r>
          <w:r>
            <w:rPr>
              <w:rFonts w:ascii="黑体" w:hAnsi="黑体" w:eastAsia="黑体" w:cs="黑体"/>
              <w:bCs/>
              <w:szCs w:val="28"/>
            </w:rPr>
            <w:instrText xml:space="preserve"> HYPERLINK \l _Toc11854 </w:instrText>
          </w:r>
          <w:r>
            <w:rPr>
              <w:rFonts w:ascii="黑体" w:hAnsi="黑体" w:eastAsia="黑体" w:cs="黑体"/>
              <w:bCs/>
              <w:szCs w:val="28"/>
            </w:rPr>
            <w:fldChar w:fldCharType="separate"/>
          </w:r>
          <w:r>
            <w:t>七、其他需要说明的事项</w:t>
          </w:r>
          <w:r>
            <w:tab/>
          </w:r>
          <w:r>
            <w:fldChar w:fldCharType="begin"/>
          </w:r>
          <w:r>
            <w:instrText xml:space="preserve"> PAGEREF _Toc11854 \h </w:instrText>
          </w:r>
          <w:r>
            <w:fldChar w:fldCharType="separate"/>
          </w:r>
          <w:r>
            <w:t>13</w:t>
          </w:r>
          <w:r>
            <w:fldChar w:fldCharType="end"/>
          </w:r>
          <w:r>
            <w:rPr>
              <w:rFonts w:ascii="黑体" w:hAnsi="黑体" w:eastAsia="黑体" w:cs="黑体"/>
              <w:bCs/>
              <w:szCs w:val="28"/>
            </w:rPr>
            <w:fldChar w:fldCharType="end"/>
          </w:r>
        </w:p>
        <w:p w14:paraId="7FF92F3E">
          <w:pPr>
            <w:spacing w:before="60" w:after="60" w:line="720" w:lineRule="auto"/>
            <w:rPr>
              <w:rFonts w:ascii="黑体" w:hAnsi="黑体" w:eastAsia="黑体" w:cs="黑体"/>
              <w:bCs/>
              <w:sz w:val="24"/>
              <w:szCs w:val="28"/>
            </w:rPr>
          </w:pPr>
          <w:r>
            <w:rPr>
              <w:rFonts w:ascii="黑体" w:hAnsi="黑体" w:eastAsia="黑体" w:cs="黑体"/>
              <w:bCs/>
              <w:szCs w:val="28"/>
            </w:rPr>
            <w:fldChar w:fldCharType="end"/>
          </w:r>
        </w:p>
      </w:sdtContent>
    </w:sdt>
    <w:p w14:paraId="0761F140">
      <w:pPr>
        <w:spacing w:before="60" w:after="60" w:line="360" w:lineRule="auto"/>
        <w:rPr>
          <w:rFonts w:ascii="黑体" w:hAnsi="黑体" w:eastAsia="黑体" w:cs="黑体"/>
          <w:bCs/>
          <w:sz w:val="24"/>
          <w:szCs w:val="28"/>
        </w:rPr>
      </w:pPr>
    </w:p>
    <w:p w14:paraId="61B6A92A">
      <w:pPr>
        <w:pageBreakBefore/>
        <w:spacing w:line="360" w:lineRule="auto"/>
      </w:pPr>
    </w:p>
    <w:p w14:paraId="0252D045">
      <w:pPr>
        <w:pStyle w:val="2"/>
        <w:bidi w:val="0"/>
        <w:spacing w:line="360" w:lineRule="auto"/>
      </w:pPr>
      <w:bookmarkStart w:id="0" w:name="_Toc22354"/>
      <w:r>
        <w:t>一、任务来源</w:t>
      </w:r>
      <w:bookmarkEnd w:id="0"/>
    </w:p>
    <w:p w14:paraId="09A3248F">
      <w:pPr>
        <w:spacing w:before="80" w:after="80" w:line="360" w:lineRule="auto"/>
        <w:ind w:firstLine="480"/>
      </w:pPr>
      <w:r>
        <w:rPr>
          <w:rFonts w:ascii="仿宋_GB2312" w:hAnsi="仿宋_GB2312" w:eastAsia="仿宋_GB2312" w:cs="仿宋_GB2312"/>
          <w:sz w:val="24"/>
          <w:szCs w:val="24"/>
        </w:rPr>
        <w:t>中医药诊断以望、闻、问、切四诊合参为核心，具有鲜明的多模态信息采集与融合特征。随着人工智能技术的快速发展，融合舌象图像、脉象信号、问诊文本、医学影像等多源异构数据的中医药多模态人工智能模型不断涌现，在辅助诊断、健康管理、中药鉴定等领域展现出广阔的应用前景。</w:t>
      </w:r>
    </w:p>
    <w:p w14:paraId="6872B742">
      <w:pPr>
        <w:spacing w:before="80" w:after="80" w:line="360" w:lineRule="auto"/>
        <w:ind w:firstLine="480"/>
      </w:pPr>
      <w:r>
        <w:rPr>
          <w:rFonts w:ascii="仿宋_GB2312" w:hAnsi="仿宋_GB2312" w:eastAsia="仿宋_GB2312" w:cs="仿宋_GB2312"/>
          <w:sz w:val="24"/>
          <w:szCs w:val="24"/>
        </w:rPr>
        <w:t>然而，目前我国在中医药人工智能模型质量评测领域尚无专门的行业标准。现行通用人工智能评测标准（如GB/T 45288.2—2025《人工智能 大模型 第2部分：评测指标与方法》）难以充分覆盖中医药多模态数据的专业内涵与技术特性，亟需建立专门的评测规范。</w:t>
      </w:r>
    </w:p>
    <w:p w14:paraId="54EAD979">
      <w:pPr>
        <w:spacing w:before="80" w:after="80" w:line="360" w:lineRule="auto"/>
        <w:ind w:firstLine="480"/>
      </w:pPr>
      <w:r>
        <w:rPr>
          <w:rFonts w:ascii="仿宋_GB2312" w:hAnsi="仿宋_GB2312" w:eastAsia="仿宋_GB2312" w:cs="仿宋_GB2312"/>
          <w:sz w:val="24"/>
          <w:szCs w:val="24"/>
        </w:rPr>
        <w:t>《关于促进中医药传承创新发展的意见》（2019年）《"十四五"中医药发展规划》（2022年）及《关于促进数字中医药发展的若干意见》（国中医药综发〔2024〕6号）等政策文件明确要求加快推进中医药信息化、数字化、智能化建设，强化中医药人工智能相关标准的研制与应用。</w:t>
      </w:r>
    </w:p>
    <w:p w14:paraId="23D16120">
      <w:pPr>
        <w:spacing w:before="80" w:after="80" w:line="360" w:lineRule="auto"/>
        <w:ind w:firstLine="480"/>
      </w:pPr>
      <w:r>
        <w:rPr>
          <w:rFonts w:ascii="仿宋_GB2312" w:hAnsi="仿宋_GB2312" w:eastAsia="仿宋_GB2312" w:cs="仿宋_GB2312"/>
          <w:sz w:val="24"/>
          <w:szCs w:val="24"/>
        </w:rPr>
        <w:t>本文件由中国中医科学院中医药信息研究所提出，经全国中医药标准化技术委员会（SAC/TC 478）审议立项，由国家中医药管理局归口管理，纳入中华人民共和国中医药行业标准制修订计划。本文件标准号拟定为ZY/T XXXXX—XXXX，属于推荐性行业标准。</w:t>
      </w:r>
    </w:p>
    <w:p w14:paraId="0B05C253">
      <w:pPr>
        <w:pStyle w:val="2"/>
        <w:bidi w:val="0"/>
        <w:spacing w:line="360" w:lineRule="auto"/>
      </w:pPr>
      <w:bookmarkStart w:id="1" w:name="_Toc8973"/>
      <w:r>
        <w:t>二、项目组概况</w:t>
      </w:r>
      <w:bookmarkEnd w:id="1"/>
    </w:p>
    <w:p w14:paraId="143B01C3">
      <w:pPr>
        <w:spacing w:before="80" w:after="80" w:line="360" w:lineRule="auto"/>
        <w:ind w:firstLine="480"/>
      </w:pPr>
      <w:r>
        <w:rPr>
          <w:rFonts w:ascii="仿宋_GB2312" w:hAnsi="仿宋_GB2312" w:eastAsia="仿宋_GB2312" w:cs="仿宋_GB2312"/>
          <w:sz w:val="24"/>
          <w:szCs w:val="24"/>
        </w:rPr>
        <w:t>本文件主要起草单位为：中国中医科学院中医药信息研究所、陕西中医药大学。</w:t>
      </w:r>
    </w:p>
    <w:p w14:paraId="55B6704E">
      <w:pPr>
        <w:spacing w:before="80" w:after="80" w:line="360" w:lineRule="auto"/>
        <w:ind w:firstLine="480"/>
        <w:rPr>
          <w:rFonts w:hint="eastAsia" w:ascii="仿宋_GB2312" w:hAnsi="仿宋_GB2312" w:eastAsia="仿宋_GB2312" w:cs="仿宋_GB2312"/>
          <w:sz w:val="24"/>
          <w:szCs w:val="24"/>
        </w:rPr>
      </w:pPr>
      <w:r>
        <w:rPr>
          <w:rFonts w:hint="eastAsia" w:ascii="仿宋_GB2312" w:hAnsi="仿宋_GB2312" w:eastAsia="仿宋_GB2312" w:cs="仿宋_GB2312"/>
          <w:sz w:val="24"/>
          <w:szCs w:val="24"/>
        </w:rPr>
        <w:t>主要起草人：</w:t>
      </w:r>
      <w:r>
        <w:rPr>
          <w:rFonts w:hint="eastAsia" w:ascii="仿宋_GB2312" w:hAnsi="仿宋_GB2312" w:eastAsia="仿宋_GB2312" w:cs="仿宋_GB2312"/>
          <w:sz w:val="24"/>
          <w:szCs w:val="24"/>
          <w:lang w:val="en-US" w:eastAsia="zh-CN"/>
        </w:rPr>
        <w:t>朱玲，张竹绿，***************张琼</w:t>
      </w:r>
    </w:p>
    <w:p w14:paraId="5513981C">
      <w:pPr>
        <w:spacing w:before="80" w:after="80" w:line="360" w:lineRule="auto"/>
        <w:ind w:firstLine="480"/>
      </w:pPr>
    </w:p>
    <w:p w14:paraId="582A129A">
      <w:pPr>
        <w:pStyle w:val="2"/>
        <w:bidi w:val="0"/>
        <w:spacing w:line="360" w:lineRule="auto"/>
      </w:pPr>
      <w:bookmarkStart w:id="2" w:name="_Toc16386"/>
      <w:r>
        <w:t>三、主要工作过程</w:t>
      </w:r>
      <w:bookmarkEnd w:id="2"/>
    </w:p>
    <w:p w14:paraId="7AC68B1E">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本文件的研制工作按照GB/T 1.1—2020《标准化工作导则 第1部分：标准化文件的结构和起草规则》的要求开展，主要经历以下阶段</w:t>
      </w:r>
      <w:r>
        <w:rPr>
          <w:rFonts w:hint="eastAsia" w:ascii="仿宋_GB2312" w:hAnsi="仿宋_GB2312" w:eastAsia="仿宋_GB2312" w:cs="仿宋_GB2312"/>
          <w:sz w:val="24"/>
          <w:szCs w:val="24"/>
          <w:lang w:eastAsia="zh-CN"/>
        </w:rPr>
        <w:t>。</w:t>
      </w:r>
    </w:p>
    <w:p w14:paraId="09D6BABD">
      <w:pPr>
        <w:pStyle w:val="3"/>
        <w:bidi w:val="0"/>
        <w:spacing w:line="360" w:lineRule="auto"/>
      </w:pPr>
      <w:r>
        <w:t>（一）立项论证阶段</w:t>
      </w:r>
    </w:p>
    <w:p w14:paraId="27250AAB">
      <w:pPr>
        <w:spacing w:before="80" w:after="80" w:line="360" w:lineRule="auto"/>
        <w:ind w:firstLine="480"/>
      </w:pPr>
      <w:r>
        <w:rPr>
          <w:rFonts w:ascii="仿宋_GB2312" w:hAnsi="仿宋_GB2312" w:eastAsia="仿宋_GB2312" w:cs="仿宋_GB2312"/>
          <w:sz w:val="24"/>
          <w:szCs w:val="24"/>
        </w:rPr>
        <w:t>2024年下半年，起草单位在深入调研中医药人工智能模型研发现状与评测需求的基础上，形成立项建议报告，经全国中医药标准化技术委员会审议通过，正式立项。</w:t>
      </w:r>
    </w:p>
    <w:p w14:paraId="5E9EDDC4">
      <w:pPr>
        <w:pStyle w:val="3"/>
        <w:bidi w:val="0"/>
        <w:spacing w:line="360" w:lineRule="auto"/>
      </w:pPr>
      <w:r>
        <w:t>（二）资料调研与框架设计阶段</w:t>
      </w:r>
    </w:p>
    <w:p w14:paraId="0AFC3C55">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2024年10月—2025年1月，工作组广泛收集国内外相关文献、标准及研究成果，重点梳理了以下内容</w:t>
      </w:r>
      <w:r>
        <w:rPr>
          <w:rFonts w:hint="eastAsia" w:ascii="仿宋_GB2312" w:hAnsi="仿宋_GB2312" w:eastAsia="仿宋_GB2312" w:cs="仿宋_GB2312"/>
          <w:sz w:val="24"/>
          <w:szCs w:val="24"/>
          <w:lang w:eastAsia="zh-CN"/>
        </w:rPr>
        <w:t>。</w:t>
      </w:r>
    </w:p>
    <w:p w14:paraId="7C145A52">
      <w:pPr>
        <w:bidi w:val="0"/>
        <w:spacing w:line="360" w:lineRule="auto"/>
      </w:pPr>
      <w:r>
        <w:t>（1）现行人工智能评测国家标准，包括GB/T 45288系列《人工智能 大模型》、GB/T 41867—2022《信息技术 人工智能 术语》等；</w:t>
      </w:r>
    </w:p>
    <w:p w14:paraId="1ADBC8ED">
      <w:pPr>
        <w:bidi w:val="0"/>
        <w:spacing w:line="360" w:lineRule="auto"/>
      </w:pPr>
      <w:r>
        <w:t>（2）中医药行业基础标准，包括GB/T 15657—2021《中医病证分类与代码》、GB/T 16751系列《中医临床诊疗术语》、GB/T 40665系列《中医四诊操作规范》等；</w:t>
      </w:r>
    </w:p>
    <w:p w14:paraId="6BA2B8C8">
      <w:pPr>
        <w:bidi w:val="0"/>
        <w:spacing w:line="360" w:lineRule="auto"/>
      </w:pPr>
      <w:r>
        <w:t>（3）中医药人工智能模型相关科研论文，涉及舌象分析、脉象识别、辨证论治辅助决策等方向的最新进展；</w:t>
      </w:r>
    </w:p>
    <w:p w14:paraId="540542F4">
      <w:pPr>
        <w:bidi w:val="0"/>
        <w:spacing w:line="360" w:lineRule="auto"/>
      </w:pPr>
      <w:r>
        <w:t>（4）国内外已有的医疗人工智能评测实践与经验。</w:t>
      </w:r>
    </w:p>
    <w:p w14:paraId="091AA2D5">
      <w:pPr>
        <w:spacing w:before="80" w:after="80" w:line="360" w:lineRule="auto"/>
        <w:ind w:firstLine="480"/>
      </w:pPr>
      <w:r>
        <w:rPr>
          <w:rFonts w:ascii="仿宋_GB2312" w:hAnsi="仿宋_GB2312" w:eastAsia="仿宋_GB2312" w:cs="仿宋_GB2312"/>
          <w:sz w:val="24"/>
          <w:szCs w:val="24"/>
        </w:rPr>
        <w:t>在充分调研基础上，工作组召开多次专题研讨会，确定了本文件的总体框架，涵盖评测框架、评测指标、评测数据集要求、评测方法与评测流程五大核心内容板块。</w:t>
      </w:r>
    </w:p>
    <w:p w14:paraId="2C1E8008">
      <w:pPr>
        <w:pStyle w:val="3"/>
        <w:bidi w:val="0"/>
        <w:spacing w:line="360" w:lineRule="auto"/>
      </w:pPr>
      <w:r>
        <w:t>（三）初稿起草阶段</w:t>
      </w:r>
    </w:p>
    <w:p w14:paraId="39003B73">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2025年1月—2025年3月，工作组按照确定的框架分工起草各章节内容，并就以下关键技术问题进行专项论证</w:t>
      </w:r>
      <w:r>
        <w:rPr>
          <w:rFonts w:hint="eastAsia" w:ascii="仿宋_GB2312" w:hAnsi="仿宋_GB2312" w:eastAsia="仿宋_GB2312" w:cs="仿宋_GB2312"/>
          <w:sz w:val="24"/>
          <w:szCs w:val="24"/>
          <w:lang w:eastAsia="zh-CN"/>
        </w:rPr>
        <w:t>。</w:t>
      </w:r>
    </w:p>
    <w:p w14:paraId="48DB01AA">
      <w:pPr>
        <w:bidi w:val="0"/>
        <w:spacing w:line="360" w:lineRule="auto"/>
      </w:pPr>
      <w:r>
        <w:t>（1）中医药特色模态（舌象、脉象、面象、声象）的评测指标体系构建；</w:t>
      </w:r>
    </w:p>
    <w:p w14:paraId="3A066B65">
      <w:pPr>
        <w:bidi w:val="0"/>
        <w:spacing w:line="360" w:lineRule="auto"/>
      </w:pPr>
      <w:r>
        <w:t>（2）多模态融合评测指标（多模态信息增益）的计算方法；</w:t>
      </w:r>
    </w:p>
    <w:p w14:paraId="68985D9F">
      <w:pPr>
        <w:bidi w:val="0"/>
        <w:spacing w:line="360" w:lineRule="auto"/>
      </w:pPr>
      <w:r>
        <w:t>（3）中医药专业能力评测（辨证能力、方药推荐、临床动态诊疗等）的主观评测维度与评分细则；</w:t>
      </w:r>
    </w:p>
    <w:p w14:paraId="61C28B3F">
      <w:pPr>
        <w:bidi w:val="0"/>
        <w:spacing w:line="360" w:lineRule="auto"/>
      </w:pPr>
      <w:r>
        <w:t>（4）评测数据集的质量要求与采集规范。</w:t>
      </w:r>
    </w:p>
    <w:p w14:paraId="7412B7D4">
      <w:pPr>
        <w:bidi w:val="0"/>
        <w:spacing w:line="360" w:lineRule="auto"/>
      </w:pPr>
      <w:r>
        <w:t>经多轮内部审查与修改，形成工作组讨论稿。</w:t>
      </w:r>
    </w:p>
    <w:p w14:paraId="145BF815">
      <w:pPr>
        <w:pStyle w:val="3"/>
        <w:bidi w:val="0"/>
        <w:spacing w:line="360" w:lineRule="auto"/>
      </w:pPr>
      <w:r>
        <w:t>（四）征求意见阶段</w:t>
      </w:r>
    </w:p>
    <w:p w14:paraId="5EC54442">
      <w:pPr>
        <w:spacing w:before="80" w:after="80" w:line="360" w:lineRule="auto"/>
        <w:ind w:firstLine="480"/>
      </w:pPr>
      <w:r>
        <w:rPr>
          <w:rFonts w:ascii="仿宋_GB2312" w:hAnsi="仿宋_GB2312" w:eastAsia="仿宋_GB2312" w:cs="仿宋_GB2312"/>
          <w:sz w:val="24"/>
          <w:szCs w:val="24"/>
        </w:rPr>
        <w:t>2025年3月—2025年4月，工作组向中医药临床专家、信息技术专家、标准化专家及相关企业征求意见，涉及单位包括中国中医科学院各研究所、相关高等院校、检测机构及人工智能企业。工作组对收到的意见进行逐条整理与处理，形成意见汇总处理表，并据此对标准文本进行修改完善。</w:t>
      </w:r>
    </w:p>
    <w:p w14:paraId="4301C9A9">
      <w:pPr>
        <w:pStyle w:val="3"/>
        <w:bidi w:val="0"/>
        <w:spacing w:line="360" w:lineRule="auto"/>
      </w:pPr>
      <w:r>
        <w:t>（五）审查与报批阶段</w:t>
      </w:r>
    </w:p>
    <w:p w14:paraId="3D314A35">
      <w:pPr>
        <w:spacing w:before="80" w:after="80" w:line="360" w:lineRule="auto"/>
        <w:ind w:firstLine="480"/>
      </w:pPr>
      <w:r>
        <w:rPr>
          <w:rFonts w:ascii="仿宋_GB2312" w:hAnsi="仿宋_GB2312" w:eastAsia="仿宋_GB2312" w:cs="仿宋_GB2312"/>
          <w:sz w:val="24"/>
          <w:szCs w:val="24"/>
        </w:rPr>
        <w:t>2025年5月，形成送审稿，提交全国中医药标准化技术委员会（SAC/TC 478）组织专家审查。根据审查意见进行修改后，形成报批稿，按程序报国家中医药管理局批准发布。</w:t>
      </w:r>
    </w:p>
    <w:p w14:paraId="299925F0">
      <w:pPr>
        <w:pStyle w:val="2"/>
        <w:bidi w:val="0"/>
        <w:spacing w:line="360" w:lineRule="auto"/>
      </w:pPr>
      <w:bookmarkStart w:id="3" w:name="_Toc32288"/>
      <w:r>
        <w:t>四、标准编制的主要原则</w:t>
      </w:r>
      <w:bookmarkEnd w:id="3"/>
    </w:p>
    <w:p w14:paraId="47DF5CC0">
      <w:pPr>
        <w:pStyle w:val="3"/>
        <w:bidi w:val="0"/>
        <w:spacing w:line="360" w:lineRule="auto"/>
      </w:pPr>
      <w:r>
        <w:t>（一）规范性原则</w:t>
      </w:r>
    </w:p>
    <w:p w14:paraId="0E991FDB">
      <w:pPr>
        <w:spacing w:before="80" w:after="80" w:line="360" w:lineRule="auto"/>
        <w:ind w:firstLine="480"/>
      </w:pPr>
      <w:r>
        <w:rPr>
          <w:rFonts w:ascii="仿宋_GB2312" w:hAnsi="仿宋_GB2312" w:eastAsia="仿宋_GB2312" w:cs="仿宋_GB2312"/>
          <w:sz w:val="24"/>
          <w:szCs w:val="24"/>
        </w:rPr>
        <w:t>本文件严格遵循GB/T 1.1—2020《标准化工作导则 第1部分：标准化文件的结构和起草规则》的要求进行起草，确保标准文本的格式、结构、表述符合国家标准化文件编写规范。</w:t>
      </w:r>
    </w:p>
    <w:p w14:paraId="382D99BE">
      <w:pPr>
        <w:pStyle w:val="3"/>
        <w:bidi w:val="0"/>
        <w:spacing w:line="360" w:lineRule="auto"/>
      </w:pPr>
      <w:r>
        <w:t>（二）一致性原则</w:t>
      </w:r>
    </w:p>
    <w:p w14:paraId="48D12403">
      <w:pPr>
        <w:spacing w:before="80" w:after="80" w:line="360" w:lineRule="auto"/>
        <w:ind w:firstLine="480"/>
      </w:pPr>
      <w:r>
        <w:rPr>
          <w:rFonts w:ascii="仿宋_GB2312" w:hAnsi="仿宋_GB2312" w:eastAsia="仿宋_GB2312" w:cs="仿宋_GB2312"/>
          <w:sz w:val="24"/>
          <w:szCs w:val="24"/>
        </w:rPr>
        <w:t>本文件内容与现行相关政策法规、强制性及推荐性国家标准、行业标准保持协调一致。在通用人工智能评测方面，与GB/T 45288.2—2025确立的评测指标体系衔接，采用其规定的客观评测指标（准确率、召回率、F1值、BLEU、Rouge-L等）计算方法；在中医药专业内容方面，与GB/T 15657、GB/T 16751、GB/T 40665等中医药基础标准保持一致。</w:t>
      </w:r>
    </w:p>
    <w:p w14:paraId="4EF79657">
      <w:pPr>
        <w:pStyle w:val="3"/>
        <w:bidi w:val="0"/>
        <w:spacing w:line="360" w:lineRule="auto"/>
      </w:pPr>
      <w:r>
        <w:t>（三）专业性原则</w:t>
      </w:r>
    </w:p>
    <w:p w14:paraId="430C87F1">
      <w:pPr>
        <w:spacing w:before="80" w:after="80" w:line="360" w:lineRule="auto"/>
        <w:ind w:firstLine="480"/>
      </w:pPr>
      <w:r>
        <w:rPr>
          <w:rFonts w:ascii="仿宋_GB2312" w:hAnsi="仿宋_GB2312" w:eastAsia="仿宋_GB2312" w:cs="仿宋_GB2312"/>
          <w:sz w:val="24"/>
          <w:szCs w:val="24"/>
        </w:rPr>
        <w:t>本文件充分体现中医药多模态数据的专业特色。中医药诊断信息具有独特的专业内涵，舌象、脉象、面象等特色模态不同于通用图像或信号，其评测指标须与中医临床辨证论治规律相吻合。本文件在通用人工智能评测框架基础上，针对中医药领域特殊性，补充了辨证合理性、中医术语规范性、方药安全性、追问合理性、多轮一致性等专业评测维度，并明确了预警舌象识别、配伍禁忌检测、特殊人群保护等安全性评测要求。</w:t>
      </w:r>
    </w:p>
    <w:p w14:paraId="73F5F805">
      <w:pPr>
        <w:pStyle w:val="3"/>
        <w:bidi w:val="0"/>
        <w:spacing w:line="360" w:lineRule="auto"/>
      </w:pPr>
      <w:r>
        <w:t>（四）科学性与可操作性原则</w:t>
      </w:r>
    </w:p>
    <w:p w14:paraId="68980C27">
      <w:pPr>
        <w:spacing w:before="80" w:after="80" w:line="360" w:lineRule="auto"/>
        <w:ind w:firstLine="480"/>
      </w:pPr>
      <w:r>
        <w:rPr>
          <w:rFonts w:ascii="仿宋_GB2312" w:hAnsi="仿宋_GB2312" w:eastAsia="仿宋_GB2312" w:cs="仿宋_GB2312"/>
          <w:sz w:val="24"/>
          <w:szCs w:val="24"/>
        </w:rPr>
        <w:t>评测指标的设计遵循客观性与可验证性原则，优先采用可量化的客观指标，对于难以量化的专业能力（如辨证推理思路、方药适配度等），采用基于MOS分的主观评测方法，并制定了详细的五级评分细则，确保评测结果的可重复性与可比性。评测流程设计兼顾严谨性与实用性，确保标准在实际测试工作中的可操作性。</w:t>
      </w:r>
    </w:p>
    <w:p w14:paraId="242F9311">
      <w:pPr>
        <w:pStyle w:val="3"/>
        <w:bidi w:val="0"/>
        <w:spacing w:line="360" w:lineRule="auto"/>
      </w:pPr>
      <w:r>
        <w:t>（五）安全性原则</w:t>
      </w:r>
    </w:p>
    <w:p w14:paraId="0797ACDF">
      <w:pPr>
        <w:spacing w:before="80" w:after="80" w:line="360" w:lineRule="auto"/>
        <w:ind w:firstLine="480"/>
      </w:pPr>
      <w:r>
        <w:rPr>
          <w:rFonts w:ascii="仿宋_GB2312" w:hAnsi="仿宋_GB2312" w:eastAsia="仿宋_GB2312" w:cs="仿宋_GB2312"/>
          <w:sz w:val="24"/>
          <w:szCs w:val="24"/>
        </w:rPr>
        <w:t>中医药人工智能模型直接服务于临床辅助诊疗，安全性是评测体系的核心维度之一。本文件设置了专项安全可控能力评测，涵盖有害医疗建议过滤、错误信息识别、预警舌象预警、毒性中药警示、特殊人群（孕妇、儿童、危重症）保护等评测任务，充分体现了医疗人工智能领域的安全要求。</w:t>
      </w:r>
    </w:p>
    <w:p w14:paraId="7E5A737D">
      <w:pPr>
        <w:pStyle w:val="3"/>
        <w:bidi w:val="0"/>
        <w:spacing w:line="360" w:lineRule="auto"/>
      </w:pPr>
      <w:r>
        <w:t>（六）可扩展性原则</w:t>
      </w:r>
    </w:p>
    <w:p w14:paraId="753586F5">
      <w:pPr>
        <w:spacing w:before="80" w:after="80" w:line="360" w:lineRule="auto"/>
        <w:ind w:firstLine="480"/>
      </w:pPr>
      <w:r>
        <w:rPr>
          <w:rFonts w:ascii="仿宋_GB2312" w:hAnsi="仿宋_GB2312" w:eastAsia="仿宋_GB2312" w:cs="仿宋_GB2312"/>
          <w:sz w:val="24"/>
          <w:szCs w:val="24"/>
        </w:rPr>
        <w:t>中医药人工智能技术处于快速发展阶段，本文件采用框架性规范与具体技术规定相结合的体例，在框架层面保持稳定性，为新模态数据（如体质数据、经络数据等）及新型评测任务的纳入预留空间，并在适当条款中注明后续修订方向，以适应技术发展需要。</w:t>
      </w:r>
    </w:p>
    <w:p w14:paraId="646BBD0A">
      <w:pPr>
        <w:pStyle w:val="2"/>
        <w:bidi w:val="0"/>
        <w:spacing w:line="360" w:lineRule="auto"/>
      </w:pPr>
      <w:bookmarkStart w:id="4" w:name="_Toc1155"/>
      <w:r>
        <w:t>五、技术内容的确定方法与依据</w:t>
      </w:r>
      <w:bookmarkEnd w:id="4"/>
    </w:p>
    <w:p w14:paraId="18EE0088">
      <w:pPr>
        <w:pStyle w:val="3"/>
        <w:bidi w:val="0"/>
        <w:spacing w:line="360" w:lineRule="auto"/>
      </w:pPr>
      <w:r>
        <w:t>（一）技术内容概述</w:t>
      </w:r>
    </w:p>
    <w:p w14:paraId="691B7330">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本文件共包括七章主体内容及两个附录。</w:t>
      </w:r>
      <w:r>
        <w:rPr>
          <w:rFonts w:hint="eastAsia" w:ascii="仿宋_GB2312" w:hAnsi="仿宋_GB2312" w:eastAsia="仿宋_GB2312" w:cs="仿宋_GB2312"/>
          <w:sz w:val="24"/>
          <w:szCs w:val="24"/>
          <w:lang w:eastAsia="zh-CN"/>
        </w:rPr>
      </w:r>
    </w:p>
    <w:p w14:paraId="0C282BF0">
      <w:pPr>
        <w:bidi w:val="0"/>
        <w:spacing w:line="360" w:lineRule="auto"/>
      </w:pPr>
      <w:r>
        <w:t>第1部分（范围）：界定本文件的适用对象，即处理舌象、脉象、面象、声象、问诊文本、中药材图像、医学影像等单一模态或多种模态数据的中医药人工智能模型。</w:t>
      </w:r>
    </w:p>
    <w:p w14:paraId="4C34898A">
      <w:pPr>
        <w:bidi w:val="0"/>
        <w:spacing w:line="360" w:lineRule="auto"/>
      </w:pPr>
      <w:r>
        <w:t>第2部分（规范性引用文件）：列出与本文件技术内容密切相关的现行有效标准。</w:t>
      </w:r>
    </w:p>
    <w:p w14:paraId="430C7172">
      <w:pPr>
        <w:bidi w:val="0"/>
        <w:spacing w:line="360" w:lineRule="auto"/>
      </w:pPr>
      <w:r>
        <w:t>第3部分（术语和定义）：分为中医药基础术语、中医药多模态数据术语和评测相关术语三类，界定四诊、舌象、脉象、面象、辨证、证候、跨模态融合、四诊合参等核心概念，与GB/T 40665系列、GB/T 16751系列及GB/T 41867保持衔接。</w:t>
      </w:r>
    </w:p>
    <w:p w14:paraId="6722A1DD">
      <w:pPr>
        <w:bidi w:val="0"/>
        <w:spacing w:line="360" w:lineRule="auto"/>
      </w:pPr>
      <w:r>
        <w:t>第4部分（缩略语）：给出本文件使用的缩略语及其中英文全称。</w:t>
      </w:r>
    </w:p>
    <w:p w14:paraId="30B92367">
      <w:pPr>
        <w:bidi w:val="0"/>
        <w:spacing w:line="360" w:lineRule="auto"/>
      </w:pPr>
      <w:r>
        <w:t>第5部分（评测框架）：提出基于“三个层次（基础能力层、专业能力层、应用能力层）和五个维度”的评测体系，五个维度为理解能力、生成能力、中医药专业能力、安全可控能力和服务能力，明确各层次、各维度的评测目标与相互关系。</w:t>
      </w:r>
    </w:p>
    <w:p w14:paraId="13FC9507">
      <w:pPr>
        <w:bidi w:val="0"/>
        <w:spacing w:line="360" w:lineRule="auto"/>
      </w:pPr>
      <w:r>
        <w:t>第6部分（评测指标）：按评测框架的五个维度，分别规定各模态（舌象、脉象、面象、声象、问诊文本、中药材图像）的理解能力与生成能力评测指标，以及多模态融合、中医药专业能力、安全可控能力和服务能力的评测指标，并给出各类指标的推荐阈值。</w:t>
      </w:r>
    </w:p>
    <w:p w14:paraId="5EF86D6B">
      <w:pPr>
        <w:bidi w:val="0"/>
        <w:spacing w:line="360" w:lineRule="auto"/>
      </w:pPr>
      <w:r>
        <w:t>第7部分（评测方法）：规定评测方法分类（自动化评测、人工评测、大模型裁判评测）、评测数据集要求、评测环境、评测工具、评测实施（含各模态及专业能力的具体实施方法）以及评测结果与报告的要求。</w:t>
      </w:r>
    </w:p>
    <w:p w14:paraId="3990078F">
      <w:pPr>
        <w:bidi w:val="0"/>
        <w:spacing w:line="360" w:lineRule="auto"/>
      </w:pPr>
      <w:r>
        <w:t>附录A（规范性）：规定舌象、脉象、面象、声象、问诊文本、中药材图像及多模态配对等各模态评测数据集的技术要求（数据格式、样本规模、采集规范与标注字段等）。</w:t>
      </w:r>
    </w:p>
    <w:p w14:paraId="716AFD2D">
      <w:pPr>
        <w:bidi w:val="0"/>
        <w:spacing w:line="360" w:lineRule="auto"/>
      </w:pPr>
      <w:r>
        <w:t>附录B（资料性）：给出客观评测（准确率、召回率、精确率、F1值、BLEU、Rouge-L、多模态信息增益）和主观评测（MOS分及中医药专业维度评分细则）的计算方法。</w:t>
      </w:r>
    </w:p>
    <w:p w14:paraId="5F1BA72A">
      <w:pPr>
        <w:pStyle w:val="3"/>
        <w:bidi w:val="0"/>
        <w:spacing w:line="360" w:lineRule="auto"/>
      </w:pPr>
      <w:r>
        <w:t>（二）主要技术内容的确定依据</w:t>
      </w:r>
    </w:p>
    <w:p w14:paraId="18F81686">
      <w:pPr>
        <w:pStyle w:val="4"/>
        <w:bidi w:val="0"/>
        <w:spacing w:line="360" w:lineRule="auto"/>
      </w:pPr>
      <w:r>
        <w:t>1. 评测框架的设计依据</w:t>
      </w:r>
    </w:p>
    <w:p w14:paraId="5F303442">
      <w:pPr>
        <w:spacing w:before="80" w:after="80" w:line="360" w:lineRule="auto"/>
        <w:ind w:firstLine="480"/>
      </w:pPr>
      <w:r>
        <w:rPr>
          <w:rFonts w:ascii="仿宋_GB2312" w:hAnsi="仿宋_GB2312" w:eastAsia="仿宋_GB2312" w:cs="仿宋_GB2312"/>
          <w:sz w:val="24"/>
          <w:szCs w:val="24"/>
        </w:rPr>
        <w:t>本文件在GB/T 45288.2—2025确立的"理解能力—生成能力"二维通用评测框架基础上进行扩展，增加中医药专业能力、安全可控能力和服务能力三个维度，形成适合中医药多模态人工智能模型的五维评测框架。这一扩展源于以下考量：</w:t>
      </w:r>
    </w:p>
    <w:p w14:paraId="2B4BD2AF">
      <w:pPr>
        <w:bidi w:val="0"/>
        <w:spacing w:line="360" w:lineRule="auto"/>
      </w:pPr>
      <w:r>
        <w:t>（1）中医药辨证论治能力是衡量中医药人工智能模型专业水平的核心维度，通用理解/生成能力难以充分反映模型在辨证、治法确定、方药推荐等方面的专业水平；</w:t>
      </w:r>
    </w:p>
    <w:p w14:paraId="05E8D2D9">
      <w:pPr>
        <w:bidi w:val="0"/>
        <w:spacing w:line="360" w:lineRule="auto"/>
      </w:pPr>
      <w:r>
        <w:t>（2）临床应用场景对安全性提出了特殊要求，包括预警舌象识别、配伍禁忌检测、毒性中药警示等，需单独设置安全评测维度；</w:t>
      </w:r>
    </w:p>
    <w:p w14:paraId="363FDB44">
      <w:pPr>
        <w:bidi w:val="0"/>
        <w:spacing w:line="360" w:lineRule="auto"/>
      </w:pPr>
      <w:r>
        <w:t>（3）服务能力（响应速度、输出格式规范性、多轮对话一致性等）是模型实际部署应用的重要质量指标。</w:t>
      </w:r>
    </w:p>
    <w:p w14:paraId="59B0F740">
      <w:pPr>
        <w:pStyle w:val="4"/>
        <w:bidi w:val="0"/>
        <w:spacing w:line="360" w:lineRule="auto"/>
      </w:pPr>
      <w:r>
        <w:t>2. 中医药特色模态评测指标的确定依据</w:t>
      </w:r>
    </w:p>
    <w:p w14:paraId="68570078">
      <w:pPr>
        <w:bidi w:val="0"/>
      </w:pPr>
      <w:r>
        <w:t>（1）舌象评测指标：舌象是中医诊断最重要的客观依据之一。本文件规定的舌象评测指标（舌色分类、苔色分类、苔质分类、舌形特征识别、舌下络脉分析、预警舌象识别等）依据GB/T 40665.1—2021《中医四诊操作规范 第1部分：望诊》和YY/T 1657—2019《舌象信息采集设备》所规定的舌诊规范内容确定，并参考中医临床舌诊实践经验与相关学术研究成果。预警舌象评测的设置是针对临床风险管理的特殊要求，预警舌象（镜面舌、枯白舌、猪腰舌等）的识别能力直接关系到患者安全。</w:t>
      </w:r>
    </w:p>
    <w:p w14:paraId="2E1F7F64">
      <w:pPr>
        <w:bidi w:val="0"/>
      </w:pPr>
      <w:r>
        <w:t>（2）脉象评测指标：依据GB/T 40665.4—2021《中医四诊操作规范 第4部分：切诊》规定的脉象分类（二十八脉）及脉象参数（脉位、脉率、脉力、脉形、脉势）确定，涵盖脉象参数提取和脉象分类两类评测任务，并结合相兼脉识别（考察多脉并现的处理能力）及脉证对应（考察脉象与证候关联分析能力）。</w:t>
      </w:r>
    </w:p>
    <w:p w14:paraId="65C3CFBC">
      <w:pPr>
        <w:bidi w:val="0"/>
      </w:pPr>
      <w:r>
        <w:t>（3）面象、声象评测指标：面象评测参照GB/T 40665.1规定的面诊内容，声象评测参照GB/T 40665.2—2021《中医四诊操作规范 第2部分：闻诊》，针对各模态数据特征设计评测任务。</w:t>
      </w:r>
    </w:p>
    <w:p w14:paraId="27434898">
      <w:pPr>
        <w:bidi w:val="0"/>
      </w:pPr>
      <w:r>
        <w:t>（4）中药材图像评测指标：中药鉴定是中医药人工智能应用的重要方向，评测任务涵盖常用药材识别、易混药材鉴别、形态特征识别、真伪鉴别等，充分体现中药鉴别的专业需求。</w:t>
      </w:r>
    </w:p>
    <w:p w14:paraId="16EC9727">
      <w:pPr>
        <w:pStyle w:val="4"/>
        <w:bidi w:val="0"/>
        <w:spacing w:line="360" w:lineRule="auto"/>
      </w:pPr>
      <w:r>
        <w:t>3. 多模态融合评测指标的确定依据</w:t>
      </w:r>
    </w:p>
    <w:p w14:paraId="1877477F">
      <w:pPr>
        <w:spacing w:before="80" w:after="80" w:line="360" w:lineRule="auto"/>
        <w:ind w:firstLine="480"/>
      </w:pPr>
      <w:r>
        <w:rPr>
          <w:rFonts w:ascii="仿宋_GB2312" w:hAnsi="仿宋_GB2312" w:eastAsia="仿宋_GB2312" w:cs="仿宋_GB2312"/>
          <w:sz w:val="24"/>
          <w:szCs w:val="24"/>
        </w:rPr>
        <w:t>四诊合参是中医诊断的核心原则，多模态融合能力是区分中医药人工智能模型质量水平的关键指标。本文件设置了舌脉联合分析、四诊合参（包括四诊综合辨证、症状-舌象匹配、矛盾信息处理、缺失模态补偿）和图文对齐等评测任务。其中：</w:t>
      </w:r>
    </w:p>
    <w:p w14:paraId="0D5F5529">
      <w:pPr>
        <w:bidi w:val="0"/>
        <w:spacing w:line="360" w:lineRule="auto"/>
      </w:pPr>
      <w:r>
        <w:t>（1）多模态信息增益（Gain）指标为本文件针对中医药多模态评测特别设计，通过比较多模态融合后的性能与最优单模态性能，定量评价多模态融合的实际效果，计算方法见附录B.1.7；</w:t>
      </w:r>
    </w:p>
    <w:p w14:paraId="38E68F1F">
      <w:pPr>
        <w:bidi w:val="0"/>
        <w:spacing w:line="360" w:lineRule="auto"/>
      </w:pPr>
      <w:r>
        <w:t>（2）矛盾信息处理评测，来源于中医临床中"舍症从脉"或"舍脉从症"等辨证规律，考察模型处理多模态信息矛盾时的合理性；</w:t>
      </w:r>
    </w:p>
    <w:p w14:paraId="60786678">
      <w:pPr>
        <w:bidi w:val="0"/>
        <w:spacing w:line="360" w:lineRule="auto"/>
      </w:pPr>
      <w:r>
        <w:t>（3）症状-舌象匹配评测设计了相符判断、矛盾识别、</w:t>
      </w:r>
      <w:r>
        <w:rPr>
          <w:rFonts w:ascii="仿宋_GB2312" w:hAnsi="仿宋_GB2312" w:eastAsia="仿宋_GB2312" w:cs="仿宋_GB2312"/>
          <w:szCs w:val="24"/>
        </w:rPr>
        <w:t>佐证推理三个递进层次，全面考察模型的多模态推理能力。</w:t>
      </w:r>
    </w:p>
    <w:p w14:paraId="1DD08768">
      <w:pPr>
        <w:pStyle w:val="4"/>
        <w:bidi w:val="0"/>
        <w:spacing w:line="360" w:lineRule="auto"/>
      </w:pPr>
      <w:r>
        <w:t>4. 中医药专业能力评测的确定依据</w:t>
      </w:r>
    </w:p>
    <w:p w14:paraId="713662A8">
      <w:pPr>
        <w:bidi w:val="0"/>
        <w:spacing w:line="360" w:lineRule="auto"/>
      </w:pPr>
      <w:r>
        <w:t>（1）辨证能力评测：中医辨证是中医临床的核心技能，本文件设置八纲辨证、脏腑辨证、气血津液辨证、六经辨证、卫气营血辨证、三焦辨证六类辨证体系的评测任务，依据GB/T 16751.2—2021《中医临床诊疗术语 第2部分：证候》所规定的证候分类体系确定评测标准。</w:t>
      </w:r>
    </w:p>
    <w:p w14:paraId="2FCA5506">
      <w:pPr>
        <w:bidi w:val="0"/>
        <w:spacing w:line="360" w:lineRule="auto"/>
      </w:pPr>
      <w:r>
        <w:t>（2）方药推荐能力评测：依据中医辨证论治原则，设置治法推荐、方剂推荐、药物配伍合理性、剂量合理性、禁忌识别等评测任务，并特别强调"十八反十九畏"等配伍禁忌的识别能力，以及特殊人群（孕妇、儿童、危重症患者）的用药安全评测。</w:t>
      </w:r>
    </w:p>
    <w:p w14:paraId="38A0AECB">
      <w:pPr>
        <w:bidi w:val="0"/>
        <w:spacing w:line="360" w:lineRule="auto"/>
      </w:pPr>
      <w:r>
        <w:t>（3）临床动态诊疗能力评测：真实临床诊疗是动态的多轮交互过程，本文件设计了涵盖初诊—复诊—病情变化的多轮对话评测场景，重点评测模型的追问能力、历史信息记忆与调用能力（关键信息召回率、字段级准确率）及复诊加减用药能力（加减触发率、加减合理率、治法转换合理性、加减依据可解释性、安全性核查），充分体现中医"方随证转"的诊疗规律。</w:t>
      </w:r>
    </w:p>
    <w:p w14:paraId="1D5FE1B9">
      <w:pPr>
        <w:pStyle w:val="4"/>
        <w:bidi w:val="0"/>
        <w:spacing w:line="360" w:lineRule="auto"/>
      </w:pPr>
      <w:r>
        <w:t>5. 主观评测维度的确定依据</w:t>
      </w:r>
    </w:p>
    <w:p w14:paraId="0DC64A76">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通用MOS评测维度（相关度、完整度、有效性、连贯性、一致性、遵循性、真实性、有害性）依照GB/T 45288.2—2025附录A中表A.1的规定。本文件在此基础上，针对中医药领域补充了以下专业维度</w:t>
      </w:r>
      <w:r>
        <w:rPr>
          <w:rFonts w:hint="eastAsia" w:ascii="仿宋_GB2312" w:hAnsi="仿宋_GB2312" w:eastAsia="仿宋_GB2312" w:cs="仿宋_GB2312"/>
          <w:sz w:val="24"/>
          <w:szCs w:val="24"/>
          <w:lang w:eastAsia="zh-CN"/>
        </w:rPr>
        <w:t>。</w:t>
      </w:r>
    </w:p>
    <w:p w14:paraId="5201D487">
      <w:pPr>
        <w:bidi w:val="0"/>
      </w:pPr>
      <w:r>
        <w:t>（1）中医术语规范性：以GB/T 16751系列标准作为术语规范性的判断依据，考察模型输出是否正确使用中医专业术语；</w:t>
      </w:r>
    </w:p>
    <w:p w14:paraId="6ACD61CF">
      <w:pPr>
        <w:bidi w:val="0"/>
      </w:pPr>
      <w:r>
        <w:t>（2）辨证合理性：以中医经典理论和临床专家共识为依据，由专家委员会评定辨证过程与结论的合理性；</w:t>
      </w:r>
    </w:p>
    <w:p w14:paraId="3FE8F351">
      <w:pPr>
        <w:bidi w:val="0"/>
      </w:pPr>
      <w:r>
        <w:t>（3）方药安全性：依据中医配伍禁忌（十八反十九畏）、毒性中药管理规定及临床用药规范进行评定；</w:t>
      </w:r>
    </w:p>
    <w:p w14:paraId="66553420">
      <w:pPr>
        <w:bidi w:val="0"/>
      </w:pPr>
      <w:r>
        <w:t>（4）追问合理性与多轮一致性：从临床问诊规范和多轮对话质量两个角度，评测模型在信息不足时主动追问的合理性及多轮交互中的历史信息利用能力。</w:t>
      </w:r>
    </w:p>
    <w:p w14:paraId="15DEDBE3">
      <w:pPr>
        <w:spacing w:before="80" w:after="80" w:line="360" w:lineRule="auto"/>
        <w:ind w:firstLine="480"/>
      </w:pPr>
      <w:r>
        <w:rPr>
          <w:rFonts w:ascii="仿宋_GB2312" w:hAnsi="仿宋_GB2312" w:eastAsia="仿宋_GB2312" w:cs="仿宋_GB2312"/>
          <w:sz w:val="24"/>
          <w:szCs w:val="24"/>
        </w:rPr>
        <w:t>上述专业维度均设计了详细的五级评分细则（见附录B表B.1），确保主观评测的标准化与可重复性。</w:t>
      </w:r>
    </w:p>
    <w:p w14:paraId="1A2574B9">
      <w:pPr>
        <w:pStyle w:val="4"/>
        <w:bidi w:val="0"/>
        <w:spacing w:line="360" w:lineRule="auto"/>
      </w:pPr>
      <w:r>
        <w:t>6. 评测数据集要求的确定依据</w:t>
      </w:r>
    </w:p>
    <w:p w14:paraId="5012212E">
      <w:pPr>
        <w:spacing w:before="80" w:after="80" w:line="360" w:lineRule="auto"/>
        <w:ind w:firstLine="480"/>
      </w:pPr>
      <w:r>
        <w:rPr>
          <w:rFonts w:ascii="仿宋_GB2312" w:hAnsi="仿宋_GB2312" w:eastAsia="仿宋_GB2312" w:cs="仿宋_GB2312"/>
          <w:sz w:val="24"/>
          <w:szCs w:val="24"/>
        </w:rPr>
        <w:t>评测数据集质量直接决定评测结果的可靠性。本文件规定的数据集要求参考了GB/T 42755—2023《人工智能 面向机器学习的数据标注规程》，并结合中医药多模态数据的特殊性，规定了以下核心要求：数据来源的合规性（知情同意、伦理审查）、标注人员的专业资质（中医执业医师）、标注一致性的量化要求、数据集的泄露防范（避免评测数据污染训练数据），以及数据集的动态更新机制。</w:t>
      </w:r>
    </w:p>
    <w:p w14:paraId="6B6869E9">
      <w:pPr>
        <w:pStyle w:val="3"/>
        <w:bidi w:val="0"/>
        <w:spacing w:line="360" w:lineRule="auto"/>
      </w:pPr>
      <w:r>
        <w:t>（三）主要技术内容与现行标准的协调关系</w:t>
      </w:r>
    </w:p>
    <w:p w14:paraId="1D42FD3E">
      <w:pPr>
        <w:bidi w:val="0"/>
      </w:pPr>
      <w:r>
        <w:t>（1）与GB/T 45288.2—2025的关系：本文件是GB/T 45288.2—2025在中医药领域的专业化扩展，直接引用其客观评测指标的计算方法，并与其主观评测维度保持衔接，增加中医药专业评测内容。</w:t>
      </w:r>
    </w:p>
    <w:p w14:paraId="35EEDA46">
      <w:pPr>
        <w:bidi w:val="0"/>
      </w:pPr>
      <w:r>
        <w:t>（2）与GB/T 40665系列的关系：本文件的中医四诊相关术语定义、各模态评测指标的设计均以GB/T 40665系列标准为技术依据。</w:t>
      </w:r>
    </w:p>
    <w:p w14:paraId="15DBA25D">
      <w:pPr>
        <w:bidi w:val="0"/>
      </w:pPr>
      <w:r>
        <w:t>（3）与GB/T 16751系列的关系：中医术语规范性评测及辨证类评测任务的标准答案以GB/T 16751系列规定的术语体系为依据。</w:t>
      </w:r>
    </w:p>
    <w:p w14:paraId="4DD2BE54">
      <w:pPr>
        <w:bidi w:val="0"/>
      </w:pPr>
      <w:r>
        <w:t>（4）与GB/T 45654—2025《网络安全技术 生成式人工智能服务安全基本要求》的关系：本文件安全可控能力评测内容与上述安全基本要求相协调。</w:t>
      </w:r>
    </w:p>
    <w:p w14:paraId="0AF37EAA">
      <w:pPr>
        <w:pStyle w:val="2"/>
        <w:bidi w:val="0"/>
        <w:spacing w:line="360" w:lineRule="auto"/>
      </w:pPr>
      <w:bookmarkStart w:id="5" w:name="_Toc28696"/>
      <w:r>
        <w:t>六、重大分歧意见的处理经过和依据</w:t>
      </w:r>
      <w:bookmarkEnd w:id="5"/>
    </w:p>
    <w:p w14:paraId="162F98DF">
      <w:pPr>
        <w:spacing w:before="80" w:after="80" w:line="360" w:lineRule="auto"/>
        <w:ind w:firstLine="480"/>
        <w:rPr>
          <w:rFonts w:hint="eastAsia" w:eastAsia="仿宋_GB2312"/>
          <w:lang w:eastAsia="zh-CN"/>
        </w:rPr>
      </w:pPr>
      <w:r>
        <w:rPr>
          <w:rFonts w:ascii="仿宋_GB2312" w:hAnsi="仿宋_GB2312" w:eastAsia="仿宋_GB2312" w:cs="仿宋_GB2312"/>
          <w:sz w:val="24"/>
          <w:szCs w:val="24"/>
        </w:rPr>
        <w:t>本文件编制过程中，主要对以下问题进行了讨论，并经工作组协商达成一致意见</w:t>
      </w:r>
      <w:r>
        <w:rPr>
          <w:rFonts w:hint="eastAsia" w:ascii="仿宋_GB2312" w:hAnsi="仿宋_GB2312" w:eastAsia="仿宋_GB2312" w:cs="仿宋_GB2312"/>
          <w:sz w:val="24"/>
          <w:szCs w:val="24"/>
          <w:lang w:eastAsia="zh-CN"/>
        </w:rPr>
        <w:t>。</w:t>
      </w:r>
    </w:p>
    <w:p w14:paraId="25DF7177">
      <w:pPr>
        <w:pStyle w:val="3"/>
        <w:bidi w:val="0"/>
        <w:spacing w:line="360" w:lineRule="auto"/>
      </w:pPr>
      <w:r>
        <w:t>（一）关于评测维度的设置</w:t>
      </w:r>
    </w:p>
    <w:p w14:paraId="62FA3ED3">
      <w:pPr>
        <w:spacing w:before="80" w:after="80" w:line="360" w:lineRule="auto"/>
        <w:ind w:firstLine="480"/>
      </w:pPr>
      <w:r>
        <w:rPr>
          <w:rFonts w:ascii="仿宋_GB2312" w:hAnsi="仿宋_GB2312" w:eastAsia="仿宋_GB2312" w:cs="仿宋_GB2312"/>
          <w:sz w:val="24"/>
          <w:szCs w:val="24"/>
        </w:rPr>
        <w:t>部分专家建议将中医药专业能力评测与通用能力评测合并，以简化标准结构。工作组经讨论认为，中医药专业能力（辨证能力、方药推荐、临床动态诊疗等）在评测方法和专业标准方面具有高度特殊性，与通用理解/生成能力有本质区别，单独设置维度更有助于评测工作的精准化实施，故维持原设计。</w:t>
      </w:r>
    </w:p>
    <w:p w14:paraId="14737014">
      <w:pPr>
        <w:pStyle w:val="3"/>
        <w:bidi w:val="0"/>
        <w:spacing w:line="360" w:lineRule="auto"/>
      </w:pPr>
      <w:r>
        <w:t>（二）关于主观评测的可操作性</w:t>
      </w:r>
    </w:p>
    <w:p w14:paraId="746CC180">
      <w:pPr>
        <w:spacing w:before="80" w:after="80" w:line="360" w:lineRule="auto"/>
        <w:ind w:firstLine="480"/>
      </w:pPr>
      <w:r>
        <w:rPr>
          <w:rFonts w:ascii="仿宋_GB2312" w:hAnsi="仿宋_GB2312" w:eastAsia="仿宋_GB2312" w:cs="仿宋_GB2312"/>
          <w:sz w:val="24"/>
          <w:szCs w:val="24"/>
        </w:rPr>
        <w:t>部分专家担忧主观评测指标（如辨证合理性、方药安全性等）因评测人员差异导致评测结果一致性不足。工作组据此在附录B表B.1中制定了详细的五级评分细则，明确了各分值的判定标准，并要求由不少于3名具有相应资质的中医临床专家参与主观评测，取平均分作为最终得分，以确保评测结果的稳定性和可重复性。</w:t>
      </w:r>
    </w:p>
    <w:p w14:paraId="14FF96E4">
      <w:pPr>
        <w:pStyle w:val="3"/>
        <w:bidi w:val="0"/>
        <w:spacing w:line="360" w:lineRule="auto"/>
      </w:pPr>
      <w:r>
        <w:t>（三）关于多模态信息增益指标</w:t>
      </w:r>
    </w:p>
    <w:p w14:paraId="33B8B295">
      <w:pPr>
        <w:spacing w:before="80" w:after="80" w:line="360" w:lineRule="auto"/>
        <w:ind w:firstLine="480"/>
      </w:pPr>
      <w:r>
        <w:rPr>
          <w:rFonts w:ascii="仿宋_GB2312" w:hAnsi="仿宋_GB2312" w:eastAsia="仿宋_GB2312" w:cs="仿宋_GB2312"/>
          <w:sz w:val="24"/>
          <w:szCs w:val="24"/>
        </w:rPr>
        <w:t>部分专家就多模态信息增益指标的适用性提出疑问，认为在某些任务中多模态融合并不一定带来性能提升。工作组明确，该指标旨在客观反映多模态融合的实际效果（包括正增益和负增益），并非要求多模态模型必须优于单模态模型，其价值在于为模型优化提供量化参考，故予以保留。</w:t>
      </w:r>
    </w:p>
    <w:p w14:paraId="3C8ABE14">
      <w:pPr>
        <w:spacing w:before="80" w:after="80" w:line="360" w:lineRule="auto"/>
        <w:ind w:firstLine="480"/>
      </w:pPr>
      <w:r>
        <w:rPr>
          <w:rFonts w:ascii="仿宋_GB2312" w:hAnsi="仿宋_GB2312" w:eastAsia="仿宋_GB2312" w:cs="仿宋_GB2312"/>
          <w:sz w:val="24"/>
          <w:szCs w:val="24"/>
        </w:rPr>
        <w:t>本文件编制过程中无其他重大分歧意见。</w:t>
      </w:r>
    </w:p>
    <w:p w14:paraId="0F5B761D">
      <w:pPr>
        <w:pStyle w:val="2"/>
        <w:bidi w:val="0"/>
        <w:spacing w:line="360" w:lineRule="auto"/>
      </w:pPr>
      <w:bookmarkStart w:id="6" w:name="_Toc11854"/>
      <w:r>
        <w:t>七、其他需要说明的事项</w:t>
      </w:r>
      <w:bookmarkEnd w:id="6"/>
    </w:p>
    <w:p w14:paraId="3938DD81">
      <w:pPr>
        <w:pStyle w:val="3"/>
        <w:bidi w:val="0"/>
        <w:spacing w:line="360" w:lineRule="auto"/>
      </w:pPr>
      <w:r>
        <w:t>（一）与国家人工智能安全监管要求的协调</w:t>
      </w:r>
    </w:p>
    <w:p w14:paraId="16FBDB95">
      <w:pPr>
        <w:spacing w:before="80" w:after="80" w:line="360" w:lineRule="auto"/>
        <w:ind w:firstLine="480"/>
      </w:pPr>
      <w:r>
        <w:rPr>
          <w:rFonts w:ascii="仿宋_GB2312" w:hAnsi="仿宋_GB2312" w:eastAsia="仿宋_GB2312" w:cs="仿宋_GB2312"/>
          <w:sz w:val="24"/>
          <w:szCs w:val="24"/>
        </w:rPr>
        <w:t>本文件内容与《生成式人工智能服务管理暂行办法》（国家互联网信息办公室等七部门令第15号）相关要求协调一致，在安全可控能力评测中充分体现了对有害内容过滤、医疗信息真实性保障等方面的要求。</w:t>
      </w:r>
    </w:p>
    <w:p w14:paraId="3CD948C5">
      <w:pPr>
        <w:pStyle w:val="3"/>
        <w:bidi w:val="0"/>
        <w:spacing w:line="360" w:lineRule="auto"/>
      </w:pPr>
      <w:r>
        <w:t>（二）关于评测数据集的说明</w:t>
      </w:r>
    </w:p>
    <w:p w14:paraId="7B7790C7">
      <w:pPr>
        <w:spacing w:before="80" w:after="80" w:line="360" w:lineRule="auto"/>
        <w:ind w:firstLine="480"/>
      </w:pPr>
      <w:r>
        <w:rPr>
          <w:rFonts w:ascii="仿宋_GB2312" w:hAnsi="仿宋_GB2312" w:eastAsia="仿宋_GB2312" w:cs="仿宋_GB2312"/>
          <w:sz w:val="24"/>
          <w:szCs w:val="24"/>
        </w:rPr>
        <w:t>本文件规定了评测数据集的质量要求，但不指定具体的公开数据集或商业数据集。考虑到中医药多模态评测数据集目前尚处于建设初期，建议国家相关部门及研究机构积极推动标准评测数据集的研建工作，以支撑本文件的有效实施。</w:t>
      </w:r>
    </w:p>
    <w:p w14:paraId="1FF79368">
      <w:pPr>
        <w:pStyle w:val="3"/>
        <w:bidi w:val="0"/>
        <w:spacing w:line="360" w:lineRule="auto"/>
      </w:pPr>
      <w:r>
        <w:t>（三）关于本文件的适用范围</w:t>
      </w:r>
    </w:p>
    <w:p w14:paraId="149B2549">
      <w:pPr>
        <w:spacing w:before="80" w:after="80" w:line="360" w:lineRule="auto"/>
        <w:ind w:firstLine="480"/>
      </w:pPr>
      <w:r>
        <w:rPr>
          <w:rFonts w:ascii="仿宋_GB2312" w:hAnsi="仿宋_GB2312" w:eastAsia="仿宋_GB2312" w:cs="仿宋_GB2312"/>
          <w:sz w:val="24"/>
          <w:szCs w:val="24"/>
        </w:rPr>
        <w:t>本文件适用于以中医药诊疗为核心应用场景的多模态人工智能模型，包括但不限于辅助诊断系统、健康管理平台、中药鉴定系统等。对于以中医药知识问答、科普教育为主要功能而不涉及临床辅助诊疗的模型，可参考使用本文件中的相关条款。</w:t>
      </w:r>
    </w:p>
    <w:p w14:paraId="2499AE56">
      <w:pPr>
        <w:pStyle w:val="3"/>
        <w:bidi w:val="0"/>
        <w:spacing w:line="360" w:lineRule="auto"/>
      </w:pPr>
      <w:r>
        <w:t>（四）关于标准的持续维护</w:t>
      </w:r>
    </w:p>
    <w:p w14:paraId="137381BA">
      <w:pPr>
        <w:spacing w:before="80" w:after="80" w:line="360" w:lineRule="auto"/>
        <w:ind w:firstLine="480"/>
      </w:pPr>
      <w:r>
        <w:rPr>
          <w:rFonts w:ascii="仿宋_GB2312" w:hAnsi="仿宋_GB2312" w:eastAsia="仿宋_GB2312" w:cs="仿宋_GB2312"/>
          <w:sz w:val="24"/>
          <w:szCs w:val="24"/>
        </w:rPr>
        <w:t>鉴于中医药人工智能技术及相关标准处于快速发展阶段，建议本文件在发布实施后2—3年内根据技术发展及实施反馈情况启动修订工作，重点关注新型模态数据的纳入、评测方法的精细化完善，以及与新发布相关国家标准的协调衔接。</w:t>
      </w:r>
    </w:p>
    <w:p w14:paraId="2809FA9E">
      <w:pPr>
        <w:pStyle w:val="3"/>
        <w:bidi w:val="0"/>
        <w:spacing w:line="360" w:lineRule="auto"/>
      </w:pPr>
      <w:r>
        <w:t>（五）知识产权声明</w:t>
      </w:r>
    </w:p>
    <w:p w14:paraId="1C45854C">
      <w:pPr>
        <w:spacing w:before="80" w:after="80" w:line="360" w:lineRule="auto"/>
        <w:ind w:firstLine="480"/>
      </w:pPr>
      <w:r>
        <w:rPr>
          <w:rFonts w:ascii="仿宋_GB2312" w:hAnsi="仿宋_GB2312" w:eastAsia="仿宋_GB2312" w:cs="仿宋_GB2312"/>
          <w:sz w:val="24"/>
          <w:szCs w:val="24"/>
        </w:rPr>
        <w:t>本文件的起草单位和起草人员承诺，不向本文件使用方就其在本文件中所涉及的知识产权主张权利，并已知悉其知识产权情况，相关已知专利已在前言中予以说明。</w:t>
      </w:r>
    </w:p>
    <w:p w14:paraId="2AD14A11">
      <w:pPr>
        <w:spacing w:before="600" w:after="80" w:line="360" w:lineRule="auto"/>
        <w:jc w:val="right"/>
      </w:pPr>
      <w:r>
        <w:rPr>
          <w:rFonts w:ascii="仿宋_GB2312" w:hAnsi="仿宋_GB2312" w:eastAsia="仿宋_GB2312" w:cs="仿宋_GB2312"/>
          <w:sz w:val="24"/>
          <w:szCs w:val="24"/>
        </w:rPr>
        <w:t>（编制工作组）</w:t>
      </w:r>
    </w:p>
    <w:p w14:paraId="76026EC6">
      <w:pPr>
        <w:spacing w:before="80" w:after="80" w:line="360" w:lineRule="auto"/>
        <w:jc w:val="right"/>
      </w:pPr>
      <w:r>
        <w:rPr>
          <w:rFonts w:ascii="仿宋_GB2312" w:hAnsi="仿宋_GB2312" w:eastAsia="仿宋_GB2312" w:cs="仿宋_GB2312"/>
          <w:sz w:val="24"/>
          <w:szCs w:val="24"/>
        </w:rPr>
        <w:t>2025年5月</w:t>
      </w:r>
    </w:p>
    <w:sectPr>
      <w:pgSz w:w="11906" w:h="16838"/>
      <w:pgMar w:top="1440" w:right="1296" w:bottom="1440" w:left="180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仿宋_GB2312">
    <w:altName w:val="仿宋"/>
    <w:panose1 w:val="00000000000000000000"/>
    <w:charset w:val="86"/>
    <w:family w:val="auto"/>
    <w:pitch w:val="default"/>
    <w:sig w:usb0="00000000" w:usb1="00000000" w:usb2="00000000" w:usb3="00000000" w:csb0="00000000" w:csb1="00000000"/>
  </w:font>
  <w:font w:name="KSOFE44F9426">
    <w:panose1 w:val="02010609060101010101"/>
    <w:charset w:val="86"/>
    <w:family w:val="auto"/>
    <w:pitch w:val="default"/>
    <w:sig w:usb0="00000001" w:usb1="00000000" w:usb2="00000000" w:usb3="00000000" w:csb0="00040001"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KSOFE4507CE4">
    <w:panose1 w:val="02010609060101010101"/>
    <w:charset w:val="86"/>
    <w:family w:val="auto"/>
    <w:pitch w:val="default"/>
    <w:sig w:usb0="00000001" w:usb1="00000000" w:usb2="00000000"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 w:name="KSOFE4500885">
    <w:panose1 w:val="02010609060101010101"/>
    <w:charset w:val="86"/>
    <w:family w:val="auto"/>
    <w:pitch w:val="default"/>
    <w:sig w:usb0="00000001" w:usb1="00000000" w:usb2="00000000" w:usb3="00000000" w:csb0="00040001" w:csb1="00000000"/>
  </w:font>
  <w:font w:name="华文仿宋">
    <w:panose1 w:val="02010600040101010101"/>
    <w:charset w:val="86"/>
    <w:family w:val="auto"/>
    <w:pitch w:val="default"/>
    <w:sig w:usb0="00000287" w:usb1="080F0000" w:usb2="00000000" w:usb3="00000000" w:csb0="0004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isplayBackgroundShape w:val="1"/>
  <w:documentProtection w:enforcement="0"/>
  <w:footnotePr>
    <w:footnote w:id="0"/>
    <w:footnote w:id="1"/>
  </w:footnotePr>
  <w:endnotePr>
    <w:endnote w:id="0"/>
    <w:endnote w:id="1"/>
  </w:endnotePr>
  <w:compat>
    <w:useFELayout/>
    <w:compatSetting w:name="compatibilityMode" w:uri="http://schemas.microsoft.com/office/word" w:val="15"/>
  </w:compat>
  <w:rsids>
    <w:rsidRoot w:val="00000000"/>
    <w:rsid w:val="2FFD3C0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仿宋_GB2312" w:hAnsi="仿宋_GB2312" w:eastAsia="仿宋_GB2312" w:cs="仿宋_GB2312"/>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spacing w:line="360" w:lineRule="auto"/>
      <w:ind w:firstLine="0"/>
    </w:pPr>
    <w:rPr>
      <w:rFonts w:ascii="仿宋_GB2312" w:hAnsi="仿宋_GB2312" w:eastAsia="仿宋_GB2312" w:cs="仿宋_GB2312"/>
      <w:sz w:val="24"/>
      <w:szCs w:val="24"/>
    </w:rPr>
  </w:style>
  <w:style w:type="paragraph" w:styleId="2">
    <w:name w:val="heading 1"/>
    <w:next w:val="1"/>
    <w:qFormat/>
    <w:uiPriority w:val="0"/>
    <w:pPr>
      <w:outlineLvl w:val="0"/>
    </w:pPr>
    <w:rPr>
      <w:rFonts w:ascii="仿宋_GB2312" w:hAnsi="仿宋_GB2312" w:eastAsia="仿宋_GB2312" w:cs="仿宋_GB2312"/>
      <w:color w:val="000000" w:themeColor="text1"/>
      <w:sz w:val="32"/>
      <w:szCs w:val="32"/>
      <w14:textFill>
        <w14:solidFill>
          <w14:schemeClr w14:val="tx1"/>
        </w14:solidFill>
      </w14:textFill>
    </w:rPr>
  </w:style>
  <w:style w:type="paragraph" w:styleId="3">
    <w:name w:val="heading 2"/>
    <w:next w:val="1"/>
    <w:qFormat/>
    <w:uiPriority w:val="0"/>
    <w:pPr>
      <w:outlineLvl w:val="1"/>
    </w:pPr>
    <w:rPr>
      <w:rFonts w:ascii="仿宋_GB2312" w:hAnsi="仿宋_GB2312" w:eastAsia="仿宋_GB2312" w:cs="仿宋_GB2312"/>
      <w:color w:val="000000" w:themeColor="text1"/>
      <w:sz w:val="26"/>
      <w:szCs w:val="26"/>
      <w14:textFill>
        <w14:solidFill>
          <w14:schemeClr w14:val="tx1"/>
        </w14:solidFill>
      </w14:textFill>
    </w:rPr>
  </w:style>
  <w:style w:type="paragraph" w:styleId="4">
    <w:name w:val="heading 3"/>
    <w:next w:val="1"/>
    <w:qFormat/>
    <w:uiPriority w:val="0"/>
    <w:pPr>
      <w:outlineLvl w:val="2"/>
    </w:pPr>
    <w:rPr>
      <w:rFonts w:ascii="仿宋_GB2312" w:hAnsi="仿宋_GB2312" w:eastAsia="仿宋_GB2312" w:cs="仿宋_GB2312"/>
      <w:color w:val="000000" w:themeColor="text1"/>
      <w:sz w:val="24"/>
      <w:szCs w:val="24"/>
      <w14:textFill>
        <w14:solidFill>
          <w14:schemeClr w14:val="tx1"/>
        </w14:solidFill>
      </w14:textFill>
    </w:rPr>
  </w:style>
  <w:style w:type="paragraph" w:styleId="5">
    <w:name w:val="heading 4"/>
    <w:next w:val="1"/>
    <w:qFormat/>
    <w:uiPriority w:val="0"/>
    <w:rPr>
      <w:rFonts w:ascii="仿宋_GB2312" w:hAnsi="仿宋_GB2312" w:eastAsia="仿宋_GB2312" w:cs="仿宋_GB2312"/>
      <w:i/>
      <w:iCs/>
      <w:color w:val="2E74B5"/>
      <w:sz w:val="24"/>
      <w:szCs w:val="24"/>
    </w:rPr>
  </w:style>
  <w:style w:type="paragraph" w:styleId="6">
    <w:name w:val="heading 5"/>
    <w:next w:val="1"/>
    <w:qFormat/>
    <w:uiPriority w:val="0"/>
    <w:rPr>
      <w:rFonts w:ascii="仿宋_GB2312" w:hAnsi="仿宋_GB2312" w:eastAsia="仿宋_GB2312" w:cs="仿宋_GB2312"/>
      <w:color w:val="2E74B5"/>
      <w:sz w:val="24"/>
      <w:szCs w:val="24"/>
    </w:rPr>
  </w:style>
  <w:style w:type="paragraph" w:styleId="7">
    <w:name w:val="heading 6"/>
    <w:next w:val="1"/>
    <w:qFormat/>
    <w:uiPriority w:val="0"/>
    <w:rPr>
      <w:rFonts w:ascii="仿宋_GB2312" w:hAnsi="仿宋_GB2312" w:eastAsia="仿宋_GB2312" w:cs="仿宋_GB2312"/>
      <w:color w:val="1F4D78"/>
      <w:sz w:val="24"/>
      <w:szCs w:val="24"/>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仿宋_GB2312" w:hAnsi="仿宋_GB2312" w:eastAsia="仿宋_GB2312" w:cs="仿宋_GB2312"/>
      <w:sz w:val="20"/>
      <w:szCs w:val="20"/>
    </w:rPr>
  </w:style>
  <w:style w:type="paragraph" w:styleId="9">
    <w:name w:val="toc 1"/>
    <w:basedOn w:val="1"/>
    <w:next w:val="1"/>
    <w:uiPriority w:val="0"/>
  </w:style>
  <w:style w:type="paragraph" w:styleId="10">
    <w:name w:val="footnote text"/>
    <w:link w:val="18"/>
    <w:semiHidden/>
    <w:unhideWhenUsed/>
    <w:uiPriority w:val="99"/>
    <w:pPr>
      <w:spacing w:after="0" w:line="240" w:lineRule="auto"/>
    </w:pPr>
    <w:rPr>
      <w:rFonts w:ascii="仿宋_GB2312" w:hAnsi="仿宋_GB2312" w:eastAsia="仿宋_GB2312" w:cs="仿宋_GB2312"/>
      <w:sz w:val="20"/>
      <w:szCs w:val="20"/>
    </w:rPr>
  </w:style>
  <w:style w:type="paragraph" w:styleId="11">
    <w:name w:val="Title"/>
    <w:qFormat/>
    <w:uiPriority w:val="0"/>
    <w:rPr>
      <w:rFonts w:ascii="仿宋_GB2312" w:hAnsi="仿宋_GB2312" w:eastAsia="仿宋_GB2312" w:cs="仿宋_GB2312"/>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仿宋_GB2312" w:hAnsi="仿宋_GB2312" w:eastAsia="仿宋_GB2312" w:cs="仿宋_GB2312"/>
      <w:sz w:val="24"/>
      <w:szCs w:val="24"/>
    </w:rPr>
  </w:style>
  <w:style w:type="character" w:customStyle="1" w:styleId="18">
    <w:name w:val="Footnote Text Char"/>
    <w:link w:val="10"/>
    <w:semiHidden/>
    <w:unhideWhenUsed/>
    <w:uiPriority w:val="99"/>
    <w:rPr>
      <w:sz w:val="20"/>
      <w:szCs w:val="20"/>
    </w:rPr>
  </w:style>
  <w:style w:type="character" w:customStyle="1" w:styleId="19">
    <w:name w:val="Endnote Text Char"/>
    <w:link w:val="8"/>
    <w:semiHidden/>
    <w:unhideWhenUsed/>
    <w:qFormat/>
    <w:uiPriority w:val="99"/>
    <w:rPr>
      <w:sz w:val="20"/>
      <w:szCs w:val="20"/>
    </w:rPr>
  </w:style>
  <w:style w:type="paragraph" w:customStyle="1" w:styleId="20">
    <w:name w:val="列出段落1"/>
    <w:basedOn w:val="1"/>
    <w:qFormat/>
    <w:uiPriority w:val="34"/>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6845</Words>
  <Characters>7250</Characters>
  <TotalTime>1</TotalTime>
  <ScaleCrop>false</ScaleCrop>
  <LinksUpToDate>false</LinksUpToDate>
  <CharactersWithSpaces>7319</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2026-06-09T02:54:00Z</dcterms:created>
  <dc:creator>Un-named</dc:creator>
  <cp:lastModifiedBy>zhuzhu</cp:lastModifiedBy>
  <dcterms:modified xsi:type="dcterms:W3CDTF">2026-06-09T03:30:13Z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531E5B8D16E84B969FDC6BF02D85F9DF_13</vt:lpwstr>
  </property>
</Properties>
</file>