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宋体" w:hAnsi="宋体" w:eastAsia="宋体"/>
          <w:b/>
          <w:sz w:val="32"/>
        </w:rPr>
        <w:t>大语言模型在中医药领域评测研究：现状、问题与展望</w:t>
      </w:r>
    </w:p>
    <w:p>
      <w:pPr>
        <w:spacing w:before="40" w:after="40"/>
        <w:ind w:firstLine="0"/>
        <w:jc w:val="both"/>
      </w:pPr>
      <w:r>
        <w:rPr>
          <w:rFonts w:ascii="宋体" w:hAnsi="宋体" w:eastAsia="宋体"/>
          <w:b/>
          <w:sz w:val="24"/>
        </w:rPr>
        <w:t>摘要：</w:t>
      </w:r>
      <w:r>
        <w:rPr>
          <w:rFonts w:ascii="宋体" w:hAnsi="宋体" w:eastAsia="宋体"/>
          <w:b w:val="0"/>
          <w:sz w:val="24"/>
        </w:rPr>
        <w:t>随着大语言模型（Large Language Models, LLMs）在医疗健康领域的广泛应用，其在中医药领域的评测研究已成为人工智能与医学交叉的重要前沿命题。本文系统梳理近年来LLMs中医药评测研究的进展，从评测基准构建、模型性能比较与核心场景评测实践三个维度展开综述，并对现有评测体系的核心局限进行批判性述评。综述发现：评测基准已从标准化考试延伸至辨证思维、处方审核、古汉语理解等细粒度能力评估；通用LLMs与中医专用LLMs在知识回忆和临床推理方面均存在明显短板；现有评测体系以文本封闭假设替代中医多感官诊断范式，导致能力评估虚高、安全评价失位和临床效用偏估等系统性问题。基于上述分析，本文从多模态数据基础设施建设、分层评测标准体系构建、评测方法论创新及真实世界临床验证四个层面，提出中医药LLMs评测研究的未来发展方向，以期推动LLMs在中医药领域从“可用”迈向“可信、可靠”。</w:t>
      </w:r>
    </w:p>
    <w:p>
      <w:pPr>
        <w:spacing w:before="40" w:after="40"/>
        <w:ind w:firstLine="0"/>
        <w:jc w:val="both"/>
      </w:pPr>
      <w:r>
        <w:rPr>
          <w:rFonts w:ascii="宋体" w:hAnsi="宋体" w:eastAsia="宋体"/>
          <w:b/>
          <w:sz w:val="24"/>
        </w:rPr>
        <w:t>关键词：</w:t>
      </w:r>
      <w:r>
        <w:rPr>
          <w:rFonts w:ascii="宋体" w:hAnsi="宋体" w:eastAsia="宋体"/>
          <w:b w:val="0"/>
          <w:sz w:val="24"/>
        </w:rPr>
        <w:t>大语言模型；中医药；评测研究；临床推理；多模态</w:t>
      </w:r>
    </w:p>
    <w:p>
      <w:pPr>
        <w:spacing w:before="120" w:after="60"/>
      </w:pPr>
      <w:r>
        <w:rPr>
          <w:rFonts w:ascii="宋体" w:hAnsi="宋体" w:eastAsia="宋体"/>
          <w:b/>
          <w:sz w:val="28"/>
        </w:rPr>
        <w:t>1. 引言</w:t>
      </w:r>
    </w:p>
    <w:p>
      <w:pPr>
        <w:spacing w:before="20" w:after="20"/>
        <w:ind w:firstLine="425"/>
        <w:jc w:val="both"/>
      </w:pPr>
      <w:r>
        <w:rPr>
          <w:rFonts w:ascii="宋体" w:hAnsi="宋体" w:eastAsia="宋体"/>
          <w:b w:val="0"/>
          <w:sz w:val="24"/>
        </w:rPr>
        <w:t>大语言模型凭借其强大的自然语言理解、生成与推理能力，正在深刻变革医疗健康领域的服务模式[11, 18]。中医药学根植于中国古代哲学思想，其核心的辨证论治过程强调“望闻问切”四诊合参，充满了非线性、整体性和经验性思维，与基于循证医学的现代西医诊断逻辑存在本质差异[11, 18]。评估LLMs是否真正理解中医药知识、能否进行符合中医逻辑的推理，并安全有效地应用于临床辅助或教育场景，是一个亟待解决的科学问题。</w:t>
      </w:r>
    </w:p>
    <w:p>
      <w:pPr>
        <w:spacing w:before="20" w:after="20"/>
        <w:ind w:firstLine="425"/>
        <w:jc w:val="both"/>
      </w:pPr>
      <w:r>
        <w:rPr>
          <w:rFonts w:ascii="宋体" w:hAnsi="宋体" w:eastAsia="宋体"/>
          <w:b w:val="0"/>
          <w:sz w:val="24"/>
        </w:rPr>
        <w:t>围绕此问题，近年来研究沿三条路径展开：一是构建针对中医药特点的评测基准与数据集[8, 9, 14, 17, 21, 24]；二是系统评估和比较各类LLMs在中医药任务上的表现[4, 7, 9, 10, 12, 13, 21, 23]；三是开发面向特定中医应用场景的专用系统，并通过评测验证其有效性[1, 5, 15, 16, 19, 20]。然而，现有综述多集中于LLMs在中医药领域的调优技术与应用场景概述[11]，或聚焦于整合医学的宏观展望[18]，尚缺乏对“评测研究”这一关键环节的系统性梳理。</w:t>
      </w:r>
    </w:p>
    <w:p>
      <w:pPr>
        <w:spacing w:before="20" w:after="20"/>
        <w:ind w:firstLine="425"/>
        <w:jc w:val="both"/>
      </w:pPr>
      <w:r>
        <w:rPr>
          <w:rFonts w:ascii="宋体" w:hAnsi="宋体" w:eastAsia="宋体"/>
          <w:b w:val="0"/>
          <w:sz w:val="24"/>
        </w:rPr>
        <w:t>基于此，本文旨在填补上述空白，对截至2026年的相关研究进行系统性综述。首先梳理各类评测基准的构建进展，继而分析不同类型LLMs的性能评测结果，总结核心应用场景的评测实践；进而深入剖析现有评测体系的方法学局限；最后提出未来研究的重点方向与展望。</w:t>
      </w:r>
    </w:p>
    <w:p>
      <w:pPr>
        <w:spacing w:before="120" w:after="60"/>
      </w:pPr>
      <w:r>
        <w:rPr>
          <w:rFonts w:ascii="宋体" w:hAnsi="宋体" w:eastAsia="宋体"/>
          <w:b/>
          <w:sz w:val="28"/>
        </w:rPr>
        <w:t>2. 中医药领域大语言模型评测研究现状</w:t>
      </w:r>
    </w:p>
    <w:p>
      <w:pPr>
        <w:spacing w:before="80" w:after="40"/>
      </w:pPr>
      <w:r>
        <w:rPr>
          <w:rFonts w:ascii="宋体" w:hAnsi="宋体" w:eastAsia="宋体"/>
          <w:b/>
          <w:sz w:val="26"/>
        </w:rPr>
        <w:t>2.1 评测基准的构建进展</w:t>
      </w:r>
    </w:p>
    <w:p>
      <w:pPr>
        <w:spacing w:before="20" w:after="20"/>
        <w:ind w:firstLine="425"/>
        <w:jc w:val="both"/>
      </w:pPr>
      <w:r>
        <w:rPr>
          <w:rFonts w:ascii="宋体" w:hAnsi="宋体" w:eastAsia="宋体"/>
          <w:b w:val="0"/>
          <w:sz w:val="24"/>
        </w:rPr>
        <w:t>构建高质量、针对性的评测基准是评估LLMs领域能力的基石。中医药领域的评测基准构建呈现出从通用知识考察向深度专业能力评估、从单一模态向多模态、从静态问答向动态推理发展的趋势。</w:t>
      </w:r>
    </w:p>
    <w:p>
      <w:pPr>
        <w:spacing w:before="40" w:after="20"/>
        <w:ind w:firstLine="425"/>
        <w:jc w:val="both"/>
      </w:pPr>
      <w:r>
        <w:rPr>
          <w:rFonts w:ascii="宋体" w:hAnsi="宋体" w:eastAsia="宋体"/>
          <w:b/>
          <w:sz w:val="24"/>
        </w:rPr>
        <w:t>（1）标准化考试与教材知识基准</w:t>
      </w:r>
    </w:p>
    <w:p>
      <w:pPr>
        <w:spacing w:before="20" w:after="20"/>
        <w:ind w:firstLine="425"/>
        <w:jc w:val="both"/>
      </w:pPr>
      <w:r>
        <w:rPr>
          <w:rFonts w:ascii="宋体" w:hAnsi="宋体" w:eastAsia="宋体"/>
          <w:b w:val="0"/>
          <w:sz w:val="24"/>
        </w:rPr>
        <w:t>早期评测多直接利用或改编中医药标准化考试题目，具有权威性和客观性。多项研究采用中医执业医师资格考试、研究生入学考试（CPE-TCM）等题目作为测试集[9, 12, 13, 21]。Jang等人[12]使用韩国国家韩医师执照考试（K-NLEKMD）评估GPT-4，发现其可通过考试，但在高度本土化科目上表现较弱。曹露等人[21]构建了覆盖13个学科、近3万道题的大规模测评基准，发现所有被测模型在选择题上的准确率均未超过60%，揭示了通用模型直接处理中医专业问题的困难。这类基准擅长评估模型对事实性知识的记忆和简单应用，但难以考察中医核心的辨证思维过程。</w:t>
      </w:r>
    </w:p>
    <w:p>
      <w:pPr>
        <w:spacing w:before="40" w:after="20"/>
        <w:ind w:firstLine="425"/>
        <w:jc w:val="both"/>
      </w:pPr>
      <w:r>
        <w:rPr>
          <w:rFonts w:ascii="宋体" w:hAnsi="宋体" w:eastAsia="宋体"/>
          <w:b/>
          <w:sz w:val="24"/>
        </w:rPr>
        <w:t>（2）辨证思维与临床推理专项基准</w:t>
      </w:r>
    </w:p>
    <w:p>
      <w:pPr>
        <w:spacing w:before="20" w:after="20"/>
        <w:ind w:firstLine="425"/>
        <w:jc w:val="both"/>
      </w:pPr>
      <w:r>
        <w:rPr>
          <w:rFonts w:ascii="宋体" w:hAnsi="宋体" w:eastAsia="宋体"/>
          <w:b w:val="0"/>
          <w:sz w:val="24"/>
        </w:rPr>
        <w:t>为深入评估LLMs的中医临床思维能力，研究者构建了更复杂的评测数据集。郝梦[24]创新性地将中医辨证思维过程形式化为“识别抽取—病机推断—证候推断—解释总结”的思维链，构建了包含900例标注病案的数据集和四维量化评估体系。Chen等人[10]将辨证分解为病机推断、证候推断和诊疗建议三个核心任务，构建了相应的评估数据集。这类基准关注模型对症状、体征等临床信息的理解、关联、归纳和演绎能力，更能反映其中医专业素养。DiagX-DT框架[7]的评测也基于此类诊断选择数据集，通过整合辨证思维与排除推理来提升诊断准确性。</w:t>
      </w:r>
    </w:p>
    <w:p>
      <w:pPr>
        <w:spacing w:before="40" w:after="20"/>
        <w:ind w:firstLine="425"/>
        <w:jc w:val="both"/>
      </w:pPr>
      <w:r>
        <w:rPr>
          <w:rFonts w:ascii="宋体" w:hAnsi="宋体" w:eastAsia="宋体"/>
          <w:b/>
          <w:sz w:val="24"/>
        </w:rPr>
        <w:t>（3）安全与特定任务专项基准</w:t>
      </w:r>
    </w:p>
    <w:p>
      <w:pPr>
        <w:spacing w:before="20" w:after="20"/>
        <w:ind w:firstLine="425"/>
        <w:jc w:val="both"/>
      </w:pPr>
      <w:r>
        <w:rPr>
          <w:rFonts w:ascii="宋体" w:hAnsi="宋体" w:eastAsia="宋体"/>
          <w:b w:val="0"/>
          <w:sz w:val="24"/>
        </w:rPr>
        <w:t>随着对模型安全性认识的加深，针对特定风险的专项评测基准应运而生。Zheng等人[8]揭示了医学LLMs评估中存在的“正负能力鸿沟”，即模型擅长选对答案但难以识别错误信息，为此开发了包含标准题、错误选项测试、误导性引导测试和虚构实体测试四种范式的安全评估框架。Wang等人[17]专门针对中药处方审核这一高风险场景，构建了TCMEval-PA基准，涵盖处方规范性和适宜性等安全性维度。TCM-Align框架[14]专注于从教材生成与课程大纲对齐的多项选择题，并设计了包含源一致性准确度在内的六指标评估任务，为教育应用提供高质量数据生成与评测工具。</w:t>
      </w:r>
    </w:p>
    <w:p>
      <w:pPr>
        <w:spacing w:before="40" w:after="20"/>
        <w:ind w:firstLine="425"/>
        <w:jc w:val="both"/>
      </w:pPr>
      <w:r>
        <w:rPr>
          <w:rFonts w:ascii="宋体" w:hAnsi="宋体" w:eastAsia="宋体"/>
          <w:b/>
          <w:sz w:val="24"/>
        </w:rPr>
        <w:t>（4）古汉语理解与多模态探索基准</w:t>
      </w:r>
    </w:p>
    <w:p>
      <w:pPr>
        <w:spacing w:before="20" w:after="20"/>
        <w:ind w:firstLine="425"/>
        <w:jc w:val="both"/>
      </w:pPr>
      <w:r>
        <w:rPr>
          <w:rFonts w:ascii="宋体" w:hAnsi="宋体" w:eastAsia="宋体"/>
          <w:b w:val="0"/>
          <w:sz w:val="24"/>
        </w:rPr>
        <w:t>中医药知识大量蕴藏在以文言文写就的古籍中。赵尚卿等人[22]提出的“负屃”基准系统评估LLMs在古汉语文本理解与生成上的能力，研究发现模型在需要专业知识和文化理解的生成任务上性能显著下降，直接关系到LLMs能否有效挖掘中医古籍宝库。在多模态方向，Yu等人[6]开发了结合舌象与临床数据的多模态模型用于儿童过敏性鼻炎的寒热辨证，提示了评测基准向多模态发展的必然方向。当前大多数LLM评测仍局限于文本模态，这是一个明显的短板[11]。</w:t>
      </w:r>
    </w:p>
    <w:p>
      <w:pPr>
        <w:spacing w:before="80" w:after="40"/>
      </w:pPr>
      <w:r>
        <w:rPr>
          <w:rFonts w:ascii="宋体" w:hAnsi="宋体" w:eastAsia="宋体"/>
          <w:b/>
          <w:sz w:val="26"/>
        </w:rPr>
        <w:t>2.2 不同类型LLMs的性能评测比较</w:t>
      </w:r>
    </w:p>
    <w:p>
      <w:pPr>
        <w:spacing w:before="20" w:after="20"/>
        <w:ind w:firstLine="425"/>
        <w:jc w:val="both"/>
      </w:pPr>
      <w:r>
        <w:rPr>
          <w:rFonts w:ascii="宋体" w:hAnsi="宋体" w:eastAsia="宋体"/>
          <w:b w:val="0"/>
          <w:sz w:val="24"/>
        </w:rPr>
        <w:t>基于上述评测基准，大量研究对通用LLMs、医学LLMs以及中医专用LLMs进行了横向比较，围绕知识回忆、临床推理、安全性、文化适应性四个核心维度揭示了不同模型的能力边界。</w:t>
      </w:r>
    </w:p>
    <w:p>
      <w:pPr>
        <w:spacing w:before="40" w:after="20"/>
        <w:ind w:firstLine="425"/>
        <w:jc w:val="both"/>
      </w:pPr>
      <w:r>
        <w:rPr>
          <w:rFonts w:ascii="宋体" w:hAnsi="宋体" w:eastAsia="宋体"/>
          <w:b/>
          <w:sz w:val="24"/>
        </w:rPr>
        <w:t>（1）知识回忆能力</w:t>
      </w:r>
    </w:p>
    <w:p>
      <w:pPr>
        <w:spacing w:before="20" w:after="20"/>
        <w:ind w:firstLine="425"/>
        <w:jc w:val="both"/>
      </w:pPr>
      <w:r>
        <w:rPr>
          <w:rFonts w:ascii="宋体" w:hAnsi="宋体" w:eastAsia="宋体"/>
          <w:b w:val="0"/>
          <w:sz w:val="24"/>
        </w:rPr>
        <w:t>通用LLMs（如GPT-4、ChatGLM、Baichuan、Qwen系列）在中医药基础知识问答和标准化考试中展现出强大的零样本或少样本学习能力。Li等人[9]发现，大规模LLM在中医单选题和判断题上可取得高准确率（最高分别达90.92%和59.38%），但在更复杂的多选题上表现急剧下降；曹露等人[21]的评测也显示，通用LLMs整体表现甚至略优于部分中文医疗专用模型。在领域微调后，中医专用LLMs通常能在知识回忆任务上超越同规模通用基础模型，如TCMChat[1]、XuanHuGPT[16]、Qibo[20]均在相应基准上取得了优于通用模型的表现。值得注意的是，Li等人[9]还发现轻量级模型Qwen3-1.7B的表现超过了领域专用的TCMChat-7B，提示有效的领域优化策略可能比单纯增大模型规模更重要。</w:t>
      </w:r>
    </w:p>
    <w:p>
      <w:pPr>
        <w:spacing w:before="40" w:after="20"/>
        <w:ind w:firstLine="425"/>
        <w:jc w:val="both"/>
      </w:pPr>
      <w:r>
        <w:rPr>
          <w:rFonts w:ascii="宋体" w:hAnsi="宋体" w:eastAsia="宋体"/>
          <w:b/>
          <w:sz w:val="24"/>
        </w:rPr>
        <w:t>（2）临床推理能力</w:t>
      </w:r>
    </w:p>
    <w:p>
      <w:pPr>
        <w:spacing w:before="20" w:after="20"/>
        <w:ind w:firstLine="425"/>
        <w:jc w:val="both"/>
      </w:pPr>
      <w:r>
        <w:rPr>
          <w:rFonts w:ascii="宋体" w:hAnsi="宋体" w:eastAsia="宋体"/>
          <w:b w:val="0"/>
          <w:sz w:val="24"/>
        </w:rPr>
        <w:t>在需要综合运用知识进行临床推理的任务上，所有模型都面临严峻挑战，症状诊断被普遍认为是最具挑战性的推理类别[9]。Chen等人[10]的评估显示，未经优化的通用和中医专用LLMs在病机推断和证候推断任务上的准确率有限，而通过其提出的“开卷考试”式指令微调方法，模型性能得到了显著提升。DiagX-DT框架[7]通过引入外部知识库进行迭代排除推理，也有效提升了诊断的准确性和鲁棒性。研究表明，单纯的知识灌输不足以让模型掌握中医辨证思维，必须通过特定方法引导模型进行符合中医逻辑的推理[10]。</w:t>
      </w:r>
    </w:p>
    <w:p>
      <w:pPr>
        <w:spacing w:before="40" w:after="20"/>
        <w:ind w:firstLine="425"/>
        <w:jc w:val="both"/>
      </w:pPr>
      <w:r>
        <w:rPr>
          <w:rFonts w:ascii="宋体" w:hAnsi="宋体" w:eastAsia="宋体"/>
          <w:b/>
          <w:sz w:val="24"/>
        </w:rPr>
        <w:t>（3）安全性评估</w:t>
      </w:r>
    </w:p>
    <w:p>
      <w:pPr>
        <w:spacing w:before="20" w:after="20"/>
        <w:ind w:firstLine="425"/>
        <w:jc w:val="both"/>
      </w:pPr>
      <w:r>
        <w:rPr>
          <w:rFonts w:ascii="宋体" w:hAnsi="宋体" w:eastAsia="宋体"/>
          <w:b w:val="0"/>
          <w:sz w:val="24"/>
        </w:rPr>
        <w:t>Zheng等人[8]的测试表明，即便在标准考试中表现良好的模型，在错误信息检测任务中性能也会暴跌至20%~39%，揭示了“会答题”与“能辨伪”之间的巨大鸿沟。Wang等人[17]的处方审核基准直接针对用药安全这一核心临床风险。评估发现，即使在中医考试中表现合格的模型，其生成内容的内部逻辑一致性、与外部知识的一致性及安全性仍需严格审查[13]。因此，未来的评测必须将安全性置于与准确性同等甚至更重要的地位[8]。</w:t>
      </w:r>
    </w:p>
    <w:p>
      <w:pPr>
        <w:spacing w:before="40" w:after="20"/>
        <w:ind w:firstLine="425"/>
        <w:jc w:val="both"/>
      </w:pPr>
      <w:r>
        <w:rPr>
          <w:rFonts w:ascii="宋体" w:hAnsi="宋体" w:eastAsia="宋体"/>
          <w:b/>
          <w:sz w:val="24"/>
        </w:rPr>
        <w:t>（4）文化适应性</w:t>
      </w:r>
    </w:p>
    <w:p>
      <w:pPr>
        <w:spacing w:before="20" w:after="20"/>
        <w:ind w:firstLine="425"/>
        <w:jc w:val="both"/>
      </w:pPr>
      <w:r>
        <w:rPr>
          <w:rFonts w:ascii="宋体" w:hAnsi="宋体" w:eastAsia="宋体"/>
          <w:b w:val="0"/>
          <w:sz w:val="24"/>
        </w:rPr>
        <w:t>Jang等人[12]对GPT-4在韩医考试中的评估，揭示了模型在处理文化适应医学知识时的挑战。Li等人[9]比较了中英文提示的效果，发现中文提示在绝大多数模型中能带来更好的性能，强调了语言和文化背景对模型理解的重要性。这提示，构建真正具有跨文化中医药知识服务能力的LLM，需要包含多语言、多地域的评测数据。</w:t>
      </w:r>
    </w:p>
    <w:p>
      <w:pPr>
        <w:spacing w:before="80" w:after="40"/>
      </w:pPr>
      <w:r>
        <w:rPr>
          <w:rFonts w:ascii="宋体" w:hAnsi="宋体" w:eastAsia="宋体"/>
          <w:b/>
          <w:sz w:val="26"/>
        </w:rPr>
        <w:t>2.3 中医药核心场景下的评测实践</w:t>
      </w:r>
    </w:p>
    <w:p>
      <w:pPr>
        <w:spacing w:before="20" w:after="20"/>
        <w:ind w:firstLine="425"/>
        <w:jc w:val="both"/>
      </w:pPr>
      <w:r>
        <w:rPr>
          <w:rFonts w:ascii="宋体" w:hAnsi="宋体" w:eastAsia="宋体"/>
          <w:b w:val="0"/>
          <w:sz w:val="24"/>
        </w:rPr>
        <w:t>评测研究不仅用于评估模型，也直接指导和验证了LLMs在中医药具体应用场景中的实践。</w:t>
      </w:r>
    </w:p>
    <w:p>
      <w:pPr>
        <w:spacing w:before="40" w:after="20"/>
        <w:ind w:firstLine="425"/>
        <w:jc w:val="both"/>
      </w:pPr>
      <w:r>
        <w:rPr>
          <w:rFonts w:ascii="宋体" w:hAnsi="宋体" w:eastAsia="宋体"/>
          <w:b/>
          <w:sz w:val="24"/>
        </w:rPr>
        <w:t>（1）智能问答与知识咨询</w:t>
      </w:r>
    </w:p>
    <w:p>
      <w:pPr>
        <w:spacing w:before="20" w:after="20"/>
        <w:ind w:firstLine="425"/>
        <w:jc w:val="both"/>
      </w:pPr>
      <w:r>
        <w:rPr>
          <w:rFonts w:ascii="宋体" w:hAnsi="宋体" w:eastAsia="宋体"/>
          <w:b w:val="0"/>
          <w:sz w:val="24"/>
        </w:rPr>
        <w:t>中医专用LLMs如TCMChat[1]、Tianyi[15]、XuanHuGPT[16]等均以提供准确、可靠中医知识问答为核心目标，评测主要关注基于高质量知识库的回答准确性及用户友好性[1, 11]。</w:t>
      </w:r>
    </w:p>
    <w:p>
      <w:pPr>
        <w:spacing w:before="40" w:after="20"/>
        <w:ind w:firstLine="425"/>
        <w:jc w:val="both"/>
      </w:pPr>
      <w:r>
        <w:rPr>
          <w:rFonts w:ascii="宋体" w:hAnsi="宋体" w:eastAsia="宋体"/>
          <w:b/>
          <w:sz w:val="24"/>
        </w:rPr>
        <w:t>（2）辅助辨证与临床诊断</w:t>
      </w:r>
    </w:p>
    <w:p>
      <w:pPr>
        <w:spacing w:before="20" w:after="20"/>
        <w:ind w:firstLine="425"/>
        <w:jc w:val="both"/>
      </w:pPr>
      <w:r>
        <w:rPr>
          <w:rFonts w:ascii="宋体" w:hAnsi="宋体" w:eastAsia="宋体"/>
          <w:b w:val="0"/>
          <w:sz w:val="24"/>
        </w:rPr>
        <w:t>多个研究致力于提升LLMs的辨证能力。Lingdan模型通过思维链进行症状分析和中成药推荐[19]；DiagX-DT框架将辩证思维与排除推理结合用于诊断[7]；AcuGPT-Agent针对针灸治疗不孕症，集成领域LLM、知识图谱和增强检索机制，以提供治疗建议[5]。评测聚焦于诊断准确率、推理逻辑与专家意见的一致性[7, 10, 19]。</w:t>
      </w:r>
    </w:p>
    <w:p>
      <w:pPr>
        <w:spacing w:before="40" w:after="20"/>
        <w:ind w:firstLine="425"/>
        <w:jc w:val="both"/>
      </w:pPr>
      <w:r>
        <w:rPr>
          <w:rFonts w:ascii="宋体" w:hAnsi="宋体" w:eastAsia="宋体"/>
          <w:b/>
          <w:sz w:val="24"/>
        </w:rPr>
        <w:t>（3）处方审核与方剂应用</w:t>
      </w:r>
    </w:p>
    <w:p>
      <w:pPr>
        <w:spacing w:before="20" w:after="20"/>
        <w:ind w:firstLine="425"/>
        <w:jc w:val="both"/>
      </w:pPr>
      <w:r>
        <w:rPr>
          <w:rFonts w:ascii="宋体" w:hAnsi="宋体" w:eastAsia="宋体"/>
          <w:b w:val="0"/>
          <w:sz w:val="24"/>
        </w:rPr>
        <w:t>Wang等人[4]采用加权投票集成多个微调LLM进行方剂分类，提升了分类准确性；Lingdan在草药处方推荐任务上取得了最先进的性能[19]；TCMEval-PA基准专门用于评估模型审核处方安全性的能力[17]。这些应用的评测强调对中药配伍禁忌和证候-方药对应关系等复杂知识的掌握。</w:t>
      </w:r>
    </w:p>
    <w:p>
      <w:pPr>
        <w:spacing w:before="40" w:after="20"/>
        <w:ind w:firstLine="425"/>
        <w:jc w:val="both"/>
      </w:pPr>
      <w:r>
        <w:rPr>
          <w:rFonts w:ascii="宋体" w:hAnsi="宋体" w:eastAsia="宋体"/>
          <w:b/>
          <w:sz w:val="24"/>
        </w:rPr>
        <w:t>（4）教育支持与考试辅助</w:t>
      </w:r>
    </w:p>
    <w:p>
      <w:pPr>
        <w:spacing w:before="20" w:after="20"/>
        <w:ind w:firstLine="425"/>
        <w:jc w:val="both"/>
      </w:pPr>
      <w:r>
        <w:rPr>
          <w:rFonts w:ascii="宋体" w:hAnsi="宋体" w:eastAsia="宋体"/>
          <w:b w:val="0"/>
          <w:sz w:val="24"/>
        </w:rPr>
        <w:t>TCM-Align框架能自动生成与课程大纲对齐的多项选择题[14]。多项研究评估了LLMs在中医研究生、执业医师考试中的表现[9, 12, 13, 21]，不仅关注答题正确率，还分析其解题逻辑和信息使用方式，以评估其作为教育工具的可行性及潜在风险[13]。</w:t>
      </w:r>
    </w:p>
    <w:p>
      <w:pPr>
        <w:spacing w:before="40" w:after="20"/>
        <w:ind w:firstLine="425"/>
        <w:jc w:val="both"/>
      </w:pPr>
      <w:r>
        <w:rPr>
          <w:rFonts w:ascii="宋体" w:hAnsi="宋体" w:eastAsia="宋体"/>
          <w:b/>
          <w:sz w:val="24"/>
        </w:rPr>
        <w:t>（5）科研与知识发现</w:t>
      </w:r>
    </w:p>
    <w:p>
      <w:pPr>
        <w:spacing w:before="20" w:after="20"/>
        <w:ind w:firstLine="425"/>
        <w:jc w:val="both"/>
      </w:pPr>
      <w:r>
        <w:rPr>
          <w:rFonts w:ascii="宋体" w:hAnsi="宋体" w:eastAsia="宋体"/>
          <w:b w:val="0"/>
          <w:sz w:val="24"/>
        </w:rPr>
        <w:t>Zhang等人[2]提出的TEmbed-DDI框架利用LLM嵌入和双向神经网络进行跨领域药物相互作用注释，展示了LLMs在发现潜在药物相互作用方面的能力。Xu等人[3]的字符级卷积循环交互网络（CCRIN）专注于从中医临床文本中联合抽取实体和关系，为构建知识图谱提供支持。</w:t>
      </w:r>
    </w:p>
    <w:p>
      <w:pPr>
        <w:spacing w:before="120" w:after="60"/>
      </w:pPr>
      <w:r>
        <w:rPr>
          <w:rFonts w:ascii="宋体" w:hAnsi="宋体" w:eastAsia="宋体"/>
          <w:b/>
          <w:sz w:val="28"/>
        </w:rPr>
        <w:t>3. 现有评测体系的核心局限与批判性述评</w:t>
      </w:r>
    </w:p>
    <w:p>
      <w:pPr>
        <w:spacing w:before="80" w:after="40"/>
      </w:pPr>
      <w:r>
        <w:rPr>
          <w:rFonts w:ascii="宋体" w:hAnsi="宋体" w:eastAsia="宋体"/>
          <w:b/>
          <w:sz w:val="26"/>
        </w:rPr>
        <w:t>3.1 能力评估虚高：文本封闭假设与中医多感官诊断范式的错位</w:t>
      </w:r>
    </w:p>
    <w:p>
      <w:pPr>
        <w:spacing w:before="20" w:after="20"/>
        <w:ind w:firstLine="425"/>
        <w:jc w:val="both"/>
      </w:pPr>
      <w:r>
        <w:rPr>
          <w:rFonts w:ascii="宋体" w:hAnsi="宋体" w:eastAsia="宋体"/>
          <w:b w:val="0"/>
          <w:sz w:val="24"/>
        </w:rPr>
        <w:t>大语言模型通过执业考试[12]或在选择题上准确率超90%[9]所展现的能力，本质上是在“文本—文本”映射任务中的表现，与真实中医诊疗所要求的跨模态信息综合判断相距甚远。一个能背诵“舌红苔黄腻主湿热”的模型，并不意味着它能在给定真实舌象图像时准确识别该特征，更遑论结合脉象、面色和问诊信息做出综合辨证。Moor等[25]在医学通用人工智能基础模型的综述中明确指出，医学AI的真正临床价值实现，必须依托多模态感知能力的系统性构建。</w:t>
      </w:r>
    </w:p>
    <w:p>
      <w:pPr>
        <w:spacing w:before="20" w:after="20"/>
        <w:ind w:firstLine="425"/>
        <w:jc w:val="both"/>
      </w:pPr>
      <w:r>
        <w:rPr>
          <w:rFonts w:ascii="宋体" w:hAnsi="宋体" w:eastAsia="宋体"/>
          <w:b w:val="0"/>
          <w:sz w:val="24"/>
        </w:rPr>
        <w:t>此外，现有评测基准以标准化考试和静态问答为主，而中医临床辨证本质上是一个动态的、情境依赖的过程。郝梦[24]的研究虽然将辨证过程形式化为思维链，但评测场景仍局限于预设病案，无法模拟真实临床中医患互动的复杂性。这种偏差的本质，是以“文本—文本”映射任务的优异表现，遮蔽了中医临床所要求的多感官、具身性、情境依赖性认知过程的评估缺失。</w:t>
      </w:r>
    </w:p>
    <w:p>
      <w:pPr>
        <w:spacing w:before="80" w:after="40"/>
      </w:pPr>
      <w:r>
        <w:rPr>
          <w:rFonts w:ascii="宋体" w:hAnsi="宋体" w:eastAsia="宋体"/>
          <w:b/>
          <w:sz w:val="26"/>
        </w:rPr>
        <w:t>3.2 安全评价失位：医疗红线维度的系统性缺失</w:t>
      </w:r>
    </w:p>
    <w:p>
      <w:pPr>
        <w:spacing w:before="20" w:after="20"/>
        <w:ind w:firstLine="425"/>
        <w:jc w:val="both"/>
      </w:pPr>
      <w:r>
        <w:rPr>
          <w:rFonts w:ascii="宋体" w:hAnsi="宋体" w:eastAsia="宋体"/>
          <w:b w:val="0"/>
          <w:sz w:val="24"/>
        </w:rPr>
        <w:t>Zheng等[8]揭示的“正负向能力鸿沟”——在标准测试中合格但错误信息检测率极低——仅是文本维度安全漏洞的冰山一角。现有评测仅关注文本准确率，忽视了幻觉问题、错误信息识别及不确定性校准等医疗核心安全问题。在多模态临床场景中，还存在图像质量欺骗（如色彩篡改的舌诊图）、跨模态信息矛盾（舌脉不符时模型如何取舍），以及模态缺失时的过度自信推断等更复杂的安全风险，而这些在现有评测体系中几乎完全缺席。</w:t>
      </w:r>
    </w:p>
    <w:p>
      <w:pPr>
        <w:spacing w:before="20" w:after="20"/>
        <w:ind w:firstLine="425"/>
        <w:jc w:val="both"/>
      </w:pPr>
      <w:r>
        <w:rPr>
          <w:rFonts w:ascii="宋体" w:hAnsi="宋体" w:eastAsia="宋体"/>
          <w:b w:val="0"/>
          <w:sz w:val="24"/>
        </w:rPr>
        <w:t>Singhal等[28]在Med-PaLM研究中强调，医学LLMs的安全评测必须超越准确率，将“是否知道自己不知道”的不确定性校准纳入核心指标。Wang等[17]的处方审核基准虽已在用药安全维度迈出重要一步，但整个评测领域对多模态安全漏洞的系统性研究仍付之阙如。在中医药这一直接关乎健康安全的领域，安全评价失位的风险尤为不可忽视。</w:t>
      </w:r>
    </w:p>
    <w:p>
      <w:pPr>
        <w:spacing w:before="80" w:after="40"/>
      </w:pPr>
      <w:r>
        <w:rPr>
          <w:rFonts w:ascii="宋体" w:hAnsi="宋体" w:eastAsia="宋体"/>
          <w:b/>
          <w:sz w:val="26"/>
        </w:rPr>
        <w:t>3.3 临床效用偏估：离线基准与真实临床场景的脱节</w:t>
      </w:r>
    </w:p>
    <w:p>
      <w:pPr>
        <w:spacing w:before="20" w:after="20"/>
        <w:ind w:firstLine="425"/>
        <w:jc w:val="both"/>
      </w:pPr>
      <w:r>
        <w:rPr>
          <w:rFonts w:ascii="宋体" w:hAnsi="宋体" w:eastAsia="宋体"/>
          <w:b w:val="0"/>
          <w:sz w:val="24"/>
        </w:rPr>
        <w:t>现有评测研究极少涉及LLMs作为辅助工具在真实临床环境中对诊疗质量的实际影响。全部评测均为静态离线测试，脱离了真实临床动态诊疗过程，缺乏以患者结局为终点的闭环验证，导致评测结果无法有效预测模型的真实临床价值。Topol[30]指出，医疗AI与临床实践的鸿沟，不在于技术精度的差距，而在于缺乏以患者结局为终点的验证范式。</w:t>
      </w:r>
    </w:p>
    <w:p>
      <w:pPr>
        <w:spacing w:before="20" w:after="20"/>
        <w:ind w:firstLine="425"/>
        <w:jc w:val="both"/>
      </w:pPr>
      <w:r>
        <w:rPr>
          <w:rFonts w:ascii="宋体" w:hAnsi="宋体" w:eastAsia="宋体"/>
          <w:b w:val="0"/>
          <w:sz w:val="24"/>
        </w:rPr>
        <w:t>中医诊疗本质上是医患共建的动态过程，而非静态的问答任务，这一本质差异使得脱离临床情境的离线基准评测存在系统性偏差。真实临床中，医师需要根据患者反馈动态调整辨证和治疗方案；而现有基准中，模型只需给出一次性回答即告完成。这种评测设计的根本性局限，是当前所有中医药LLM评测研究面临的共同挑战。</w:t>
      </w:r>
    </w:p>
    <w:p>
      <w:pPr>
        <w:spacing w:before="120" w:after="60"/>
      </w:pPr>
      <w:r>
        <w:rPr>
          <w:rFonts w:ascii="宋体" w:hAnsi="宋体" w:eastAsia="宋体"/>
          <w:b/>
          <w:sz w:val="28"/>
        </w:rPr>
        <w:t>4. 中医药大语言模型评测体系的未来发展方向</w:t>
      </w:r>
    </w:p>
    <w:p>
      <w:pPr>
        <w:spacing w:before="80" w:after="40"/>
      </w:pPr>
      <w:r>
        <w:rPr>
          <w:rFonts w:ascii="宋体" w:hAnsi="宋体" w:eastAsia="宋体"/>
          <w:b/>
          <w:sz w:val="26"/>
        </w:rPr>
        <w:t>4.1 加快推进多模态评测数据基础设施建设</w:t>
      </w:r>
    </w:p>
    <w:p>
      <w:pPr>
        <w:spacing w:before="20" w:after="20"/>
        <w:ind w:firstLine="425"/>
        <w:jc w:val="both"/>
      </w:pPr>
      <w:r>
        <w:rPr>
          <w:rFonts w:ascii="宋体" w:hAnsi="宋体" w:eastAsia="宋体"/>
          <w:b w:val="0"/>
          <w:sz w:val="24"/>
        </w:rPr>
        <w:t>多模态评测的前提是高质量多模态标注数据集的存在。建议依托国内中医临床研究网络，参照多中心临床研究的数据治理规范，优先建设覆盖舌象图像、标准化脉象波形、结构化四诊文本及随访结局的多模态中医临床评测语料库。数据采集须满足多中心、多地域、多体质类型的代表性要求，并建立开放共享机制，为后续评测研究提供公共基准平台。王忆勤等[32]系统梳理了中医四诊客观化的仪器与方法积累，这一基础完全具备向评测数据集转化的可行性，亟待政策与资金层面的协同推进。</w:t>
      </w:r>
    </w:p>
    <w:p>
      <w:pPr>
        <w:spacing w:before="80" w:after="40"/>
      </w:pPr>
      <w:r>
        <w:rPr>
          <w:rFonts w:ascii="宋体" w:hAnsi="宋体" w:eastAsia="宋体"/>
          <w:b/>
          <w:sz w:val="26"/>
        </w:rPr>
        <w:t>4.2 构建分层递进的临床多模态能力评测标准体系</w:t>
      </w:r>
    </w:p>
    <w:p>
      <w:pPr>
        <w:spacing w:before="20" w:after="20"/>
        <w:ind w:firstLine="425"/>
        <w:jc w:val="both"/>
      </w:pPr>
      <w:r>
        <w:rPr>
          <w:rFonts w:ascii="宋体" w:hAnsi="宋体" w:eastAsia="宋体"/>
          <w:b w:val="0"/>
          <w:sz w:val="24"/>
        </w:rPr>
        <w:t>建议采用“三层递进”原则推进评测标准体系的建设：第一层为模态基础准入层，以单模态识别精度指标（如舌色分类准确率、脉象参数识别准确率等）作为模型进入临床推理评测的门槛条件；第二层为临床推理核心层，重点考察跨模态融合增益率、模态冲突处置准确率、不确定性校准误差等体现真实临床智能水平的关键指标，并将有害诊疗建议率设为硬性红线；第三层为临床效用验证层，通过前瞻性临床研究评价诊断辅助增效率、医师采纳与理性修改率及纵向治疗结局预测准确度，以患者结局数据为终极验证标准[30]。上述标准的最终形成，需要中医临床专家、AI研究者、医学统计学家和医疗器械监管专家共同参与的跨学科论证。</w:t>
      </w:r>
    </w:p>
    <w:p>
      <w:pPr>
        <w:spacing w:before="80" w:after="40"/>
      </w:pPr>
      <w:r>
        <w:rPr>
          <w:rFonts w:ascii="宋体" w:hAnsi="宋体" w:eastAsia="宋体"/>
          <w:b/>
          <w:sz w:val="26"/>
        </w:rPr>
        <w:t>4.3 发展面向中医认知特质的评测方法论创新</w:t>
      </w:r>
    </w:p>
    <w:p>
      <w:pPr>
        <w:spacing w:before="20" w:after="20"/>
        <w:ind w:firstLine="425"/>
        <w:jc w:val="both"/>
      </w:pPr>
      <w:r>
        <w:rPr>
          <w:rFonts w:ascii="宋体" w:hAnsi="宋体" w:eastAsia="宋体"/>
          <w:b w:val="0"/>
          <w:sz w:val="24"/>
        </w:rPr>
        <w:t>现有评测方法论大量借鉴自通用医学AI领域，对中医特有的认知结构关注不足。未来应重点攻关以下方法论难题：一是辨证整体性的量化表达，中医辨证强调“整体符合度”而非各分项指标的简单叠加，如何设计能够反映辨证结论整体合理性的评估方法是核心挑战；二是“同病异治、异病同治”的个体化评测设计，需构建同种疾病不同体质患者的标准化案例集，考察模型能否给出差异化且有据可依的辨证处方[24]；三是纵向推理能力的评测框架，中医诊疗是随访观察、动态调方的连续过程，亟需开发覆盖多次就诊记录的纵向推理评测范式，以替代现有几乎全部锚定于单次就诊横断面场景的评测设计。</w:t>
      </w:r>
    </w:p>
    <w:p>
      <w:pPr>
        <w:spacing w:before="80" w:after="40"/>
      </w:pPr>
      <w:r>
        <w:rPr>
          <w:rFonts w:ascii="宋体" w:hAnsi="宋体" w:eastAsia="宋体"/>
          <w:b/>
          <w:sz w:val="26"/>
        </w:rPr>
        <w:t>4.4 推动真实世界临床验证与国际标准化协同推进</w:t>
      </w:r>
    </w:p>
    <w:p>
      <w:pPr>
        <w:spacing w:before="20" w:after="20"/>
        <w:ind w:firstLine="425"/>
        <w:jc w:val="both"/>
      </w:pPr>
      <w:r>
        <w:rPr>
          <w:rFonts w:ascii="宋体" w:hAnsi="宋体" w:eastAsia="宋体"/>
          <w:b w:val="0"/>
          <w:sz w:val="24"/>
        </w:rPr>
        <w:t>在国内，建议将LLMs临床多模态评测研究纳入国家中医药科技创新重点部署，依托现有中医临床研究基地开展人机协同的前瞻性试点研究，逐步积累“AI辅助 vs. 人工独立”对照条件下的临床证据链。在国际层面，建议参照WHO传统医学战略框架及国际医疗AI评估规范（如FDA AI/ML行动计划），推动中医药LLM评测标准的国际化表达，使其成为全球传统医学AI治理体系的重要组成部分[18]。</w:t>
      </w:r>
    </w:p>
    <w:p>
      <w:pPr>
        <w:spacing w:before="120" w:after="60"/>
      </w:pPr>
      <w:r>
        <w:rPr>
          <w:rFonts w:ascii="宋体" w:hAnsi="宋体" w:eastAsia="宋体"/>
          <w:b/>
          <w:sz w:val="28"/>
        </w:rPr>
        <w:t>5. 小结</w:t>
      </w:r>
    </w:p>
    <w:p>
      <w:pPr>
        <w:spacing w:before="20" w:after="20"/>
        <w:ind w:firstLine="425"/>
        <w:jc w:val="both"/>
      </w:pPr>
      <w:r>
        <w:rPr>
          <w:rFonts w:ascii="宋体" w:hAnsi="宋体" w:eastAsia="宋体"/>
          <w:b w:val="0"/>
          <w:sz w:val="24"/>
        </w:rPr>
        <w:t>当前LLMs在中医药领域的评测研究已从标准化考试评估向辨证思维、处方安全等深度专业能力评估迈进，但整体评测体系仍以文本单模态为主，存在能力评估虚高、安全评价失位和临床效用偏估等系统性局限。推动LLMs在中医药领域从“可用”迈向“可信、可靠”，根本出路在于构建以临床多模态能力为核心、以患者结局为终点的新一代评测范式。这既是方法学层面的前沿挑战，也是人工智能赋能中医药现代化的制度性基础工程。</w:t>
      </w:r>
    </w:p>
    <w:p>
      <w:pPr>
        <w:spacing w:before="20" w:after="20"/>
        <w:ind w:firstLine="425"/>
        <w:jc w:val="both"/>
      </w:pPr>
      <w:r>
        <w:rPr>
          <w:rFonts w:ascii="宋体" w:hAnsi="宋体" w:eastAsia="宋体"/>
          <w:b w:val="0"/>
          <w:sz w:val="24"/>
        </w:rPr>
        <w:t>利益冲突声明：作者声明无利益冲突。</w:t>
      </w:r>
    </w:p>
    <w:p>
      <w:pPr>
        <w:spacing w:before="120" w:after="60"/>
      </w:pPr>
      <w:r>
        <w:rPr>
          <w:rFonts w:ascii="宋体" w:hAnsi="宋体" w:eastAsia="宋体"/>
          <w:b/>
          <w:sz w:val="28"/>
        </w:rPr>
        <w:t>参考文献</w:t>
      </w:r>
    </w:p>
    <w:p>
      <w:pPr>
        <w:spacing w:before="20" w:after="20"/>
        <w:ind w:hanging="480" w:left="480"/>
        <w:jc w:val="both"/>
      </w:pPr>
      <w:r>
        <w:rPr>
          <w:rFonts w:ascii="宋体" w:hAnsi="宋体" w:eastAsia="宋体"/>
          <w:b w:val="0"/>
          <w:sz w:val="21"/>
        </w:rPr>
        <w:t>[1] DAI Y Z, SHAO X, ZHANG J L, et al. TCMChat: a generative large language model for traditional Chinese medicine[J]. Pharmacological Research, 2024.</w:t>
      </w:r>
    </w:p>
    <w:p>
      <w:pPr>
        <w:spacing w:before="20" w:after="20"/>
        <w:ind w:hanging="480" w:left="480"/>
        <w:jc w:val="both"/>
      </w:pPr>
      <w:r>
        <w:rPr>
          <w:rFonts w:ascii="宋体" w:hAnsi="宋体" w:eastAsia="宋体"/>
          <w:b w:val="0"/>
          <w:sz w:val="21"/>
        </w:rPr>
        <w:t>[2] ZHANG R X, XIE W D, LIN Q Z, et al. When East meets West: cross-domain drug interaction annotations with large language models and bidirectional neural networks[J]. IEEE Journal of Biomedical and Health Informatics, 2025.</w:t>
      </w:r>
    </w:p>
    <w:p>
      <w:pPr>
        <w:spacing w:before="20" w:after="20"/>
        <w:ind w:hanging="480" w:left="480"/>
        <w:jc w:val="both"/>
      </w:pPr>
      <w:r>
        <w:rPr>
          <w:rFonts w:ascii="宋体" w:hAnsi="宋体" w:eastAsia="宋体"/>
          <w:b w:val="0"/>
          <w:sz w:val="21"/>
        </w:rPr>
        <w:t>[3] XU Q, ZHAO Z H, LIU W W, et al. A character-level convolutional recurrent interaction network for joint traditional Chinese medicine clinical named entity recognition and relation extraction[J]. Artificial Intelligence in Medicine, 2026.</w:t>
      </w:r>
    </w:p>
    <w:p>
      <w:pPr>
        <w:spacing w:before="20" w:after="20"/>
        <w:ind w:hanging="480" w:left="480"/>
        <w:jc w:val="both"/>
      </w:pPr>
      <w:r>
        <w:rPr>
          <w:rFonts w:ascii="宋体" w:hAnsi="宋体" w:eastAsia="宋体"/>
          <w:b w:val="0"/>
          <w:sz w:val="21"/>
        </w:rPr>
        <w:t>[4] WANG Z, LI K Q, PENG S Y, et al. A weighted voting approach for traditional Chinese medicine formula classification using large language models: algorithm development and validation study[J]. JMIR Medical Informatics, 2025.</w:t>
      </w:r>
    </w:p>
    <w:p>
      <w:pPr>
        <w:spacing w:before="20" w:after="20"/>
        <w:ind w:hanging="480" w:left="480"/>
        <w:jc w:val="both"/>
      </w:pPr>
      <w:r>
        <w:rPr>
          <w:rFonts w:ascii="宋体" w:hAnsi="宋体" w:eastAsia="宋体"/>
          <w:b w:val="0"/>
          <w:sz w:val="21"/>
        </w:rPr>
        <w:t>[5] WEN J, LIU D D, XIE Y X, et al. AcuGPT-Agent: an LLM-powered intelligent system for acupuncture-based infertility treatment[J]. Neurocomputing, 2025.</w:t>
      </w:r>
    </w:p>
    <w:p>
      <w:pPr>
        <w:spacing w:before="20" w:after="20"/>
        <w:ind w:hanging="480" w:left="480"/>
        <w:jc w:val="both"/>
      </w:pPr>
      <w:r>
        <w:rPr>
          <w:rFonts w:ascii="宋体" w:hAnsi="宋体" w:eastAsia="宋体"/>
          <w:b w:val="0"/>
          <w:sz w:val="21"/>
        </w:rPr>
        <w:t>[6] YU N, HUANG J, LIU J, et al. Development of a cold-heat syndrome classification model for children with allergic rhinitis based on multimodal data[J]. Transl Pediatr, 2025, 14(12): 3375-3386.</w:t>
      </w:r>
    </w:p>
    <w:p>
      <w:pPr>
        <w:spacing w:before="20" w:after="20"/>
        <w:ind w:hanging="480" w:left="480"/>
        <w:jc w:val="both"/>
      </w:pPr>
      <w:r>
        <w:rPr>
          <w:rFonts w:ascii="宋体" w:hAnsi="宋体" w:eastAsia="宋体"/>
          <w:b w:val="0"/>
          <w:sz w:val="21"/>
        </w:rPr>
        <w:t>[7] NIE G X, ZHOU Y L, XU D Y, et al. DiagX-DT: diagnostic exclusion reasoning with dialectical thinking for traditional Chinese medicine in large language models[J]. Journal of King Saud University-Computer and Information Sciences, 2025.</w:t>
      </w:r>
    </w:p>
    <w:p>
      <w:pPr>
        <w:spacing w:before="20" w:after="20"/>
        <w:ind w:hanging="480" w:left="480"/>
        <w:jc w:val="both"/>
      </w:pPr>
      <w:r>
        <w:rPr>
          <w:rFonts w:ascii="宋体" w:hAnsi="宋体" w:eastAsia="宋体"/>
          <w:b w:val="0"/>
          <w:sz w:val="21"/>
        </w:rPr>
        <w:t>[8] ZHENG Y W, YUAN J L, LIU L, et al. Evaluating large language models in traditional Chinese medicine with enhanced misinformation detection[C]// Companion of the 2025 ACM International Joint Conference on Pervasive and Ubiquitous Computing. New York: ACM, 2025.</w:t>
      </w:r>
    </w:p>
    <w:p>
      <w:pPr>
        <w:spacing w:before="20" w:after="20"/>
        <w:ind w:hanging="480" w:left="480"/>
        <w:jc w:val="both"/>
      </w:pPr>
      <w:r>
        <w:rPr>
          <w:rFonts w:ascii="宋体" w:hAnsi="宋体" w:eastAsia="宋体"/>
          <w:b w:val="0"/>
          <w:sz w:val="21"/>
        </w:rPr>
        <w:t>[9] LI Y Z, HUANG S H, QI J X, et al. Evaluating large-scale and lightweight large language models for traditional Chinese medicine exam questions: a comparative study[J]. Journal of Evidence-Based Medicine, 2026.</w:t>
      </w:r>
    </w:p>
    <w:p>
      <w:pPr>
        <w:spacing w:before="20" w:after="20"/>
        <w:ind w:hanging="480" w:left="480"/>
        <w:jc w:val="both"/>
      </w:pPr>
      <w:r>
        <w:rPr>
          <w:rFonts w:ascii="宋体" w:hAnsi="宋体" w:eastAsia="宋体"/>
          <w:b w:val="0"/>
          <w:sz w:val="21"/>
        </w:rPr>
        <w:t>[10] CHEN C L, WANG X Y, GUAN M, et al. Evaluating and improving syndrome differentiation thinking ability in large language models: method development study[J]. JMIR Medical Informatics, 2025.</w:t>
      </w:r>
    </w:p>
    <w:p>
      <w:pPr>
        <w:spacing w:before="20" w:after="20"/>
        <w:ind w:hanging="480" w:left="480"/>
        <w:jc w:val="both"/>
      </w:pPr>
      <w:r>
        <w:rPr>
          <w:rFonts w:ascii="宋体" w:hAnsi="宋体" w:eastAsia="宋体"/>
          <w:b w:val="0"/>
          <w:sz w:val="21"/>
        </w:rPr>
        <w:t>[11] HAN C X, YANG G Y, LI H T, et al. Tuning and clinical application of large language models in traditional Chinese medicine: scoping review[J]. Chinese Medicine, 2026.</w:t>
      </w:r>
    </w:p>
    <w:p>
      <w:pPr>
        <w:spacing w:before="20" w:after="20"/>
        <w:ind w:hanging="480" w:left="480"/>
        <w:jc w:val="both"/>
      </w:pPr>
      <w:r>
        <w:rPr>
          <w:rFonts w:ascii="宋体" w:hAnsi="宋体" w:eastAsia="宋体"/>
          <w:b w:val="0"/>
          <w:sz w:val="21"/>
        </w:rPr>
        <w:t>[12] JANG D Y, YUN T R, LEE C Y, et al. GPT-4 can pass the Korean National Licensing Examination for Korean Medicine Doctors[J]. PLOS Digital Health, 2023.</w:t>
      </w:r>
    </w:p>
    <w:p>
      <w:pPr>
        <w:spacing w:before="20" w:after="20"/>
        <w:ind w:hanging="480" w:left="480"/>
        <w:jc w:val="both"/>
      </w:pPr>
      <w:r>
        <w:rPr>
          <w:rFonts w:ascii="宋体" w:hAnsi="宋体" w:eastAsia="宋体"/>
          <w:b w:val="0"/>
          <w:sz w:val="21"/>
        </w:rPr>
        <w:t>[13] WANG B F, ZHANG M W, WANG Z, et al. Supporting postgraduate exam preparation with large language models: implications for traditional Chinese medicine education[J]. Frontiers in Medicine, 2026.</w:t>
      </w:r>
    </w:p>
    <w:p>
      <w:pPr>
        <w:spacing w:before="20" w:after="20"/>
        <w:ind w:hanging="480" w:left="480"/>
        <w:jc w:val="both"/>
      </w:pPr>
      <w:r>
        <w:rPr>
          <w:rFonts w:ascii="宋体" w:hAnsi="宋体" w:eastAsia="宋体"/>
          <w:b w:val="0"/>
          <w:sz w:val="21"/>
        </w:rPr>
        <w:t>[14] LU H M, LIU L, YUAN J L, et al. TCM-Align: curriculum-aligned MCQ generation for traditional Chinese medicine[C]// Companion of the 2025 ACM International Joint Conference on Pervasive and Ubiquitous Computing. New York: ACM, 2025.</w:t>
      </w:r>
    </w:p>
    <w:p>
      <w:pPr>
        <w:spacing w:before="20" w:after="20"/>
        <w:ind w:hanging="480" w:left="480"/>
        <w:jc w:val="both"/>
      </w:pPr>
      <w:r>
        <w:rPr>
          <w:rFonts w:ascii="宋体" w:hAnsi="宋体" w:eastAsia="宋体"/>
          <w:b w:val="0"/>
          <w:sz w:val="21"/>
        </w:rPr>
        <w:t>[15] LIU Z, YANG T, WANG J, et al. Tianyi: a traditional Chinese medicine all-rounder language model and its real-world clinical practice[J]. Information Fusion, 2026.</w:t>
      </w:r>
    </w:p>
    <w:p>
      <w:pPr>
        <w:spacing w:before="20" w:after="20"/>
        <w:ind w:hanging="480" w:left="480"/>
        <w:jc w:val="both"/>
      </w:pPr>
      <w:r>
        <w:rPr>
          <w:rFonts w:ascii="宋体" w:hAnsi="宋体" w:eastAsia="宋体"/>
          <w:b w:val="0"/>
          <w:sz w:val="21"/>
        </w:rPr>
        <w:t>[16] TONG X M, DING X Z, JIA H R, et al. XuanHuGPT: parameter-efficient fine-tuning of large language model in the field of traditional Chinese medicine[J]. Chinese Medicine, 2025.</w:t>
      </w:r>
    </w:p>
    <w:p>
      <w:pPr>
        <w:spacing w:before="20" w:after="20"/>
        <w:ind w:hanging="480" w:left="480"/>
        <w:jc w:val="both"/>
      </w:pPr>
      <w:r>
        <w:rPr>
          <w:rFonts w:ascii="宋体" w:hAnsi="宋体" w:eastAsia="宋体"/>
          <w:b w:val="0"/>
          <w:sz w:val="21"/>
        </w:rPr>
        <w:t>[17] WANG B F, LU Y W, WANG Z, et al. TCMEval-PA: a question-answering benchmark dataset for the prescription audit of traditional Chinese medicine[J]. Scientific Data, 2025.</w:t>
      </w:r>
    </w:p>
    <w:p>
      <w:pPr>
        <w:spacing w:before="20" w:after="20"/>
        <w:ind w:hanging="480" w:left="480"/>
        <w:jc w:val="both"/>
      </w:pPr>
      <w:r>
        <w:rPr>
          <w:rFonts w:ascii="宋体" w:hAnsi="宋体" w:eastAsia="宋体"/>
          <w:b w:val="0"/>
          <w:sz w:val="21"/>
        </w:rPr>
        <w:t>[18] YIP H F, LI Z M, ZHANG L, et al. Large language models in integrative medicine: progress, challenges, and opportunities[J]. Journal of Evidence-Based Medicine, 2025.</w:t>
      </w:r>
    </w:p>
    <w:p>
      <w:pPr>
        <w:spacing w:before="20" w:after="20"/>
        <w:ind w:hanging="480" w:left="480"/>
        <w:jc w:val="both"/>
      </w:pPr>
      <w:r>
        <w:rPr>
          <w:rFonts w:ascii="宋体" w:hAnsi="宋体" w:eastAsia="宋体"/>
          <w:b w:val="0"/>
          <w:sz w:val="21"/>
        </w:rPr>
        <w:t>[19] HUA R, DONG X, WEI Y, et al. Lingdan: enhancing encoding of traditional Chinese medicine knowledge for clinical reasoning tasks with large language models[J]. Journal of the American Medical Informatics Association, 2024.</w:t>
      </w:r>
    </w:p>
    <w:p>
      <w:pPr>
        <w:spacing w:before="20" w:after="20"/>
        <w:ind w:hanging="480" w:left="480"/>
        <w:jc w:val="both"/>
      </w:pPr>
      <w:r>
        <w:rPr>
          <w:rFonts w:ascii="宋体" w:hAnsi="宋体" w:eastAsia="宋体"/>
          <w:b w:val="0"/>
          <w:sz w:val="21"/>
        </w:rPr>
        <w:t>[20] JIA Y Z, JI X Y, WANG X, et al. Qibo: a large language model for traditional Chinese medicine[J]. Expert Systems with Applications, 2025.</w:t>
      </w:r>
    </w:p>
    <w:p>
      <w:pPr>
        <w:spacing w:before="20" w:after="20"/>
        <w:ind w:hanging="480" w:left="480"/>
        <w:jc w:val="both"/>
      </w:pPr>
      <w:r>
        <w:rPr>
          <w:rFonts w:ascii="宋体" w:hAnsi="宋体" w:eastAsia="宋体"/>
          <w:b w:val="0"/>
          <w:sz w:val="21"/>
        </w:rPr>
        <w:t>[21] 曹露, 许林, 张宇洁, 等. 大语言模型在中医领域的标准化评估[J]. 南京中医药大学学报, 2024.</w:t>
      </w:r>
    </w:p>
    <w:p>
      <w:pPr>
        <w:spacing w:before="20" w:after="20"/>
        <w:ind w:hanging="480" w:left="480"/>
        <w:jc w:val="both"/>
      </w:pPr>
      <w:r>
        <w:rPr>
          <w:rFonts w:ascii="宋体" w:hAnsi="宋体" w:eastAsia="宋体"/>
          <w:b w:val="0"/>
          <w:sz w:val="21"/>
        </w:rPr>
        <w:t>[22] 赵尚卿, 兰曼, 柏晓鹏, 等. 负屃：古汉语文本理解与生成能力评测基准[J]. 中文信息学报, 2026.</w:t>
      </w:r>
    </w:p>
    <w:p>
      <w:pPr>
        <w:spacing w:before="20" w:after="20"/>
        <w:ind w:hanging="480" w:left="480"/>
        <w:jc w:val="both"/>
      </w:pPr>
      <w:r>
        <w:rPr>
          <w:rFonts w:ascii="宋体" w:hAnsi="宋体" w:eastAsia="宋体"/>
          <w:b w:val="0"/>
          <w:sz w:val="21"/>
        </w:rPr>
        <w:t>[23] 张童, 王一凡, 王若佳, 等. 面向中医药领域专业能力的生成式大语言模型对比研究[J]. 中华中医药学刊, 2025.</w:t>
      </w:r>
    </w:p>
    <w:p>
      <w:pPr>
        <w:spacing w:before="20" w:after="20"/>
        <w:ind w:hanging="480" w:left="480"/>
        <w:jc w:val="both"/>
      </w:pPr>
      <w:r>
        <w:rPr>
          <w:rFonts w:ascii="宋体" w:hAnsi="宋体" w:eastAsia="宋体"/>
          <w:b w:val="0"/>
          <w:sz w:val="21"/>
        </w:rPr>
        <w:t>[24] 郝梦. 面向大语言模型的中医辨证思维测评数据集构建研究[D]. 北京: 中国中医科学院, 2025.</w:t>
      </w:r>
    </w:p>
    <w:p>
      <w:pPr>
        <w:spacing w:before="20" w:after="20"/>
        <w:ind w:hanging="480" w:left="480"/>
        <w:jc w:val="both"/>
      </w:pPr>
      <w:r>
        <w:rPr>
          <w:rFonts w:ascii="宋体" w:hAnsi="宋体" w:eastAsia="宋体"/>
          <w:b w:val="0"/>
          <w:sz w:val="21"/>
        </w:rPr>
        <w:t>[25] MOOR M, BANERJEE O, ABAD Z S H, et al. Foundation models for generalist medical artificial intelligence[J]. Nature, 2023, 616(7956): 259-265.</w:t>
      </w:r>
    </w:p>
    <w:p>
      <w:pPr>
        <w:spacing w:before="20" w:after="20"/>
        <w:ind w:hanging="480" w:left="480"/>
        <w:jc w:val="both"/>
      </w:pPr>
      <w:r>
        <w:rPr>
          <w:rFonts w:ascii="宋体" w:hAnsi="宋体" w:eastAsia="宋体"/>
          <w:b w:val="0"/>
          <w:sz w:val="21"/>
        </w:rPr>
        <w:t>[26] LO L C, CHENG T L, CHIANG J Y, et al. Tongue diagnosis: imaging and analysis techniques[J]. Evidence-Based Complementary and Alternative Medicine, 2012, 2012: 196908.</w:t>
      </w:r>
    </w:p>
    <w:p>
      <w:pPr>
        <w:spacing w:before="20" w:after="20"/>
        <w:ind w:hanging="480" w:left="480"/>
        <w:jc w:val="both"/>
      </w:pPr>
      <w:r>
        <w:rPr>
          <w:rFonts w:ascii="宋体" w:hAnsi="宋体" w:eastAsia="宋体"/>
          <w:b w:val="0"/>
          <w:sz w:val="21"/>
        </w:rPr>
        <w:t>[27] CHEN Y, LI J, ZHANG Y, et al. Advances in tongue diagnosis in traditional Chinese medicine: techniques, applications and challenges[J]. Journal of Traditional Chinese Medicine, 2022, 42(3): 321-330.</w:t>
      </w:r>
    </w:p>
    <w:p>
      <w:pPr>
        <w:spacing w:before="20" w:after="20"/>
        <w:ind w:hanging="480" w:left="480"/>
        <w:jc w:val="both"/>
      </w:pPr>
      <w:r>
        <w:rPr>
          <w:rFonts w:ascii="宋体" w:hAnsi="宋体" w:eastAsia="宋体"/>
          <w:b w:val="0"/>
          <w:sz w:val="21"/>
        </w:rPr>
        <w:t>[28] SINGHAL K, AZIZI S, TU T, et al. Large language models encode clinical knowledge[J]. Nature, 2023, 620(7972): 172-180.</w:t>
      </w:r>
    </w:p>
    <w:p>
      <w:pPr>
        <w:spacing w:before="20" w:after="20"/>
        <w:ind w:hanging="480" w:left="480"/>
        <w:jc w:val="both"/>
      </w:pPr>
      <w:r>
        <w:rPr>
          <w:rFonts w:ascii="宋体" w:hAnsi="宋体" w:eastAsia="宋体"/>
          <w:b w:val="0"/>
          <w:sz w:val="21"/>
        </w:rPr>
        <w:t>[29] ACOSTA J N, FALCONE G J, RAJPURKAR P, et al. Multimodal biomedical AI[J]. Nature Medicine, 2022, 28(9): 1773-1784.</w:t>
      </w:r>
    </w:p>
    <w:p>
      <w:pPr>
        <w:spacing w:before="20" w:after="20"/>
        <w:ind w:hanging="480" w:left="480"/>
        <w:jc w:val="both"/>
      </w:pPr>
      <w:r>
        <w:rPr>
          <w:rFonts w:ascii="宋体" w:hAnsi="宋体" w:eastAsia="宋体"/>
          <w:b w:val="0"/>
          <w:sz w:val="21"/>
        </w:rPr>
        <w:t>[30] TOPOL E J. High-performance medicine: the convergence of human and artificial intelligence[J]. Nature Medicine, 2019, 25(1): 44-56.</w:t>
      </w:r>
    </w:p>
    <w:p>
      <w:pPr>
        <w:spacing w:before="20" w:after="20"/>
        <w:ind w:hanging="480" w:left="480"/>
        <w:jc w:val="both"/>
      </w:pPr>
      <w:r>
        <w:rPr>
          <w:rFonts w:ascii="宋体" w:hAnsi="宋体" w:eastAsia="宋体"/>
          <w:b w:val="0"/>
          <w:sz w:val="21"/>
        </w:rPr>
        <w:t>[31] 张新峰, 沈兰荀. 中医舌象分析技术及系统研究综述[J]. 北京生物医学工程, 2006, 25(3): 325-329.</w:t>
      </w:r>
    </w:p>
    <w:p>
      <w:pPr>
        <w:spacing w:before="20" w:after="20"/>
        <w:ind w:hanging="480" w:left="480"/>
        <w:jc w:val="both"/>
      </w:pPr>
      <w:r>
        <w:rPr>
          <w:rFonts w:ascii="宋体" w:hAnsi="宋体" w:eastAsia="宋体"/>
          <w:b w:val="0"/>
          <w:sz w:val="21"/>
        </w:rPr>
        <w:t>[32] 王忆勤, 郭睿. 中医四诊信息采集规范化研究思路与方法[J]. 中医杂志, 2014, 55(8): 635-638.</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