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18B0D">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p>
    <w:sdt>
      <w:sdtPr>
        <w:rPr>
          <w:rFonts w:hint="eastAsia" w:ascii="宋体" w:hAnsi="宋体" w:eastAsia="宋体" w:cs="宋体"/>
          <w:kern w:val="3"/>
          <w:sz w:val="21"/>
          <w:szCs w:val="21"/>
          <w:lang w:val="en-US" w:eastAsia="zh-CN" w:bidi="ar-SA"/>
          <w14:ligatures w14:val="standardContextual"/>
        </w:rPr>
        <w:id w:val="147463664"/>
        <w15:color w:val="DBDBDB"/>
        <w:docPartObj>
          <w:docPartGallery w:val="Table of Contents"/>
          <w:docPartUnique/>
        </w:docPartObj>
      </w:sdtPr>
      <w:sdtEndPr>
        <w:rPr>
          <w:rFonts w:hint="eastAsia" w:ascii="宋体" w:hAnsi="宋体" w:eastAsia="宋体" w:cs="宋体"/>
          <w:kern w:val="3"/>
          <w:sz w:val="21"/>
          <w:szCs w:val="21"/>
          <w:lang w:val="en-US" w:eastAsia="zh-CN" w:bidi="ar-SA"/>
          <w14:ligatures w14:val="standardContextual"/>
        </w:rPr>
      </w:sdtEndPr>
      <w:sdtContent>
        <w:p w14:paraId="375FCFF4">
          <w:pPr>
            <w:pageBreakBefore w:val="0"/>
            <w:kinsoku/>
            <w:wordWrap/>
            <w:overflowPunct/>
            <w:topLinePunct w:val="0"/>
            <w:autoSpaceDE/>
            <w:bidi w:val="0"/>
            <w:adjustRightInd/>
            <w:snapToGrid/>
            <w:spacing w:beforeAutospacing="0" w:afterAutospacing="0" w:line="440" w:lineRule="exact"/>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目录</w:t>
          </w:r>
        </w:p>
        <w:p w14:paraId="5A74AB98">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_Toc30939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（一）</w:t>
          </w:r>
          <w:r>
            <w:rPr>
              <w:rFonts w:hint="eastAsia" w:ascii="宋体" w:hAnsi="宋体" w:eastAsia="宋体" w:cs="宋体"/>
              <w:sz w:val="21"/>
              <w:szCs w:val="21"/>
              <w:highlight w:val="none"/>
              <w:lang w:val="en-US" w:eastAsia="zh-CN"/>
            </w:rPr>
            <w:t>季度</w:t>
          </w:r>
          <w:r>
            <w:rPr>
              <w:rFonts w:hint="eastAsia" w:ascii="宋体" w:hAnsi="宋体" w:eastAsia="宋体" w:cs="宋体"/>
              <w:sz w:val="21"/>
              <w:szCs w:val="21"/>
              <w:highlight w:val="none"/>
            </w:rPr>
            <w:t>研究特征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_Toc30939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DB92691">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_Toc24074 </w:instrText>
          </w:r>
          <w:r>
            <w:rPr>
              <w:rFonts w:hint="eastAsia" w:ascii="宋体" w:hAnsi="宋体" w:eastAsia="宋体" w:cs="宋体"/>
              <w:sz w:val="21"/>
              <w:szCs w:val="21"/>
            </w:rPr>
            <w:fldChar w:fldCharType="separate"/>
          </w:r>
          <w:r>
            <w:rPr>
              <w:rFonts w:hint="eastAsia" w:ascii="宋体" w:hAnsi="宋体" w:eastAsia="宋体" w:cs="宋体"/>
              <w:sz w:val="21"/>
              <w:szCs w:val="21"/>
            </w:rPr>
            <w:t>1. 研究范式系统化转型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_Toc24074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51BCBDE">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_Toc31588 </w:instrText>
          </w:r>
          <w:r>
            <w:rPr>
              <w:rFonts w:hint="eastAsia" w:ascii="宋体" w:hAnsi="宋体" w:eastAsia="宋体" w:cs="宋体"/>
              <w:sz w:val="21"/>
              <w:szCs w:val="21"/>
            </w:rPr>
            <w:fldChar w:fldCharType="separate"/>
          </w:r>
          <w:r>
            <w:rPr>
              <w:rFonts w:hint="eastAsia" w:ascii="宋体" w:hAnsi="宋体" w:eastAsia="宋体" w:cs="宋体"/>
              <w:sz w:val="21"/>
              <w:szCs w:val="21"/>
            </w:rPr>
            <w:t>2. 现代技术深度赋能创新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_Toc31588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82B5DCD">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_Toc9622 </w:instrText>
          </w:r>
          <w:r>
            <w:rPr>
              <w:rFonts w:hint="eastAsia" w:ascii="宋体" w:hAnsi="宋体" w:eastAsia="宋体" w:cs="宋体"/>
              <w:sz w:val="21"/>
              <w:szCs w:val="21"/>
            </w:rPr>
            <w:fldChar w:fldCharType="separate"/>
          </w:r>
          <w:r>
            <w:rPr>
              <w:rFonts w:hint="eastAsia" w:ascii="宋体" w:hAnsi="宋体" w:eastAsia="宋体" w:cs="宋体"/>
              <w:sz w:val="21"/>
              <w:szCs w:val="21"/>
            </w:rPr>
            <w:t>3. 循证与应用导向并重</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_Toc9622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71546A7">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_Toc9583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（二）主要进展亮点</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_Toc9583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74F3D8D">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_Toc23297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lang w:val="en-US" w:eastAsia="zh-CN"/>
            </w:rPr>
            <w:t>1. 基于</w:t>
          </w:r>
          <w:r>
            <w:rPr>
              <w:rFonts w:hint="eastAsia" w:ascii="宋体" w:hAnsi="宋体" w:eastAsia="宋体" w:cs="宋体"/>
              <w:sz w:val="21"/>
              <w:szCs w:val="21"/>
              <w:highlight w:val="none"/>
            </w:rPr>
            <w:t>细胞死亡与微生态网络</w:t>
          </w:r>
          <w:r>
            <w:rPr>
              <w:rFonts w:hint="eastAsia" w:ascii="宋体" w:hAnsi="宋体" w:eastAsia="宋体" w:cs="宋体"/>
              <w:sz w:val="21"/>
              <w:szCs w:val="21"/>
              <w:highlight w:val="none"/>
              <w:lang w:eastAsia="zh-CN"/>
            </w:rPr>
            <w:t>的</w:t>
          </w:r>
          <w:r>
            <w:rPr>
              <w:rFonts w:hint="eastAsia" w:ascii="宋体" w:hAnsi="宋体" w:eastAsia="宋体" w:cs="宋体"/>
              <w:sz w:val="21"/>
              <w:szCs w:val="21"/>
              <w:highlight w:val="none"/>
              <w:lang w:val="en-US" w:eastAsia="zh-CN"/>
            </w:rPr>
            <w:t>理论阐释</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_Toc23297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9E775DB">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_Toc18857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 xml:space="preserve">2. </w:t>
          </w:r>
          <w:r>
            <w:rPr>
              <w:rFonts w:hint="eastAsia" w:ascii="宋体" w:hAnsi="宋体" w:eastAsia="宋体" w:cs="宋体"/>
              <w:sz w:val="21"/>
              <w:szCs w:val="21"/>
              <w:highlight w:val="none"/>
              <w:lang w:val="en-US" w:eastAsia="zh-CN"/>
            </w:rPr>
            <w:t>针灸、中成药等</w:t>
          </w:r>
          <w:r>
            <w:rPr>
              <w:rFonts w:hint="eastAsia" w:ascii="宋体" w:hAnsi="宋体" w:eastAsia="宋体" w:cs="宋体"/>
              <w:sz w:val="21"/>
              <w:szCs w:val="21"/>
              <w:highlight w:val="none"/>
            </w:rPr>
            <w:t>高等级循证成果产出</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_Toc18857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6EB3EF3">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_Toc907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3.</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AI与先进传感技术</w:t>
          </w:r>
          <w:r>
            <w:rPr>
              <w:rFonts w:hint="eastAsia" w:ascii="宋体" w:hAnsi="宋体" w:eastAsia="宋体" w:cs="宋体"/>
              <w:sz w:val="21"/>
              <w:szCs w:val="21"/>
              <w:highlight w:val="none"/>
              <w:lang w:val="en-US" w:eastAsia="zh-CN"/>
            </w:rPr>
            <w:t>融合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_Toc907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6DBF74E">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_Toc26754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4. 智能化递送系统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_Toc26754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D544D91">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_Toc21812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（三）存在的问题与挑战</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_Toc21812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385A4AF">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_Toc526 </w:instrText>
          </w:r>
          <w:r>
            <w:rPr>
              <w:rFonts w:hint="eastAsia" w:ascii="宋体" w:hAnsi="宋体" w:eastAsia="宋体" w:cs="宋体"/>
              <w:sz w:val="21"/>
              <w:szCs w:val="21"/>
            </w:rPr>
            <w:fldChar w:fldCharType="separate"/>
          </w:r>
          <w:r>
            <w:rPr>
              <w:rFonts w:hint="eastAsia" w:ascii="宋体" w:hAnsi="宋体" w:eastAsia="宋体" w:cs="宋体"/>
              <w:sz w:val="21"/>
              <w:szCs w:val="21"/>
            </w:rPr>
            <w:t>1. 复杂系统阐释的深度与整合度仍待突破</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_Toc526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609316B">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_Toc4514 </w:instrText>
          </w:r>
          <w:r>
            <w:rPr>
              <w:rFonts w:hint="eastAsia" w:ascii="宋体" w:hAnsi="宋体" w:eastAsia="宋体" w:cs="宋体"/>
              <w:sz w:val="21"/>
              <w:szCs w:val="21"/>
            </w:rPr>
            <w:fldChar w:fldCharType="separate"/>
          </w:r>
          <w:r>
            <w:rPr>
              <w:rFonts w:hint="eastAsia" w:ascii="宋体" w:hAnsi="宋体" w:eastAsia="宋体" w:cs="宋体"/>
              <w:sz w:val="21"/>
              <w:szCs w:val="21"/>
            </w:rPr>
            <w:t>2. 临床研究方法学严谨性与证据转化效率需提升</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_Toc4514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80009D0">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_Toc5036 </w:instrText>
          </w:r>
          <w:r>
            <w:rPr>
              <w:rFonts w:hint="eastAsia" w:ascii="宋体" w:hAnsi="宋体" w:eastAsia="宋体" w:cs="宋体"/>
              <w:sz w:val="21"/>
              <w:szCs w:val="21"/>
            </w:rPr>
            <w:fldChar w:fldCharType="separate"/>
          </w:r>
          <w:r>
            <w:rPr>
              <w:rFonts w:hint="eastAsia" w:ascii="宋体" w:hAnsi="宋体" w:eastAsia="宋体" w:cs="宋体"/>
              <w:sz w:val="21"/>
              <w:szCs w:val="21"/>
            </w:rPr>
            <w:t>3. 技术应用与中医本体理论的融合尚处浅层</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_Toc5036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ECF6339">
          <w:pPr>
            <w:pStyle w:val="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_Toc25003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二、最新研究动态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_Toc25003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5D8AA10">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_Toc2060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（一）基础研究领域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_Toc2060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673275C">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_Toc32190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1. 复方与活性成分多靶点效应的分子机制解析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_Toc32190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E7B3FD8">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_Toc21589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2. 细胞死亡与炎症机制研究揭示中药干预新靶点</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_Toc21589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A5C8DD7">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_Toc4860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3. 代谢与免疫调控是中药整体调节作用的关键枢纽</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_Toc4860 \h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8735F3A">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_Toc4976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4. 微生物生态研究拓展中药作用机制与资源可持续利用视角</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_Toc4976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65C05F5">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_Toc4553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5. 药物递送与制剂创新推动中药现代化应用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_Toc4553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2434F66">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_Toc14539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lang w:val="en-US" w:eastAsia="zh-CN"/>
            </w:rPr>
            <w:t xml:space="preserve">6. </w:t>
          </w:r>
          <w:r>
            <w:rPr>
              <w:rFonts w:hint="eastAsia" w:ascii="宋体" w:hAnsi="宋体" w:eastAsia="宋体" w:cs="宋体"/>
              <w:sz w:val="21"/>
              <w:szCs w:val="21"/>
              <w:highlight w:val="none"/>
            </w:rPr>
            <w:t>存在的问题与挑战</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_Toc14539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A1EF7C0">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_Toc14866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（二）临床研究领域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_Toc14866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44E1452">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_Toc32268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1. 针灸疗法：从症状管理到多靶点机制阐释</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_Toc32268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F45E5B0">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_Toc6814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2. 中药复方：循证验证与现代化阐释双轮驱动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_Toc6814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628A331">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_Toc2961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3. 中西医结合与专科疾病应用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_Toc2961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4228247">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_Toc9261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lang w:val="en-US" w:eastAsia="zh-CN"/>
            </w:rPr>
            <w:t xml:space="preserve">4. </w:t>
          </w:r>
          <w:r>
            <w:rPr>
              <w:rFonts w:hint="eastAsia" w:ascii="宋体" w:hAnsi="宋体" w:eastAsia="宋体" w:cs="宋体"/>
              <w:sz w:val="21"/>
              <w:szCs w:val="21"/>
              <w:highlight w:val="none"/>
            </w:rPr>
            <w:t>存在的问题与挑战</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_Toc9261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729EF55">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_Toc6573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（三）前沿技术与方法学</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_Toc6573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014984F">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_Toc13863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1. 人工智能与机器学习：驱动诊疗智能化与客观化</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_Toc13863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D3F1E24">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_Toc30971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rPr>
            <w:t>2. 网络药理学与多组学整合：阐释复杂系统的核心范式</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_Toc30971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682FFAB">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_Toc31274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 循证医学与文献分析：构建高级别证据体系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_Toc31274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C2172A8">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_Toc8781 </w:instrText>
          </w:r>
          <w:r>
            <w:rPr>
              <w:rFonts w:hint="eastAsia" w:ascii="宋体" w:hAnsi="宋体" w:eastAsia="宋体" w:cs="宋体"/>
              <w:sz w:val="21"/>
              <w:szCs w:val="21"/>
            </w:rPr>
            <w:fldChar w:fldCharType="separate"/>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 质量评价与先进分析技术：从智能鉴别到机制解析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_Toc8781 \h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6959FC5">
          <w:pPr>
            <w:pStyle w:val="6"/>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_Toc19650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 存在的问题与挑战</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_Toc19650 \h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671F1F5">
          <w:pPr>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ascii="宋体" w:hAnsi="宋体" w:eastAsia="宋体" w:cs="宋体"/>
              <w:sz w:val="21"/>
              <w:szCs w:val="21"/>
            </w:rPr>
          </w:pPr>
          <w:r>
            <w:rPr>
              <w:rFonts w:hint="eastAsia" w:ascii="宋体" w:hAnsi="宋体" w:eastAsia="宋体" w:cs="宋体"/>
              <w:sz w:val="21"/>
              <w:szCs w:val="21"/>
            </w:rPr>
            <w:fldChar w:fldCharType="end"/>
          </w:r>
        </w:p>
      </w:sdtContent>
    </w:sdt>
    <w:p w14:paraId="06098D3F">
      <w:pPr>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pPr>
    </w:p>
    <w:p w14:paraId="4A7E746B">
      <w:pPr>
        <w:rPr>
          <w:rFonts w:hint="eastAsia"/>
        </w:rPr>
      </w:pPr>
      <w:r>
        <w:rPr>
          <w:rFonts w:hint="eastAsia"/>
        </w:rPr>
        <w:br w:type="page"/>
      </w:r>
    </w:p>
    <w:p w14:paraId="04371D18">
      <w:pPr>
        <w:pStyle w:val="5"/>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lang w:eastAsia="zh-CN"/>
        </w:rPr>
      </w:pPr>
      <w:r>
        <w:rPr>
          <w:rFonts w:hint="eastAsia"/>
        </w:rPr>
        <w:t>一、核心内容总览</w:t>
      </w:r>
    </w:p>
    <w:p w14:paraId="1A73133F">
      <w:pPr>
        <w:pStyle w:val="3"/>
        <w:pageBreakBefore w:val="0"/>
        <w:kinsoku/>
        <w:wordWrap/>
        <w:overflowPunct/>
        <w:topLinePunct w:val="0"/>
        <w:autoSpaceDE/>
        <w:bidi w:val="0"/>
        <w:adjustRightInd/>
        <w:snapToGrid/>
        <w:spacing w:before="0" w:beforeAutospacing="0" w:after="0" w:afterAutospacing="0" w:line="440" w:lineRule="exact"/>
        <w:ind w:left="0" w:leftChars="0"/>
        <w:textAlignment w:val="auto"/>
        <w:rPr>
          <w:rFonts w:hint="eastAsia"/>
          <w:highlight w:val="none"/>
        </w:rPr>
      </w:pPr>
      <w:bookmarkStart w:id="0" w:name="_Toc30939"/>
      <w:r>
        <w:rPr>
          <w:rFonts w:hint="eastAsia"/>
          <w:highlight w:val="none"/>
        </w:rPr>
        <w:t>（一）</w:t>
      </w:r>
      <w:r>
        <w:rPr>
          <w:rFonts w:hint="eastAsia"/>
          <w:highlight w:val="none"/>
          <w:lang w:val="en-US" w:eastAsia="zh-CN"/>
        </w:rPr>
        <w:t>季度</w:t>
      </w:r>
      <w:r>
        <w:rPr>
          <w:rFonts w:hint="eastAsia"/>
          <w:highlight w:val="none"/>
        </w:rPr>
        <w:t>研究特征</w:t>
      </w:r>
      <w:bookmarkEnd w:id="0"/>
    </w:p>
    <w:p w14:paraId="5C68FB81">
      <w:pPr>
        <w:pStyle w:val="4"/>
        <w:bidi w:val="0"/>
        <w:rPr>
          <w:rFonts w:hint="eastAsia"/>
        </w:rPr>
      </w:pPr>
      <w:bookmarkStart w:id="1" w:name="_Toc24074"/>
      <w:r>
        <w:rPr>
          <w:rFonts w:hint="eastAsia"/>
        </w:rPr>
        <w:t>1. 研究范式系统化转型</w:t>
      </w:r>
      <w:bookmarkEnd w:id="1"/>
    </w:p>
    <w:p w14:paraId="36D27DCE">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基础与临床研究均超越单一观察，广泛采用网络药理学、多组学整合等系统生物学方法，致力于构建“成分-靶点-通路-疾病”多维网络，从整体层面解析中医药多靶点协同作用的复杂原理，推动机制阐释从“黑箱”走向“可视化”。</w:t>
      </w:r>
    </w:p>
    <w:p w14:paraId="035EA932">
      <w:pPr>
        <w:pStyle w:val="4"/>
        <w:bidi w:val="0"/>
        <w:rPr>
          <w:rFonts w:hint="eastAsia"/>
        </w:rPr>
      </w:pPr>
      <w:bookmarkStart w:id="2" w:name="_Toc31588"/>
      <w:r>
        <w:rPr>
          <w:rFonts w:hint="eastAsia"/>
        </w:rPr>
        <w:t>2. 现代技术深度赋能创新</w:t>
      </w:r>
      <w:bookmarkEnd w:id="2"/>
    </w:p>
    <w:p w14:paraId="3AF924D2">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 xml:space="preserve"> 人工智能、传感器、色谱光谱等前沿技术被引入诊疗全链条，驱动舌诊、脉诊客观化，中药鉴别智能化以及药理机制可视化。技术融合正深刻改变数据获取与分析模式，为研究提供新工具与新维度。</w:t>
      </w:r>
    </w:p>
    <w:p w14:paraId="73521CB2">
      <w:pPr>
        <w:pStyle w:val="4"/>
        <w:bidi w:val="0"/>
        <w:rPr>
          <w:rFonts w:hint="eastAsia"/>
        </w:rPr>
      </w:pPr>
      <w:bookmarkStart w:id="3" w:name="_Toc9622"/>
      <w:r>
        <w:rPr>
          <w:rFonts w:hint="eastAsia"/>
        </w:rPr>
        <w:t>3. 循证与应用导向并重</w:t>
      </w:r>
      <w:bookmarkEnd w:id="3"/>
    </w:p>
    <w:p w14:paraId="0D3C49E2">
      <w:pPr>
        <w:keepNext w:val="0"/>
        <w:keepLines w:val="0"/>
        <w:pageBreakBefore w:val="0"/>
        <w:numPr>
          <w:ilvl w:val="0"/>
          <w:numId w:val="0"/>
        </w:numPr>
        <w:suppressAutoHyphens/>
        <w:kinsoku/>
        <w:wordWrap/>
        <w:overflowPunct/>
        <w:topLinePunct w:val="0"/>
        <w:autoSpaceDE/>
        <w:autoSpaceDN/>
        <w:bidi w:val="0"/>
        <w:adjustRightInd/>
        <w:snapToGrid/>
        <w:spacing w:beforeAutospacing="0" w:afterAutospacing="0" w:line="440" w:lineRule="exact"/>
        <w:ind w:left="0" w:leftChars="0" w:firstLine="560" w:firstLineChars="200"/>
        <w:jc w:val="both"/>
        <w:textAlignment w:val="auto"/>
        <w:rPr>
          <w:rFonts w:hint="eastAsia" w:ascii="Times New Roman" w:hAnsi="Times New Roman" w:eastAsia="仿宋" w:cs="方正公文小标宋"/>
          <w:bCs w:val="0"/>
          <w:kern w:val="2"/>
          <w:sz w:val="28"/>
          <w:szCs w:val="30"/>
          <w:lang w:eastAsia="zh-CN"/>
          <w14:ligatures w14:val="none"/>
        </w:rPr>
      </w:pPr>
      <w:r>
        <w:rPr>
          <w:rFonts w:hint="eastAsia" w:ascii="Times New Roman" w:hAnsi="Times New Roman" w:eastAsia="仿宋" w:cs="方正公文小标宋"/>
          <w:bCs w:val="0"/>
          <w:kern w:val="2"/>
          <w:sz w:val="28"/>
          <w:szCs w:val="30"/>
          <w14:ligatures w14:val="none"/>
        </w:rPr>
        <w:t>临床研究构建了高质量RCT、真实世界研究、系统评价相结合的多层次证据体系，重点验证慢病、肿瘤支持等领域的疗效。同时，研究紧密对接重大临床需求，强调机制探索为疗效提供科学阐释，推动成果向现代整合医学应用转化。</w:t>
      </w:r>
    </w:p>
    <w:p w14:paraId="0A4FB768">
      <w:pPr>
        <w:pStyle w:val="3"/>
        <w:pageBreakBefore w:val="0"/>
        <w:kinsoku/>
        <w:wordWrap/>
        <w:overflowPunct/>
        <w:topLinePunct w:val="0"/>
        <w:autoSpaceDE/>
        <w:bidi w:val="0"/>
        <w:adjustRightInd/>
        <w:snapToGrid/>
        <w:spacing w:before="0" w:beforeAutospacing="0" w:after="0" w:afterAutospacing="0" w:line="440" w:lineRule="exact"/>
        <w:ind w:left="0" w:leftChars="0"/>
        <w:textAlignment w:val="auto"/>
        <w:rPr>
          <w:rFonts w:hint="eastAsia"/>
          <w:highlight w:val="none"/>
        </w:rPr>
      </w:pPr>
      <w:bookmarkStart w:id="4" w:name="_Toc9583"/>
      <w:r>
        <w:rPr>
          <w:rFonts w:hint="eastAsia"/>
          <w:highlight w:val="none"/>
        </w:rPr>
        <w:t>（二）主要进展亮点</w:t>
      </w:r>
      <w:bookmarkEnd w:id="4"/>
    </w:p>
    <w:p w14:paraId="0E91A08A">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default" w:eastAsia="仿宋"/>
          <w:highlight w:val="none"/>
          <w:lang w:val="en-US" w:eastAsia="zh-CN"/>
        </w:rPr>
      </w:pPr>
      <w:bookmarkStart w:id="5" w:name="_Toc23297"/>
      <w:r>
        <w:rPr>
          <w:rFonts w:hint="eastAsia"/>
          <w:highlight w:val="none"/>
          <w:lang w:val="en-US" w:eastAsia="zh-CN"/>
        </w:rPr>
        <w:t>1. 基于</w:t>
      </w:r>
      <w:r>
        <w:rPr>
          <w:rFonts w:hint="eastAsia"/>
          <w:highlight w:val="none"/>
        </w:rPr>
        <w:t>细胞死亡与微生态网络</w:t>
      </w:r>
      <w:r>
        <w:rPr>
          <w:rFonts w:hint="eastAsia"/>
          <w:highlight w:val="none"/>
          <w:lang w:eastAsia="zh-CN"/>
        </w:rPr>
        <w:t>的</w:t>
      </w:r>
      <w:r>
        <w:rPr>
          <w:rFonts w:hint="eastAsia"/>
          <w:highlight w:val="none"/>
          <w:lang w:val="en-US" w:eastAsia="zh-CN"/>
        </w:rPr>
        <w:t>理论阐释</w:t>
      </w:r>
      <w:bookmarkEnd w:id="5"/>
    </w:p>
    <w:p w14:paraId="7A5CBA9F">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多程序性细胞死亡机制：通过金银花抑制铁死亡保护肺损伤（FASEB Journal）、左归丸调节铜死亡改善少弱精子症等研究，为</w:t>
      </w:r>
      <w:r>
        <w:rPr>
          <w:rFonts w:hint="eastAsia"/>
          <w:b/>
          <w:bCs/>
          <w:highlight w:val="none"/>
        </w:rPr>
        <w:t>“清热解毒”“补肾填精”</w:t>
      </w:r>
      <w:r>
        <w:rPr>
          <w:rFonts w:hint="eastAsia"/>
          <w:highlight w:val="none"/>
        </w:rPr>
        <w:t>等传统治则提供了</w:t>
      </w:r>
      <w:r>
        <w:rPr>
          <w:rFonts w:hint="eastAsia"/>
          <w:b/>
          <w:bCs/>
          <w:highlight w:val="none"/>
        </w:rPr>
        <w:t>分子水平的新诠释</w:t>
      </w:r>
      <w:r>
        <w:rPr>
          <w:rFonts w:hint="eastAsia"/>
          <w:highlight w:val="none"/>
        </w:rPr>
        <w:t>。</w:t>
      </w:r>
    </w:p>
    <w:p w14:paraId="3EBACEA8">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 xml:space="preserve">“菌群-代谢-宿主”轴：证实中药通过调节肠道菌群及其代谢产物（如5-HIAA、胞外囊泡）作用于“肠-脑”、“肠-心”轴，揭示了中医药整体调节的生物学基础。 </w:t>
      </w:r>
    </w:p>
    <w:p w14:paraId="0042BC17">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rPr>
      </w:pPr>
      <w:bookmarkStart w:id="6" w:name="_Toc18857"/>
      <w:r>
        <w:rPr>
          <w:rFonts w:hint="eastAsia"/>
          <w:highlight w:val="none"/>
        </w:rPr>
        <w:t xml:space="preserve">2. </w:t>
      </w:r>
      <w:r>
        <w:rPr>
          <w:rFonts w:hint="eastAsia"/>
          <w:highlight w:val="none"/>
          <w:lang w:val="en-US" w:eastAsia="zh-CN"/>
        </w:rPr>
        <w:t>针灸、中成药等</w:t>
      </w:r>
      <w:r>
        <w:rPr>
          <w:rFonts w:hint="eastAsia"/>
          <w:highlight w:val="none"/>
        </w:rPr>
        <w:t>高等级循证成果产出</w:t>
      </w:r>
      <w:bookmarkEnd w:id="6"/>
    </w:p>
    <w:p w14:paraId="32DCF24C">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通心络胶囊干预冠脉斑块（STTT）、电针改善胃癌化疗生活质量（JNCI）以及槐杞黄颗粒治疗儿童ITP等高质量RCT，产出了</w:t>
      </w:r>
      <w:r>
        <w:rPr>
          <w:rFonts w:hint="eastAsia"/>
          <w:b/>
          <w:bCs/>
          <w:highlight w:val="none"/>
        </w:rPr>
        <w:t>具有国际影响力的Ⅰ级临床证据</w:t>
      </w:r>
      <w:r>
        <w:rPr>
          <w:rFonts w:hint="eastAsia"/>
          <w:highlight w:val="none"/>
        </w:rPr>
        <w:t xml:space="preserve">。 </w:t>
      </w:r>
    </w:p>
    <w:p w14:paraId="774A839B">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b/>
          <w:bCs/>
          <w:highlight w:val="none"/>
        </w:rPr>
        <w:t>全国性大样本队列研究证实针灸可降低帕金森患者意外损伤风险</w:t>
      </w:r>
      <w:r>
        <w:rPr>
          <w:rFonts w:hint="eastAsia"/>
          <w:highlight w:val="none"/>
        </w:rPr>
        <w:t>，夯实了针灸在</w:t>
      </w:r>
      <w:r>
        <w:rPr>
          <w:rFonts w:hint="eastAsia"/>
          <w:b/>
          <w:bCs/>
          <w:highlight w:val="none"/>
        </w:rPr>
        <w:t>非对称性症状</w:t>
      </w:r>
      <w:r>
        <w:rPr>
          <w:rFonts w:hint="eastAsia"/>
          <w:highlight w:val="none"/>
        </w:rPr>
        <w:t>管理中的地位。</w:t>
      </w:r>
    </w:p>
    <w:p w14:paraId="7DB2A0BA">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eastAsia="仿宋"/>
          <w:highlight w:val="none"/>
          <w:lang w:val="en-US" w:eastAsia="zh-CN"/>
        </w:rPr>
      </w:pPr>
      <w:bookmarkStart w:id="7" w:name="_Toc907"/>
      <w:r>
        <w:rPr>
          <w:rFonts w:hint="eastAsia"/>
          <w:highlight w:val="none"/>
        </w:rPr>
        <w:t>3.</w:t>
      </w:r>
      <w:r>
        <w:rPr>
          <w:rFonts w:hint="eastAsia"/>
          <w:highlight w:val="none"/>
          <w:lang w:val="en-US" w:eastAsia="zh-CN"/>
        </w:rPr>
        <w:t xml:space="preserve"> </w:t>
      </w:r>
      <w:r>
        <w:rPr>
          <w:rFonts w:hint="eastAsia"/>
          <w:highlight w:val="none"/>
        </w:rPr>
        <w:t>AI与先进传感技术</w:t>
      </w:r>
      <w:r>
        <w:rPr>
          <w:rFonts w:hint="eastAsia"/>
          <w:highlight w:val="none"/>
          <w:lang w:val="en-US" w:eastAsia="zh-CN"/>
        </w:rPr>
        <w:t>融合</w:t>
      </w:r>
      <w:bookmarkEnd w:id="7"/>
    </w:p>
    <w:p w14:paraId="339CEECA">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研发</w:t>
      </w:r>
      <w:r>
        <w:rPr>
          <w:rFonts w:hint="eastAsia"/>
          <w:b/>
          <w:bCs/>
          <w:highlight w:val="none"/>
        </w:rPr>
        <w:t>EMFNet</w:t>
      </w:r>
      <w:r>
        <w:rPr>
          <w:rFonts w:hint="eastAsia"/>
          <w:highlight w:val="none"/>
        </w:rPr>
        <w:t>边缘引导网络实现</w:t>
      </w:r>
      <w:r>
        <w:rPr>
          <w:rFonts w:hint="eastAsia"/>
          <w:b/>
          <w:bCs/>
          <w:highlight w:val="none"/>
        </w:rPr>
        <w:t>舌体自动分割</w:t>
      </w:r>
      <w:r>
        <w:rPr>
          <w:rFonts w:hint="eastAsia"/>
          <w:highlight w:val="none"/>
        </w:rPr>
        <w:t>，利用AI模型支持</w:t>
      </w:r>
      <w:r>
        <w:rPr>
          <w:rFonts w:hint="eastAsia"/>
          <w:b/>
          <w:bCs/>
          <w:highlight w:val="none"/>
        </w:rPr>
        <w:t>肝纤维化居家监测</w:t>
      </w:r>
      <w:r>
        <w:rPr>
          <w:rFonts w:hint="eastAsia"/>
          <w:highlight w:val="none"/>
        </w:rPr>
        <w:t>，并融合</w:t>
      </w:r>
      <w:r>
        <w:rPr>
          <w:rFonts w:hint="eastAsia"/>
          <w:b/>
          <w:bCs/>
          <w:highlight w:val="none"/>
        </w:rPr>
        <w:t>fNIRS与眼动技术</w:t>
      </w:r>
      <w:r>
        <w:rPr>
          <w:rFonts w:hint="eastAsia"/>
          <w:highlight w:val="none"/>
        </w:rPr>
        <w:t>探索大模型在针灸决策中的</w:t>
      </w:r>
      <w:r>
        <w:rPr>
          <w:rFonts w:hint="eastAsia"/>
          <w:b/>
          <w:bCs/>
          <w:highlight w:val="none"/>
        </w:rPr>
        <w:t>脑认知补偿</w:t>
      </w:r>
      <w:r>
        <w:rPr>
          <w:rFonts w:hint="eastAsia"/>
          <w:highlight w:val="none"/>
        </w:rPr>
        <w:t>机制。</w:t>
      </w:r>
    </w:p>
    <w:p w14:paraId="4512062D">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磁响应纳米网传感器实现了</w:t>
      </w:r>
      <w:r>
        <w:rPr>
          <w:rFonts w:hint="eastAsia"/>
          <w:b/>
          <w:bCs/>
          <w:highlight w:val="none"/>
        </w:rPr>
        <w:t>针刺力学信号与细胞递质的同步量化</w:t>
      </w:r>
      <w:r>
        <w:rPr>
          <w:rFonts w:hint="eastAsia"/>
          <w:highlight w:val="none"/>
        </w:rPr>
        <w:t xml:space="preserve">；利用机器学习（SHAP）与近红外光谱技术，实现了药材产地的精准溯源与成分现场快速检测。 </w:t>
      </w:r>
    </w:p>
    <w:p w14:paraId="01E69636">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rPr>
      </w:pPr>
      <w:bookmarkStart w:id="8" w:name="_Toc26754"/>
      <w:r>
        <w:rPr>
          <w:rFonts w:hint="eastAsia"/>
          <w:highlight w:val="none"/>
        </w:rPr>
        <w:t>4. 智能化递送系统</w:t>
      </w:r>
      <w:bookmarkEnd w:id="8"/>
    </w:p>
    <w:p w14:paraId="7DF4443C">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开发适配体介导的脂质体、负载脱水淫羊藿素的</w:t>
      </w:r>
      <w:r>
        <w:rPr>
          <w:rFonts w:hint="eastAsia"/>
          <w:b/>
          <w:bCs/>
          <w:highlight w:val="none"/>
        </w:rPr>
        <w:t>外泌体</w:t>
      </w:r>
      <w:r>
        <w:rPr>
          <w:rFonts w:hint="eastAsia"/>
          <w:highlight w:val="none"/>
        </w:rPr>
        <w:t>等新型载体，解决了中药成分水溶性差、靶向性不足的瓶颈，推动中药向</w:t>
      </w:r>
      <w:r>
        <w:rPr>
          <w:rFonts w:hint="eastAsia"/>
          <w:b/>
          <w:bCs/>
          <w:highlight w:val="none"/>
        </w:rPr>
        <w:t>病理机制导向的智能递送</w:t>
      </w:r>
      <w:r>
        <w:rPr>
          <w:rFonts w:hint="eastAsia"/>
          <w:highlight w:val="none"/>
        </w:rPr>
        <w:t xml:space="preserve">发展。 </w:t>
      </w:r>
    </w:p>
    <w:p w14:paraId="3DE4FF9A">
      <w:pPr>
        <w:pStyle w:val="3"/>
        <w:pageBreakBefore w:val="0"/>
        <w:kinsoku/>
        <w:wordWrap/>
        <w:overflowPunct/>
        <w:topLinePunct w:val="0"/>
        <w:autoSpaceDE/>
        <w:bidi w:val="0"/>
        <w:adjustRightInd/>
        <w:snapToGrid/>
        <w:spacing w:before="0" w:beforeAutospacing="0" w:after="0" w:afterAutospacing="0" w:line="440" w:lineRule="exact"/>
        <w:ind w:left="0" w:leftChars="0"/>
        <w:textAlignment w:val="auto"/>
        <w:rPr>
          <w:rFonts w:hint="eastAsia"/>
          <w:highlight w:val="none"/>
        </w:rPr>
      </w:pPr>
      <w:bookmarkStart w:id="9" w:name="_Toc21812"/>
      <w:r>
        <w:rPr>
          <w:rFonts w:hint="eastAsia"/>
          <w:highlight w:val="none"/>
        </w:rPr>
        <w:t>（三）存在的问题与挑战</w:t>
      </w:r>
      <w:bookmarkEnd w:id="9"/>
    </w:p>
    <w:p w14:paraId="1DFFB597">
      <w:pPr>
        <w:pStyle w:val="4"/>
        <w:bidi w:val="0"/>
        <w:rPr>
          <w:rFonts w:hint="eastAsia"/>
        </w:rPr>
      </w:pPr>
      <w:bookmarkStart w:id="10" w:name="_Toc526"/>
      <w:r>
        <w:rPr>
          <w:rFonts w:hint="eastAsia"/>
        </w:rPr>
        <w:t>1. 复杂系统阐释的深度与整合度仍待突破</w:t>
      </w:r>
      <w:bookmarkEnd w:id="10"/>
    </w:p>
    <w:p w14:paraId="3F1346A9">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当前研究虽构建了多维网络，但多为关联性描述，对网络动态调控、关键节点因果关系的深入验证不足。如何整合不同层次数据，形成可预测、可干预的系统理论模型，是面临的核心科学挑战。</w:t>
      </w:r>
    </w:p>
    <w:p w14:paraId="0F6D4EB2">
      <w:pPr>
        <w:pStyle w:val="4"/>
        <w:bidi w:val="0"/>
        <w:rPr>
          <w:rFonts w:hint="eastAsia"/>
        </w:rPr>
      </w:pPr>
      <w:bookmarkStart w:id="11" w:name="_Toc4514"/>
      <w:r>
        <w:rPr>
          <w:rFonts w:hint="eastAsia"/>
        </w:rPr>
        <w:t>2. 临床研究方法学严谨性与证据转化效率需提升</w:t>
      </w:r>
      <w:bookmarkEnd w:id="11"/>
    </w:p>
    <w:p w14:paraId="15553B52">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尽管高质量研究增多，但试验设计、执行与报告规范性参差不齐，降低了证据的可靠性。同时，如何</w:t>
      </w:r>
      <w:bookmarkStart w:id="32" w:name="_GoBack"/>
      <w:bookmarkEnd w:id="32"/>
      <w:r>
        <w:rPr>
          <w:rFonts w:hint="eastAsia"/>
          <w:highlight w:val="none"/>
        </w:rPr>
        <w:t>将机制研究成果高效转化为临床实践指南或新产品，仍存在转化路径不畅的瓶颈。</w:t>
      </w:r>
    </w:p>
    <w:p w14:paraId="53DAE087">
      <w:pPr>
        <w:pStyle w:val="4"/>
        <w:bidi w:val="0"/>
        <w:rPr>
          <w:rFonts w:hint="eastAsia"/>
        </w:rPr>
      </w:pPr>
      <w:bookmarkStart w:id="12" w:name="_Toc5036"/>
      <w:r>
        <w:rPr>
          <w:rFonts w:hint="eastAsia"/>
        </w:rPr>
        <w:t>3. 技术应用与中医本体理论的融合尚处浅层</w:t>
      </w:r>
      <w:bookmarkEnd w:id="12"/>
    </w:p>
    <w:p w14:paraId="1AA177A2">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 xml:space="preserve"> AI、传感器等技术多用于单一体征的客观化，如何将其获取的多维度信息与中医“证候”的整体动态辨识理论深度结合，实现真正意义上的智能辨证，仍需理论与算法的双重创新。</w:t>
      </w:r>
    </w:p>
    <w:p w14:paraId="66F1B03E">
      <w:pPr>
        <w:pStyle w:val="2"/>
        <w:pageBreakBefore w:val="0"/>
        <w:kinsoku/>
        <w:wordWrap/>
        <w:overflowPunct/>
        <w:topLinePunct w:val="0"/>
        <w:autoSpaceDE/>
        <w:bidi w:val="0"/>
        <w:adjustRightInd/>
        <w:snapToGrid/>
        <w:spacing w:before="0" w:beforeAutospacing="0" w:after="0" w:afterAutospacing="0" w:line="440" w:lineRule="exact"/>
        <w:ind w:left="0" w:leftChars="0"/>
        <w:textAlignment w:val="auto"/>
        <w:rPr>
          <w:rFonts w:hint="eastAsia" w:eastAsia="仿宋"/>
          <w:highlight w:val="none"/>
          <w:lang w:eastAsia="zh-CN"/>
        </w:rPr>
      </w:pPr>
      <w:bookmarkStart w:id="13" w:name="_Toc25003"/>
      <w:r>
        <w:rPr>
          <w:rFonts w:hint="eastAsia"/>
          <w:highlight w:val="none"/>
        </w:rPr>
        <w:t>二、最新研究动态</w:t>
      </w:r>
      <w:bookmarkEnd w:id="13"/>
    </w:p>
    <w:p w14:paraId="7371EC17">
      <w:pPr>
        <w:pStyle w:val="3"/>
        <w:pageBreakBefore w:val="0"/>
        <w:kinsoku/>
        <w:wordWrap/>
        <w:overflowPunct/>
        <w:topLinePunct w:val="0"/>
        <w:autoSpaceDE/>
        <w:bidi w:val="0"/>
        <w:adjustRightInd/>
        <w:snapToGrid/>
        <w:spacing w:before="0" w:beforeAutospacing="0" w:after="0" w:afterAutospacing="0" w:line="440" w:lineRule="exact"/>
        <w:ind w:left="0" w:leftChars="0"/>
        <w:textAlignment w:val="auto"/>
        <w:rPr>
          <w:rFonts w:hint="eastAsia"/>
          <w:highlight w:val="none"/>
          <w:lang w:eastAsia="zh-CN"/>
        </w:rPr>
      </w:pPr>
      <w:bookmarkStart w:id="14" w:name="_Toc2060"/>
      <w:r>
        <w:rPr>
          <w:rFonts w:hint="eastAsia"/>
          <w:highlight w:val="none"/>
        </w:rPr>
        <w:t>（一）基础研究领域</w:t>
      </w:r>
      <w:bookmarkEnd w:id="14"/>
    </w:p>
    <w:p w14:paraId="6A1C78DC">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中医药基础研究聚焦于细胞死亡与炎症机制、代谢与免疫调控、微生物与宿主互作、药物递送与制剂创新，以及药用植物资源与针灸神经调控等方向，紧密对接代谢性疾病、心脑血管疾病、肿瘤及自身免疫性疾病等重大临床需求。研究表明：铁死亡、铜死亡等多程序性细胞死亡机制在多病种中被系统阐释，为“清热解毒”“补肾填精”等治则提供了分子层面的新诠释；“菌群-代谢物-宿主”互作网络持续揭示中药整体调节的生物学基础；纳米递送与外泌体技术推动中药活性成分的靶向应用进入新阶段。上述研究均以体内外实验为核心依据，共同构成从</w:t>
      </w:r>
      <w:r>
        <w:rPr>
          <w:rFonts w:hint="eastAsia"/>
          <w:b/>
          <w:bCs/>
          <w:highlight w:val="none"/>
        </w:rPr>
        <w:t>“资源-物质-机制-应用”</w:t>
      </w:r>
      <w:r>
        <w:rPr>
          <w:rFonts w:hint="eastAsia"/>
          <w:highlight w:val="none"/>
        </w:rPr>
        <w:t>的完整基础研究链条。</w:t>
      </w:r>
    </w:p>
    <w:p w14:paraId="260281C7">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15" w:name="_Toc32190"/>
      <w:r>
        <w:rPr>
          <w:rFonts w:hint="eastAsia"/>
          <w:highlight w:val="none"/>
        </w:rPr>
        <w:t>1. 复方与活性成分多靶点效应的分子机制解析</w:t>
      </w:r>
      <w:bookmarkEnd w:id="15"/>
    </w:p>
    <w:p w14:paraId="6A3757C6">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多项动物与细胞模型研究系统阐释了中药复方与活性成分的多靶点协同机制。丹蒌片通过靶向CRIP1蛋白干预冠心病的分子途径得到电化学传感器证实；乌梅丸通过调控黏着斑-YAP信号轴抑制结直肠癌进展；淫羊藿苷通过激活Nrf2依赖的抗氧化与线粒体通路改善糖尿病心肌病。桃红四物汤减轻手足皮肤反应的机制被阐明与RAGE介导的角质细胞凋亡和自噬相关；人参首乌方通过调节色氨酸代谢激活SIRT1信号改善阿尔茨海默病。此外，何首乌特异质肝损伤与TNF-α的协同机制经脂质组学与转录组学联合分析得到揭示。上述研究为方药的精准临床定位和新药研发提供了重要实验依据。</w:t>
      </w:r>
    </w:p>
    <w:p w14:paraId="46BBCB32">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16" w:name="_Toc21589"/>
      <w:r>
        <w:rPr>
          <w:rFonts w:hint="eastAsia"/>
          <w:highlight w:val="none"/>
        </w:rPr>
        <w:t>2. 细胞死亡与炎症机制研究揭示中药干预新靶点</w:t>
      </w:r>
      <w:bookmarkEnd w:id="16"/>
    </w:p>
    <w:p w14:paraId="0841820F">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针对细胞死亡与炎症机制的研究是当前最活跃的方向之一，研究已深入至铁死亡、细胞焦亡、铜死亡、细胞衰老等多种程序性细胞死亡模式及其与炎症网络的交互作用。研究发现，中药可通过精准调控这些过程的关键节点发挥治疗作用。例如，金银花通过抑制铁死亡减轻急性肺损伤；荆防颗粒基于Keap1-Nrf2-GPX4通路抗肺纤维化；左归丸通过调节铜死亡改善少弱精子症；人参平肺方则通过调控TGF-β/SMAD通路影响巨噬细胞极化以抗肺纤维化。在机制研究层面，学者们广泛采用分子生物学技术与动物模型，揭示复方多通过调控关键信号通路发挥作用，如醒明助散通过激活NRF2/GPX4/SLC7A11轴抑制神经元铁死亡以改善脑卒中，从现代药理学角度印证了“活血化瘀”“扶正固本”等治则的科学内涵。这些研究多整合转录组学与通路富集分析，从分子层面阐释了中药“清热解毒”“补肾活血”“益气养阴”等治法的现代科学内涵，并为开发靶向特定细胞死亡途径的创新中药提供了重要的理论依据和潜在靶点。</w:t>
      </w:r>
    </w:p>
    <w:p w14:paraId="1A668FC0">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组学技术的广泛应用与深度融合，为系统揭示中药的药效物质基础及其分子机制提供了强大工具。研究通过整合转录组学、代谢组学、蛋白质组学及网络药理学，实现了从基因表达、代谢物变化到功能调控的多维度解析。例如，整合Q-Marker与转录组学阐明了金银花的物质基础与抗肺损伤机制；空间代谢组学与蛋白质组学联用揭示了八宝丹通过肝甘油磷脂代谢与PPARγ/RXRA/GPAT3改善代谢相关脂肪性肝病；网络药理学与多组学联用解析了丹瓜方调控GLUD1介导的α-KG/Glu转化以干预2型糖尿病氨基酸代谢紊乱的机制。这些技术不仅验证了中药“辨证论治”的科学性，如小炎利胆方激活LXRβ调控胆囊功能，也为天舒胶囊、乌梅丸等复方治疗偏头痛、结直肠癌提供了潜在的作用靶点与通路证据，极大地推动了中药研究的精准化与现代化进程。</w:t>
      </w:r>
    </w:p>
    <w:p w14:paraId="2637E776">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17" w:name="_Toc4860"/>
      <w:r>
        <w:rPr>
          <w:rFonts w:hint="eastAsia"/>
          <w:highlight w:val="none"/>
        </w:rPr>
        <w:t>3. 代谢与免疫调控是中药整体调节作用的关键枢纽</w:t>
      </w:r>
      <w:bookmarkEnd w:id="17"/>
    </w:p>
    <w:p w14:paraId="52AF5C42">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代谢与免疫调控研究深刻揭示了中药“整体调节”的科学内涵。研究发现，中药可通过干预脂质代谢、氨基酸代谢、铁死亡等关键代谢通路，并调节肠道菌群及其代谢产物（如吲哚类物质），进而影响宿主免疫与信号转导。例如，中药可调控PRMT1-SREBF1轴影响脂质代谢，通过色氨酸代谢改善阿尔茨海默病，或通过调节GPX4/ACSL4等通路抑制铁死亡。肠道菌群-代谢物-宿主轴（如AhR、cAMP/PKA/CREB信号）在中药治疗肠易激综合征、溃疡性结肠炎等疾病中被证实发挥核心作用。</w:t>
      </w:r>
    </w:p>
    <w:p w14:paraId="0F4830EC">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此外，代谢重编程也被发现是中药调控CD8+ T细胞免疫记忆及治疗抑郁合并动脉粥样硬化等共病的关键环节。这些研究凸显了中药通过多靶点、多通路协同调控代谢-免疫网络，在治疗肿瘤、神经退行性疾病、生殖系统疾病及心血管疾病中的独特价值。</w:t>
      </w:r>
    </w:p>
    <w:p w14:paraId="4F7BB763">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18" w:name="_Toc4976"/>
      <w:r>
        <w:rPr>
          <w:rFonts w:hint="eastAsia"/>
          <w:highlight w:val="none"/>
        </w:rPr>
        <w:t>4. 微生物生态研究拓展中药作用机制与资源可持续利用视角</w:t>
      </w:r>
      <w:bookmarkEnd w:id="18"/>
    </w:p>
    <w:p w14:paraId="122E6BAC">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微生物与生态研究从肠道微生态和土壤微生态两个维度拓展了对中药作用机制及资源生产的认识。在肠道微生态方面，研究证实中药可通过调节菌群结构及代谢产物，作用于“肠-脑轴”、“肠-心轴”等，改善疾病。</w:t>
      </w:r>
    </w:p>
    <w:p w14:paraId="589DB516">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例如，龙胆苦苷衍生物通过AMPK通路并增加神经保护性代谢物改善阿尔茨海默病；大麦叶通过毛螺菌科来源的胞外囊泡改善肠干细胞功能，介导心肌梗死后的心脏保护；锁阳多糖、党参等通过调节菌群代谢物激活AhR通路发挥免疫调节作用。在土壤微生态方面，研究关注药用植物连作障碍，如低剂量十一酮重塑黄芪根际菌群以抑制根腐病，短期连作导致山药根际菌群失衡。这些发现不仅为“脾胃为后天之本”等中医理论提供了现代科学阐释，也为解决中药材可持续生产问题提供了新思路。</w:t>
      </w:r>
    </w:p>
    <w:p w14:paraId="5AB27E4B">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19" w:name="_Toc4553"/>
      <w:r>
        <w:rPr>
          <w:rFonts w:hint="eastAsia"/>
          <w:highlight w:val="none"/>
        </w:rPr>
        <w:t>5. 药物递送与制剂创新推动中药现代化应用</w:t>
      </w:r>
      <w:bookmarkEnd w:id="19"/>
    </w:p>
    <w:p w14:paraId="5AF648B4">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highlight w:val="none"/>
        </w:rPr>
      </w:pPr>
      <w:r>
        <w:rPr>
          <w:rFonts w:hint="eastAsia"/>
          <w:highlight w:val="none"/>
        </w:rPr>
        <w:t>药物递送与制剂研究致力于运用纳米技术等现代剂型策略，解决中药活性成分水溶性差、生物利用度低及靶向性不足的瓶颈。研究聚焦于开发脂质体、外泌体、植物源囊泡等新型纳米载体，实现精准递送与增效减毒。</w:t>
      </w:r>
    </w:p>
    <w:p w14:paraId="7E734A35">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例如，适配体介导的双载脂质体纳米系统递送斑蝥素，通过mTOR/HIF-1α/VEGF通路协同治疗肝癌；将脱水淫羊藿素负载于间充质干细胞外泌体中，通过ACSL4介导的铁死亡改善银屑病。这些策略通过调控Wnt、JAK/STAT等信号通路，在骨关节炎、肺癌、心肌纤维化等疾病模型中展现出协同治疗潜力。此外，天然小分子自组装水凝胶等创新剂型也受到关注。这些进展标志着中药制剂正朝着基于病理机制的智能化递送系统方向发展。</w:t>
      </w:r>
    </w:p>
    <w:p w14:paraId="3CE3899B">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cs="Times New Roman"/>
          <w:highlight w:val="none"/>
          <w:lang w:eastAsia="zh-CN"/>
        </w:rPr>
      </w:pPr>
      <w:bookmarkStart w:id="20" w:name="_Toc14539"/>
      <w:r>
        <w:rPr>
          <w:rFonts w:hint="eastAsia" w:cs="Times New Roman"/>
          <w:highlight w:val="none"/>
          <w:lang w:val="en-US" w:eastAsia="zh-CN"/>
        </w:rPr>
        <w:t xml:space="preserve">6. </w:t>
      </w:r>
      <w:r>
        <w:rPr>
          <w:rFonts w:hint="eastAsia" w:cs="Times New Roman"/>
          <w:highlight w:val="none"/>
        </w:rPr>
        <w:t>存在的问题与挑战</w:t>
      </w:r>
      <w:bookmarkEnd w:id="20"/>
    </w:p>
    <w:p w14:paraId="46702E3E">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尽管中医药基础研究取得了显著进展，但仍面临若干挑战。首先，系统生物学方法产生的海量数据与中医药整体性理论之间的深度融合尚不充分，如何从复杂网络中提炼出具有中医特色（如证候相关）的核心调控规律仍需探索。其次，多数机制研究仍局限于细胞和动物模型，其结论向临床转化的有效性和可靠性有待大规模、高质量的临床研究验证。第三，中药多成分、多靶点的特点使得药代动力学研究异常复杂，体内过程、成分间相互作用及真正起效的物质形式仍不甚明确。第四，微生物组等新兴领域的研究虽热，但因果关系的确认、具体作用菌株和代谢产物的鉴定仍面临技术瓶颈。最后，药用植物资源研究如何将基因组、代谢组等基础发现高效转化为稳定的栽培品质调控技术，仍需产学研更紧密的结合。</w:t>
      </w:r>
    </w:p>
    <w:p w14:paraId="46A241C3">
      <w:pPr>
        <w:pStyle w:val="3"/>
        <w:pageBreakBefore w:val="0"/>
        <w:kinsoku/>
        <w:wordWrap/>
        <w:overflowPunct/>
        <w:topLinePunct w:val="0"/>
        <w:autoSpaceDE/>
        <w:bidi w:val="0"/>
        <w:adjustRightInd/>
        <w:snapToGrid/>
        <w:spacing w:before="0" w:beforeAutospacing="0" w:after="0" w:afterAutospacing="0" w:line="440" w:lineRule="exact"/>
        <w:ind w:left="0" w:leftChars="0"/>
        <w:textAlignment w:val="auto"/>
        <w:rPr>
          <w:rFonts w:hint="eastAsia"/>
          <w:highlight w:val="none"/>
          <w:lang w:eastAsia="zh-CN"/>
        </w:rPr>
      </w:pPr>
      <w:bookmarkStart w:id="21" w:name="_Toc14866"/>
      <w:r>
        <w:rPr>
          <w:rFonts w:hint="eastAsia"/>
          <w:highlight w:val="none"/>
        </w:rPr>
        <w:t>（二）临床研究领域</w:t>
      </w:r>
      <w:bookmarkEnd w:id="21"/>
    </w:p>
    <w:p w14:paraId="1AD9F2A4">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中医药临床研究本季度聚焦于疗效验证与安全性评估，研究范畴涵盖肿瘤支持治疗、心脑血管疾病、生殖内分泌、骨关节疾病及慢性炎症性疾病等多个专科领域。高质量随机对照试验（RCT）、真实世界研究（RWS）共同产出了一批高级别临床证据，中西医结合在提升疗效、减少不良反应方面的优势得到进一步验证。本节聚焦于临床疗效与安全性本身；涉及研究设计方法学、系统评价及机制阐释的内容，详见方法学章节。</w:t>
      </w:r>
    </w:p>
    <w:p w14:paraId="60107460">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22" w:name="_Toc32268"/>
      <w:r>
        <w:rPr>
          <w:rFonts w:hint="eastAsia"/>
          <w:highlight w:val="none"/>
        </w:rPr>
        <w:t>1. 针灸疗法：从症状管理到多靶点机制阐释</w:t>
      </w:r>
      <w:bookmarkEnd w:id="22"/>
    </w:p>
    <w:p w14:paraId="421170FF">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针灸研究已超越单纯镇痛，广泛渗透至肿瘤支持、生殖内分泌及免疫调节等多个临床专科。其核心进展体现在两方面：一是临床循证价值不断夯实，研究证实针灸能有效改善胃癌患者化疗期间的生活质量，管理癌因性疲乏与疼痛，并在类风湿关节炎的抗炎镇痛中发挥明确作用，成为综合治疗的重要组成部分。二是作用机制研究日益深入，研究揭示针灸可通过调节胆汁酸代谢、肠道菌群等多靶点途径干预多囊卵巢综合征，体现了“整体调节”特色。电针等现代技术结合代谢组学等方法是当前主流。然而，气胸等罕见并发症的个案报告也提示临床操作规范性与安全性教育的重要性。全球疾病负担研究进一步印证了其在肌肉骨骼、神经系统疾病中的巨大应用潜力。</w:t>
      </w:r>
    </w:p>
    <w:p w14:paraId="5CD0AB66">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23" w:name="_Toc6814"/>
      <w:r>
        <w:rPr>
          <w:rFonts w:hint="eastAsia"/>
          <w:highlight w:val="none"/>
        </w:rPr>
        <w:t>2. 中药复方：循证验证与现代化阐释双轮驱动</w:t>
      </w:r>
      <w:bookmarkEnd w:id="23"/>
    </w:p>
    <w:p w14:paraId="09401180">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中药与复方研究紧密围绕重大慢病，致力于通过现代科技阐释传统方剂的物质基础与作用机制。在临床证据层面，高质量RCT为多种复方的疗效提供了支撑，如槐杞黄颗粒治疗儿童免疫性血小板减少症、通心络胶囊干预冠状动脉粥样硬化斑块。系统评价也为苍附导痰汤治疗多囊卵巢综合征不孕等提供了高级别证据。此外，“药食同源”理念与特殊医学用途配方食品的结合，拓展了中药在慢病管理中的应用场景。</w:t>
      </w:r>
    </w:p>
    <w:p w14:paraId="7B48AC40">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24" w:name="_Toc2961"/>
      <w:r>
        <w:rPr>
          <w:rFonts w:hint="eastAsia"/>
          <w:highlight w:val="none"/>
        </w:rPr>
        <w:t>3. 中西医结合与专科疾病应用</w:t>
      </w:r>
      <w:bookmarkEnd w:id="24"/>
    </w:p>
    <w:p w14:paraId="5F1A1D2E">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中西医结合研究致力于构建基于证据的协同诊疗模式，在多个专科领域展现出整合优势。在心血管领域，中西医结合治疗冠心病介入术后患者显示出减少主要不良心血管事件的潜力。在肿瘤领域，针灸等中医手段被纳入整合肿瘤学方案，有效改善癌痛与患者生活质量。此外，在自身免疫性疾病如类风湿关节炎研究中，中西医结合不仅关注临床疗效，也从遗传关联与分子机制层面进行深入探索。</w:t>
      </w:r>
    </w:p>
    <w:p w14:paraId="618DD646">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cs="Times New Roman"/>
          <w:highlight w:val="none"/>
          <w:lang w:eastAsia="zh-CN"/>
        </w:rPr>
      </w:pPr>
      <w:bookmarkStart w:id="25" w:name="_Toc9261"/>
      <w:r>
        <w:rPr>
          <w:rFonts w:hint="eastAsia" w:cs="Times New Roman"/>
          <w:highlight w:val="none"/>
          <w:lang w:val="en-US" w:eastAsia="zh-CN"/>
        </w:rPr>
        <w:t xml:space="preserve">4. </w:t>
      </w:r>
      <w:r>
        <w:rPr>
          <w:rFonts w:hint="eastAsia" w:cs="Times New Roman"/>
          <w:highlight w:val="none"/>
        </w:rPr>
        <w:t>存在的问题与挑战</w:t>
      </w:r>
      <w:bookmarkEnd w:id="25"/>
    </w:p>
    <w:p w14:paraId="44442F3B">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尽管中医药临床研究取得显著进展，但仍面临若干挑战。首先，研究方法学仍需进一步规范与提升，部分临床研究在设计、实施和报告方面存在偏倚风险，需要更多设计严谨、大样本、多中心的高质量RCT。其次，作用机制研究虽日益深入，但如何将复杂的多靶点、多通路发现与中医传统理论（如辨证论治、方证对应）更有机地结合，形成能够指导临床实践的创新理论，仍需探索。</w:t>
      </w:r>
      <w:r>
        <w:rPr>
          <w:rFonts w:hint="eastAsia"/>
          <w:highlight w:val="none"/>
          <w:lang w:val="en-US" w:eastAsia="zh-CN"/>
        </w:rPr>
        <w:t>而</w:t>
      </w:r>
      <w:r>
        <w:rPr>
          <w:rFonts w:hint="eastAsia"/>
          <w:highlight w:val="none"/>
        </w:rPr>
        <w:t>安全性监测体系有待加强，特别是对针灸罕见不良事件及中药潜在药物相互作用的风险，需要更系统的上市后监测与真实世界数据评估。</w:t>
      </w:r>
      <w:r>
        <w:rPr>
          <w:rFonts w:hint="eastAsia"/>
          <w:highlight w:val="none"/>
          <w:lang w:val="en-US" w:eastAsia="zh-CN"/>
        </w:rPr>
        <w:t>此外</w:t>
      </w:r>
      <w:r>
        <w:rPr>
          <w:rFonts w:hint="eastAsia"/>
          <w:highlight w:val="none"/>
        </w:rPr>
        <w:t>，中医药国际化进程仍需克服文化、标准与法规差异，推动更多高水平国际合作研究，并产出被国际广泛认可的临床实践指南。</w:t>
      </w:r>
    </w:p>
    <w:p w14:paraId="0958524A">
      <w:pPr>
        <w:pStyle w:val="3"/>
        <w:pageBreakBefore w:val="0"/>
        <w:kinsoku/>
        <w:wordWrap/>
        <w:overflowPunct/>
        <w:topLinePunct w:val="0"/>
        <w:autoSpaceDE/>
        <w:bidi w:val="0"/>
        <w:adjustRightInd/>
        <w:snapToGrid/>
        <w:spacing w:before="0" w:beforeAutospacing="0" w:after="0" w:afterAutospacing="0" w:line="440" w:lineRule="exact"/>
        <w:ind w:left="0" w:leftChars="0"/>
        <w:textAlignment w:val="auto"/>
        <w:rPr>
          <w:rFonts w:hint="eastAsia" w:ascii="宋体" w:hAnsi="宋体" w:cs="宋体"/>
          <w:highlight w:val="none"/>
          <w:lang w:eastAsia="zh-CN"/>
        </w:rPr>
      </w:pPr>
      <w:bookmarkStart w:id="26" w:name="_Toc6573"/>
      <w:r>
        <w:rPr>
          <w:rFonts w:hint="eastAsia" w:ascii="宋体" w:hAnsi="宋体" w:cs="宋体"/>
          <w:highlight w:val="none"/>
        </w:rPr>
        <w:t>（三）前沿技术与方法学</w:t>
      </w:r>
      <w:bookmarkEnd w:id="26"/>
    </w:p>
    <w:p w14:paraId="07F70864">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中医药方法学研究领域正经历从经验传承向数据驱动、从单一技术向多学科融合的深刻转型。本章节统一收录贯穿基础研究与临床研究的核心方法工具，涵盖网络药理学与多组学整合</w:t>
      </w:r>
      <w:r>
        <w:rPr>
          <w:rFonts w:hint="eastAsia"/>
          <w:highlight w:val="none"/>
          <w:lang w:eastAsia="zh-CN"/>
        </w:rPr>
        <w:t>、</w:t>
      </w:r>
      <w:r>
        <w:rPr>
          <w:rFonts w:hint="eastAsia"/>
          <w:highlight w:val="none"/>
        </w:rPr>
        <w:t>人工智能与机器学习</w:t>
      </w:r>
      <w:r>
        <w:rPr>
          <w:rFonts w:hint="eastAsia"/>
          <w:highlight w:val="none"/>
          <w:lang w:eastAsia="zh-CN"/>
        </w:rPr>
        <w:t>、</w:t>
      </w:r>
      <w:r>
        <w:rPr>
          <w:rFonts w:hint="eastAsia"/>
          <w:highlight w:val="none"/>
        </w:rPr>
        <w:t>质量评价与分析技术</w:t>
      </w:r>
      <w:r>
        <w:rPr>
          <w:rFonts w:hint="eastAsia"/>
          <w:highlight w:val="none"/>
          <w:lang w:eastAsia="zh-CN"/>
        </w:rPr>
        <w:t>、</w:t>
      </w:r>
      <w:r>
        <w:rPr>
          <w:rFonts w:hint="eastAsia"/>
          <w:highlight w:val="none"/>
        </w:rPr>
        <w:t>循证医学与系统评价</w:t>
      </w:r>
      <w:r>
        <w:rPr>
          <w:rFonts w:hint="eastAsia"/>
          <w:highlight w:val="none"/>
          <w:lang w:val="en-US" w:eastAsia="zh-CN"/>
        </w:rPr>
        <w:t>与</w:t>
      </w:r>
      <w:r>
        <w:rPr>
          <w:rFonts w:hint="eastAsia"/>
          <w:highlight w:val="none"/>
        </w:rPr>
        <w:t>先进传感器与化学分析</w:t>
      </w:r>
      <w:r>
        <w:rPr>
          <w:rFonts w:hint="eastAsia"/>
          <w:highlight w:val="none"/>
          <w:lang w:val="en-US" w:eastAsia="zh-CN"/>
        </w:rPr>
        <w:t>等几个方面</w:t>
      </w:r>
      <w:r>
        <w:rPr>
          <w:rFonts w:hint="eastAsia"/>
          <w:highlight w:val="none"/>
        </w:rPr>
        <w:t>。本节涉及的研究对象（具体方剂或疾病）仅作为方法论应用案例，相关生物学发现已在基础研究章节详述，临床疗效结论已在临床研究章节呈现。</w:t>
      </w:r>
    </w:p>
    <w:p w14:paraId="3ADFC2A1">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27" w:name="_Toc13863"/>
      <w:r>
        <w:rPr>
          <w:rFonts w:hint="eastAsia"/>
          <w:highlight w:val="none"/>
        </w:rPr>
        <w:t>1. 人工智能与机器学习：驱动诊疗智能化与客观化</w:t>
      </w:r>
      <w:bookmarkEnd w:id="27"/>
    </w:p>
    <w:p w14:paraId="1D234D64">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人工智能与机器学习技术正深度渗透至中医药诊疗的全链条，其核心价值在于提升诊断的客观性、治疗的精准性以及药物鉴别的智能化水平。在诊断环节，研究聚焦于舌诊、脉诊、目诊的现代化。例如，通过边缘引导多尺度融合网络（EMFNet）实现舌体的精准分割，开发AI舌象模型用于肝纤维化的居家监测，以及利用数据驱动方法探索腕部脉搏信号与冠心病、心力衰竭的关联，这些工作旨在将传统望诊、切诊经验转化为可量化的数字指标。在治疗评估与决策支持方面，机器学习用于预测患者治疗依从性，并融合功能性近红外光谱（fNIRS）与眼动追踪技术，探索大型语言模型在针灸临床决策中的脑认知补偿机制。在中药领域，该技术通过生成对抗网络（GAN）增强近红外光谱数据，以提升药食同源药材的分类模型性能，并借助可解释机器学习（如SHAP）实现金银花的地理溯源。这些进展共同表明，AI正通过特征提取、预测建模与模式识别，推动中医药向智能化、个性化方向发展。</w:t>
      </w:r>
    </w:p>
    <w:p w14:paraId="638B7DAE">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28" w:name="_Toc30971"/>
      <w:r>
        <w:rPr>
          <w:rFonts w:hint="eastAsia"/>
          <w:highlight w:val="none"/>
        </w:rPr>
        <w:t>2. 网络药理学与多组学整合：阐释复杂系统的核心范式</w:t>
      </w:r>
      <w:bookmarkEnd w:id="28"/>
    </w:p>
    <w:p w14:paraId="683B79BA">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网络药理学与代谢组学、转录组学、肠道微生物组等多组学技术的整合，已成为系统阐释中药复方及疗法作用机制的核心方法论。该范式摒弃了“单靶点”思维，从“网络调节”视角揭示中医药的整体治疗原理。研究普遍采用“成分-靶点-通路-疾病”多维整合分析策略。例如，阐明了乌梅丸通过调控黏着斑-YAP信号轴抑制结直肠癌，丹瓜方通过GLUD1介导的α-酮戊二酸/谷氨酸转化调节氨基酸代谢以抗2型糖尿病，以及增液汤通过调节肠道菌群改善慢传输型便秘。代谢组学在其中扮演关键角色，能系统揭示药物干预下的内源性代谢物动态变化，如八宝丹通过调控肝内甘油磷脂代谢及PPARγ/RXRA/GPAT3通路改善代谢相关脂肪性肝病。该策略同样用于阐明不良反应机制，如何首乌特异质肝损伤与TNF-α的协同作用。这些研究不仅验证了丹蒌片、艾灸等疗法疗效的科学内涵，也为中药新药研发与精准应用提供了关键依据。</w:t>
      </w:r>
    </w:p>
    <w:p w14:paraId="50E80A6A">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29" w:name="_Toc31274"/>
      <w:r>
        <w:rPr>
          <w:rFonts w:hint="eastAsia"/>
          <w:highlight w:val="none"/>
          <w:lang w:val="en-US" w:eastAsia="zh-CN"/>
        </w:rPr>
        <w:t>3</w:t>
      </w:r>
      <w:r>
        <w:rPr>
          <w:rFonts w:hint="eastAsia"/>
          <w:highlight w:val="none"/>
        </w:rPr>
        <w:t>. 循证医学与文献分析：构建高级别证据体系</w:t>
      </w:r>
      <w:bookmarkEnd w:id="29"/>
    </w:p>
    <w:p w14:paraId="15616FB3">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循证医学与文献分析方法在中医药领域的应用日益深化，致力于通过高级别临床证据推动中医药疗法的标准化与国际化。研究广泛采用系统评价、网状Meta分析、文献计量学等严谨方法。主要进展体现在：一是系统评估临床疗效与安全性，如网络Meta分析比较了多种中成药降低冠心病介入术后主要不良心血管事件的风险谱系，系统评价为中药灌肠治疗溃疡性结肠炎提供了证据；二是审慎评估潜在风险，如探讨妊娠期使用草药对子代结局的影响；三是探索方法学本身，如通过范围综述梳理研究现状，分析炮制对中药多糖性质的影响机制。这些工作标志着中医药研究正步入以证据为核心的新阶段，其意义在于促进中西医结合在支气管扩张症等复杂疾病中的整合策略，并推动疗法向精准化与个体化应用发展。</w:t>
      </w:r>
    </w:p>
    <w:p w14:paraId="2E839B44">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eastAsia"/>
          <w:highlight w:val="none"/>
          <w:lang w:eastAsia="zh-CN"/>
        </w:rPr>
      </w:pPr>
      <w:bookmarkStart w:id="30" w:name="_Toc8781"/>
      <w:r>
        <w:rPr>
          <w:rFonts w:hint="eastAsia"/>
          <w:highlight w:val="none"/>
          <w:lang w:val="en-US" w:eastAsia="zh-CN"/>
        </w:rPr>
        <w:t>4</w:t>
      </w:r>
      <w:r>
        <w:rPr>
          <w:rFonts w:hint="eastAsia"/>
          <w:highlight w:val="none"/>
        </w:rPr>
        <w:t>. 质量评价与先进分析技术：从智能鉴别到机制解析</w:t>
      </w:r>
      <w:bookmarkEnd w:id="30"/>
    </w:p>
    <w:p w14:paraId="07EFB677">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中药质量评价与分析技术研究加速融合，形成从现场快速鉴别、精准成分解析到安全指标监控的完整技术链条，并延伸至中药作用靶点的微观机制阐明。
在质量鉴别与产地溯源方面，近红外光谱（NIR）与机器学习深度结合，实现黄芩、霍山石斛等药材活性成分的一步式定量与产地鉴别；可解释机器学习（SHAP）建立金银花地理溯源精准判别模型；融合电子鼻、电子眼等多源数据实现菊花产地智能鉴别；ITS序列SCAR标记实现青蒿快速真伪鉴别；高效凝胶渗透色谱与傅里叶变换红外联用评价甘草多糖质量。上述进展推动中药鉴定从“指纹图谱”迈向“智能感知”。
在成分解析与安全检测方面，天然低共熔溶剂（NADES）实现绿色提取，二维液相色谱-高分辨质谱联用系统增强复杂成分解析能力。电化学传感器聚焦高灵敏特异性检测：磁响应纳米网传感器同步实现针刺力学信号检测与细胞5-羟色胺精确量化，修饰电极超灵敏检测黄酮类成分；异质结构界面设计与优化光谱指数实现低含量重金属精准分析；Au@Pt纳米酶免疫分析增强真菌毒素检测；便携式核酸传感器支持药用植物现场快速鉴别。这些分析技术还助力阐明了丹蒌片靶点CRIP1蛋白、β-榄香烯抗肺癌途径等分子机制，体现了分析技术在质控与机制研究中的双重价值。</w:t>
      </w:r>
    </w:p>
    <w:p w14:paraId="5F049DED">
      <w:pPr>
        <w:pStyle w:val="4"/>
        <w:pageBreakBefore w:val="0"/>
        <w:kinsoku/>
        <w:wordWrap/>
        <w:overflowPunct/>
        <w:topLinePunct w:val="0"/>
        <w:autoSpaceDE/>
        <w:bidi w:val="0"/>
        <w:adjustRightInd/>
        <w:snapToGrid/>
        <w:spacing w:before="0" w:beforeLines="0" w:beforeAutospacing="0" w:after="0" w:afterLines="0" w:afterAutospacing="0" w:line="440" w:lineRule="exact"/>
        <w:ind w:left="0" w:leftChars="0"/>
        <w:textAlignment w:val="auto"/>
        <w:rPr>
          <w:rFonts w:hint="default"/>
          <w:lang w:val="en-US" w:eastAsia="zh-CN"/>
        </w:rPr>
      </w:pPr>
      <w:bookmarkStart w:id="31" w:name="_Toc19650"/>
      <w:r>
        <w:rPr>
          <w:rFonts w:hint="eastAsia"/>
          <w:lang w:val="en-US" w:eastAsia="zh-CN"/>
        </w:rPr>
        <w:t>5. 存在的问题与挑战</w:t>
      </w:r>
      <w:bookmarkEnd w:id="31"/>
    </w:p>
    <w:p w14:paraId="4C7BE11D">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r>
        <w:rPr>
          <w:rFonts w:hint="eastAsia"/>
          <w:highlight w:val="none"/>
        </w:rPr>
        <w:t>尽管取得了显著进展，中医药方法学领域仍面临一系列关键挑战。首先，数据质量与标准化问题突出，如临床数据异构、术语不统一、生物样本库标准缺失，制约了大数据与AI模型的泛化能力与可靠性。其次，复杂系统研究的因果推断困难，网络药理学等多组学研究多为相关性预测，后续实验验证不足，难以确证关键靶点与通路。再次，技术融合的深度与创新性有待加强，部分研究仍停留在技术简单套用层面，未能与中医理论精髓（如证候、性味归经）深度融合并催生原创性方法。最后，方法学的临床转化路径尚不清晰，许多先进的检测、分析技术成本高昂或操作复杂，难以在基层医疗和产业一线推广普及，限制了其实际应用价值。</w:t>
      </w:r>
    </w:p>
    <w:p w14:paraId="6CA8231A">
      <w:pPr>
        <w:pageBreakBefore w:val="0"/>
        <w:kinsoku/>
        <w:wordWrap/>
        <w:overflowPunct/>
        <w:topLinePunct w:val="0"/>
        <w:autoSpaceDE/>
        <w:bidi w:val="0"/>
        <w:adjustRightInd/>
        <w:snapToGrid/>
        <w:spacing w:beforeAutospacing="0" w:afterAutospacing="0" w:line="440" w:lineRule="exact"/>
        <w:ind w:left="0" w:leftChars="0"/>
        <w:textAlignment w:val="auto"/>
        <w:rPr>
          <w:rFonts w:hint="eastAsia" w:eastAsia="仿宋"/>
          <w:highlight w:val="none"/>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embedRegular r:id="rId1" w:fontKey="{5BC5DF5B-D402-4B28-BEC8-8237C71620E7}"/>
  </w:font>
  <w:font w:name="Calibri Light">
    <w:panose1 w:val="020F0302020204030204"/>
    <w:charset w:val="00"/>
    <w:family w:val="auto"/>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2" w:fontKey="{8029521D-1222-4BB7-9027-33E182F44CF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046D9E"/>
    <w:rsid w:val="105E3DB1"/>
    <w:rsid w:val="139F46C1"/>
    <w:rsid w:val="150E2255"/>
    <w:rsid w:val="20046D9E"/>
    <w:rsid w:val="241E1276"/>
    <w:rsid w:val="2977792B"/>
    <w:rsid w:val="3C833532"/>
    <w:rsid w:val="535C10DF"/>
    <w:rsid w:val="55617C55"/>
    <w:rsid w:val="55F1109F"/>
    <w:rsid w:val="5DBF4C41"/>
    <w:rsid w:val="61EC25EE"/>
    <w:rsid w:val="76497981"/>
    <w:rsid w:val="7B3E41A1"/>
    <w:rsid w:val="7B4A3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ind w:firstLine="482"/>
    </w:pPr>
    <w:rPr>
      <w:rFonts w:ascii="等线" w:hAnsi="等线" w:eastAsia="仿宋" w:cs="Times New Roman"/>
      <w:kern w:val="3"/>
      <w:sz w:val="28"/>
      <w:szCs w:val="22"/>
      <w:lang w:val="en-US" w:eastAsia="zh-CN" w:bidi="ar-SA"/>
      <w14:ligatures w14:val="standardContextual"/>
    </w:rPr>
  </w:style>
  <w:style w:type="paragraph" w:styleId="2">
    <w:name w:val="heading 1"/>
    <w:basedOn w:val="1"/>
    <w:next w:val="1"/>
    <w:link w:val="13"/>
    <w:qFormat/>
    <w:uiPriority w:val="0"/>
    <w:pPr>
      <w:spacing w:before="0" w:beforeAutospacing="1" w:after="0" w:afterAutospacing="1"/>
      <w:jc w:val="left"/>
      <w:outlineLvl w:val="0"/>
    </w:pPr>
    <w:rPr>
      <w:rFonts w:hint="eastAsia" w:ascii="宋体" w:hAnsi="宋体" w:eastAsia="仿宋" w:cs="宋体"/>
      <w:b/>
      <w:bCs/>
      <w:sz w:val="30"/>
      <w:szCs w:val="48"/>
      <w:lang w:bidi="ar"/>
    </w:rPr>
  </w:style>
  <w:style w:type="paragraph" w:styleId="3">
    <w:name w:val="heading 2"/>
    <w:basedOn w:val="1"/>
    <w:next w:val="1"/>
    <w:link w:val="12"/>
    <w:unhideWhenUsed/>
    <w:qFormat/>
    <w:uiPriority w:val="0"/>
    <w:pPr>
      <w:spacing w:before="0" w:beforeAutospacing="1" w:after="0" w:afterAutospacing="1"/>
      <w:jc w:val="left"/>
      <w:outlineLvl w:val="1"/>
    </w:pPr>
    <w:rPr>
      <w:rFonts w:hint="eastAsia" w:ascii="宋体" w:hAnsi="宋体" w:cs="宋体"/>
      <w:b/>
      <w:bCs/>
      <w:color w:val="000000" w:themeColor="text1"/>
      <w:kern w:val="0"/>
      <w:sz w:val="28"/>
      <w:szCs w:val="36"/>
      <w:lang w:bidi="ar"/>
      <w14:textFill>
        <w14:solidFill>
          <w14:schemeClr w14:val="tx1"/>
        </w14:solidFill>
      </w14:textFill>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b/>
      <w:sz w:val="28"/>
    </w:rPr>
  </w:style>
  <w:style w:type="character" w:default="1" w:styleId="11">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12">
    <w:name w:val="标题 2 Char"/>
    <w:link w:val="3"/>
    <w:autoRedefine/>
    <w:semiHidden/>
    <w:qFormat/>
    <w:uiPriority w:val="9"/>
    <w:rPr>
      <w:rFonts w:ascii="Arial" w:hAnsi="Arial" w:eastAsia="仿宋" w:cs="Times New Roman"/>
      <w:b/>
      <w:bCs/>
      <w:color w:val="000000" w:themeColor="text1"/>
      <w:sz w:val="28"/>
      <w:szCs w:val="32"/>
      <w14:textFill>
        <w14:solidFill>
          <w14:schemeClr w14:val="tx1"/>
        </w14:solidFill>
      </w14:textFill>
    </w:rPr>
  </w:style>
  <w:style w:type="character" w:customStyle="1" w:styleId="13">
    <w:name w:val="标题 1 字符"/>
    <w:basedOn w:val="11"/>
    <w:link w:val="2"/>
    <w:qFormat/>
    <w:uiPriority w:val="9"/>
    <w:rPr>
      <w:rFonts w:eastAsia="仿宋" w:asciiTheme="majorAscii" w:hAnsiTheme="majorAscii" w:cstheme="majorBidi"/>
      <w:kern w:val="3"/>
      <w:sz w:val="30"/>
      <w:szCs w:val="48"/>
      <w14:ligatures w14:val="standardContextua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7287</Words>
  <Characters>7632</Characters>
  <Lines>0</Lines>
  <Paragraphs>0</Paragraphs>
  <TotalTime>448</TotalTime>
  <ScaleCrop>false</ScaleCrop>
  <LinksUpToDate>false</LinksUpToDate>
  <CharactersWithSpaces>7785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2026-03-23T05:54:00Z</dcterms:created>
  <dc:creator>zhuzhu</dc:creator>
  <cp:lastModifiedBy>zhuzhu</cp:lastModifiedBy>
  <dcterms:modified xsi:type="dcterms:W3CDTF">2026-03-27T10:46:33Z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74C2895FC0A14008809E41137BFE5B95_13</vt:lpwstr>
  </property>
  <property fmtid="{D5CDD505-2E9C-101B-9397-08002B2CF9AE}" pid="4" name="KSOTemplateDocerSaveRecord">
    <vt:lpwstr>eyJoZGlkIjoiZThiMjczMWFlOTBlMmU1M2QxMjJjNTA2OGU1MDMyZDEiLCJ1c2VySWQiOiIzMDA4NTg3MjIifQ==</vt:lpwstr>
  </property>
</Properties>
</file>