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2574D1">
      <w:pPr>
        <w:spacing w:line="480" w:lineRule="auto"/>
        <w:rPr>
          <w:rFonts w:hint="eastAsia" w:ascii="Times New Roman" w:hAnsi="Times New Roman" w:cs="Times New Roman"/>
          <w:sz w:val="32"/>
          <w:szCs w:val="32"/>
          <w:lang w:val="en-US" w:eastAsia="zh-CN"/>
        </w:rPr>
      </w:pPr>
      <w:bookmarkStart w:id="0" w:name="OLE_LINK1"/>
      <w:r>
        <w:rPr>
          <w:rFonts w:hint="eastAsia" w:ascii="Times New Roman" w:hAnsi="Times New Roman" w:cs="Times New Roman"/>
          <w:sz w:val="32"/>
          <w:szCs w:val="32"/>
          <w:lang w:val="en-US" w:eastAsia="zh-CN"/>
        </w:rPr>
        <w:t>MAC-TCMRx: A Multi-Agent Collaboration-Driven Interpretable Prescription Generation Model for TCM Clinical Decision Support in Bi Syndrome</w:t>
      </w:r>
    </w:p>
    <w:p w14:paraId="301ECA7E">
      <w:pPr>
        <w:spacing w:line="480" w:lineRule="auto"/>
        <w:rPr>
          <w:rStyle w:val="14"/>
          <w:rFonts w:hint="default" w:ascii="Segoe UI" w:hAnsi="Segoe UI" w:eastAsia="Segoe UI" w:cs="Segoe UI"/>
          <w:bCs/>
          <w:i w:val="0"/>
          <w:iCs w:val="0"/>
          <w:caps w:val="0"/>
          <w:color w:val="0F1115"/>
          <w:spacing w:val="0"/>
          <w:kern w:val="0"/>
          <w:sz w:val="24"/>
          <w:szCs w:val="24"/>
          <w:shd w:val="clear" w:fill="FFFFFF"/>
          <w:lang w:val="en-US" w:eastAsia="zh-CN" w:bidi="ar"/>
        </w:rPr>
      </w:pPr>
    </w:p>
    <w:p w14:paraId="557625D1">
      <w:pPr>
        <w:spacing w:line="480" w:lineRule="auto"/>
        <w:rPr>
          <w:rStyle w:val="14"/>
          <w:rFonts w:hint="default" w:ascii="Segoe UI" w:hAnsi="Segoe UI" w:eastAsia="Segoe UI" w:cs="Segoe UI"/>
          <w:bCs/>
          <w:i w:val="0"/>
          <w:iCs w:val="0"/>
          <w:caps w:val="0"/>
          <w:color w:val="0F1115"/>
          <w:spacing w:val="0"/>
          <w:kern w:val="0"/>
          <w:sz w:val="24"/>
          <w:szCs w:val="24"/>
          <w:shd w:val="clear" w:fill="FFFFFF"/>
          <w:lang w:val="en-US" w:eastAsia="zh-CN" w:bidi="ar"/>
        </w:rPr>
      </w:pPr>
      <w:bookmarkStart w:id="1" w:name="_GoBack"/>
      <w:bookmarkEnd w:id="1"/>
      <w:r>
        <w:rPr>
          <w:rStyle w:val="14"/>
          <w:rFonts w:hint="default" w:ascii="Segoe UI" w:hAnsi="Segoe UI" w:eastAsia="Segoe UI" w:cs="Segoe UI"/>
          <w:bCs/>
          <w:i w:val="0"/>
          <w:iCs w:val="0"/>
          <w:caps w:val="0"/>
          <w:color w:val="0F1115"/>
          <w:spacing w:val="0"/>
          <w:kern w:val="0"/>
          <w:sz w:val="24"/>
          <w:szCs w:val="24"/>
          <w:shd w:val="clear" w:fill="FFFFFF"/>
          <w:lang w:val="en-US" w:eastAsia="zh-CN" w:bidi="ar"/>
        </w:rPr>
        <w:t xml:space="preserve">Abstract </w:t>
      </w:r>
    </w:p>
    <w:p w14:paraId="4999FF7C">
      <w:pPr>
        <w:keepNext w:val="0"/>
        <w:keepLines w:val="0"/>
        <w:widowControl/>
        <w:suppressLineNumbers w:val="0"/>
        <w:spacing w:line="480" w:lineRule="auto"/>
        <w:jc w:val="left"/>
        <w:rPr>
          <w:rFonts w:hint="eastAsia" w:ascii="Times New Roman" w:hAnsi="Times New Roman" w:eastAsia="宋体" w:cs="Times New Roman"/>
          <w:b w:val="0"/>
          <w:bCs w:val="0"/>
          <w:color w:val="000000" w:themeColor="text1"/>
          <w:kern w:val="0"/>
          <w:sz w:val="24"/>
          <w:szCs w:val="24"/>
          <w:lang w:val="en-US" w:eastAsia="zh-CN" w:bidi="ar"/>
          <w14:textFill>
            <w14:solidFill>
              <w14:schemeClr w14:val="tx1"/>
            </w14:solidFill>
          </w14:textFill>
        </w:rPr>
      </w:pPr>
      <w:r>
        <w:rPr>
          <w:rFonts w:hint="eastAsia" w:ascii="Times New Roman" w:hAnsi="Times New Roman" w:eastAsia="宋体" w:cs="Times New Roman"/>
          <w:b/>
          <w:bCs/>
          <w:color w:val="000000" w:themeColor="text1"/>
          <w:kern w:val="0"/>
          <w:sz w:val="24"/>
          <w:szCs w:val="24"/>
          <w:lang w:val="en-US" w:eastAsia="zh-CN" w:bidi="ar"/>
          <w14:textFill>
            <w14:solidFill>
              <w14:schemeClr w14:val="tx1"/>
            </w14:solidFill>
          </w14:textFill>
        </w:rPr>
        <w:t xml:space="preserve">Background </w:t>
      </w:r>
      <w:r>
        <w:rPr>
          <w:rFonts w:hint="eastAsia" w:ascii="Times New Roman" w:hAnsi="Times New Roman" w:eastAsia="宋体" w:cs="Times New Roman"/>
          <w:b w:val="0"/>
          <w:bCs w:val="0"/>
          <w:color w:val="000000" w:themeColor="text1"/>
          <w:kern w:val="0"/>
          <w:sz w:val="24"/>
          <w:szCs w:val="24"/>
          <w:lang w:val="en-US" w:eastAsia="zh-CN" w:bidi="ar"/>
          <w14:textFill>
            <w14:solidFill>
              <w14:schemeClr w14:val="tx1"/>
            </w14:solidFill>
          </w14:textFill>
        </w:rPr>
        <w:t>Prescription is a critical step in Traditional Chinese Medicine (TCM) clinical practice and serves as a key entry point for clinical decision support. Developing AI-driven prescription generation models is therefore important for assisting practitioners in making evidence-based decisions. However, existing models struggle to deeply embed theoretical knowledge and accurately fit diagnostic logic, leading to recommendations that often lack accuracy, explainability, and reliability. To overcome this limitation, we propose MAC-TCMRx—an expert-aligned, explainable prescription generation model based on a multi-agent collaborative framework, specifically developed for the clinical decision support of Bi syndrome, aiming to achieve transparent and trustworthy clinical decision-making.</w:t>
      </w:r>
    </w:p>
    <w:p w14:paraId="5A5D2A5C">
      <w:pPr>
        <w:keepNext w:val="0"/>
        <w:keepLines w:val="0"/>
        <w:widowControl/>
        <w:suppressLineNumbers w:val="0"/>
        <w:spacing w:line="480" w:lineRule="auto"/>
        <w:jc w:val="left"/>
        <w:rPr>
          <w:rFonts w:hint="eastAsia" w:ascii="Times New Roman" w:hAnsi="Times New Roman" w:eastAsia="宋体" w:cs="Times New Roman"/>
          <w:color w:val="000000" w:themeColor="text1"/>
          <w:kern w:val="0"/>
          <w:sz w:val="24"/>
          <w:szCs w:val="24"/>
          <w:lang w:val="en-US" w:eastAsia="zh-CN" w:bidi="ar"/>
          <w14:textFill>
            <w14:solidFill>
              <w14:schemeClr w14:val="tx1"/>
            </w14:solidFill>
          </w14:textFill>
        </w:rPr>
      </w:pPr>
      <w:r>
        <w:rPr>
          <w:rFonts w:hint="eastAsia" w:ascii="Times New Roman" w:hAnsi="Times New Roman" w:eastAsia="宋体" w:cs="Times New Roman"/>
          <w:b/>
          <w:bCs/>
          <w:color w:val="000000" w:themeColor="text1"/>
          <w:kern w:val="0"/>
          <w:sz w:val="24"/>
          <w:szCs w:val="24"/>
          <w:lang w:val="en-US" w:eastAsia="zh-CN" w:bidi="ar"/>
          <w14:textFill>
            <w14:solidFill>
              <w14:schemeClr w14:val="tx1"/>
            </w14:solidFill>
          </w14:textFill>
        </w:rPr>
        <w:t xml:space="preserve">Methods </w:t>
      </w:r>
      <w:r>
        <w:rPr>
          <w:rFonts w:hint="eastAsia" w:ascii="Times New Roman" w:hAnsi="Times New Roman" w:eastAsia="宋体" w:cs="Times New Roman"/>
          <w:color w:val="000000" w:themeColor="text1"/>
          <w:kern w:val="0"/>
          <w:sz w:val="24"/>
          <w:szCs w:val="24"/>
          <w:lang w:val="en-US" w:eastAsia="zh-CN" w:bidi="ar"/>
          <w14:textFill>
            <w14:solidFill>
              <w14:schemeClr w14:val="tx1"/>
            </w14:solidFill>
          </w14:textFill>
        </w:rPr>
        <w:t>Taking a renowned TCM practitioner's diagnosis and treatment of Bi syndrome as a case study, we first deconstructed the "pattern differentiation and treatment" decision process into three subtasks—identifying the main pattern, analyzing the pathogenesis, and determining the prescription—using data mining and cognitive analysis. A multi-agent collaborative framework comprising four core agents was then constructed. Quantitative evaluation compared the framework with a baseline large language model using the Jaccard and Dice similarity coefficient, average number of overlapping herbs, and core prescription matching degree. Qualitative evaluation involved blind scoring of visual outputs on a five-point scale, assessing reproducibility, logical clarity, and learning acceptability, with results reported as mean ± standard deviation.</w:t>
      </w:r>
    </w:p>
    <w:p w14:paraId="4FF824F9">
      <w:pPr>
        <w:keepNext w:val="0"/>
        <w:keepLines w:val="0"/>
        <w:widowControl/>
        <w:suppressLineNumbers w:val="0"/>
        <w:spacing w:line="480" w:lineRule="auto"/>
        <w:jc w:val="left"/>
        <w:rPr>
          <w:rFonts w:hint="eastAsia" w:ascii="Times New Roman" w:hAnsi="Times New Roman" w:eastAsia="宋体" w:cs="Times New Roman"/>
          <w:color w:val="000000" w:themeColor="text1"/>
          <w:kern w:val="0"/>
          <w:sz w:val="24"/>
          <w:szCs w:val="24"/>
          <w:lang w:val="en-US" w:eastAsia="zh-CN" w:bidi="ar"/>
          <w14:textFill>
            <w14:solidFill>
              <w14:schemeClr w14:val="tx1"/>
            </w14:solidFill>
          </w14:textFill>
        </w:rPr>
      </w:pPr>
      <w:r>
        <w:rPr>
          <w:rFonts w:hint="eastAsia" w:ascii="Times New Roman" w:hAnsi="Times New Roman" w:eastAsia="宋体" w:cs="Times New Roman"/>
          <w:b/>
          <w:bCs/>
          <w:color w:val="000000" w:themeColor="text1"/>
          <w:kern w:val="0"/>
          <w:sz w:val="24"/>
          <w:szCs w:val="24"/>
          <w:lang w:val="en-US" w:eastAsia="zh-CN" w:bidi="ar"/>
          <w14:textFill>
            <w14:solidFill>
              <w14:schemeClr w14:val="tx1"/>
            </w14:solidFill>
          </w14:textFill>
        </w:rPr>
        <w:t xml:space="preserve">Results </w:t>
      </w:r>
      <w:r>
        <w:rPr>
          <w:rFonts w:hint="eastAsia" w:ascii="Times New Roman" w:hAnsi="Times New Roman" w:eastAsia="宋体" w:cs="Times New Roman"/>
          <w:color w:val="000000" w:themeColor="text1"/>
          <w:kern w:val="0"/>
          <w:sz w:val="24"/>
          <w:szCs w:val="24"/>
          <w:lang w:val="en-US" w:eastAsia="zh-CN" w:bidi="ar"/>
          <w14:textFill>
            <w14:solidFill>
              <w14:schemeClr w14:val="tx1"/>
            </w14:solidFill>
          </w14:textFill>
        </w:rPr>
        <w:t>The proposed multi-agent framework significantly outperformed the baseline model across all quantitative metrics: Jaccard coefficient (0.272 vs. 0.130), Dice coefficient (0.421 vs. 0.224), average overlapping herbs (9.66 vs. 4.05), and core prescription matching degree (0.778 vs. 0.333). The framework successfully captured the practitioner's distinctive prescription pattern, whereas the baseline model only produced a general formula. In the qualitative evaluation, the framework scored 4.38, 4.24, and 4.32 out of 5 for reproducibility, logical clarity, and learning acceptability, respectively—all significantly higher than the baseline.</w:t>
      </w:r>
    </w:p>
    <w:p w14:paraId="5B6DFF86">
      <w:pPr>
        <w:keepNext w:val="0"/>
        <w:keepLines w:val="0"/>
        <w:widowControl/>
        <w:suppressLineNumbers w:val="0"/>
        <w:spacing w:line="480" w:lineRule="auto"/>
        <w:jc w:val="left"/>
        <w:rPr>
          <w:rFonts w:hint="eastAsia" w:ascii="Times New Roman" w:hAnsi="Times New Roman" w:eastAsia="宋体" w:cs="Times New Roman"/>
          <w:b w:val="0"/>
          <w:bCs w:val="0"/>
          <w:color w:val="000000" w:themeColor="text1"/>
          <w:kern w:val="0"/>
          <w:sz w:val="24"/>
          <w:szCs w:val="24"/>
          <w:lang w:val="en-US" w:eastAsia="zh-CN" w:bidi="ar"/>
          <w14:textFill>
            <w14:solidFill>
              <w14:schemeClr w14:val="tx1"/>
            </w14:solidFill>
          </w14:textFill>
        </w:rPr>
      </w:pPr>
      <w:r>
        <w:rPr>
          <w:rFonts w:hint="eastAsia" w:ascii="Times New Roman" w:hAnsi="Times New Roman" w:eastAsia="宋体" w:cs="Times New Roman"/>
          <w:b/>
          <w:bCs/>
          <w:color w:val="000000" w:themeColor="text1"/>
          <w:kern w:val="0"/>
          <w:sz w:val="24"/>
          <w:szCs w:val="24"/>
          <w:lang w:val="en-US" w:eastAsia="zh-CN" w:bidi="ar"/>
          <w14:textFill>
            <w14:solidFill>
              <w14:schemeClr w14:val="tx1"/>
            </w14:solidFill>
          </w14:textFill>
        </w:rPr>
        <w:t xml:space="preserve">Conclusions </w:t>
      </w:r>
      <w:r>
        <w:rPr>
          <w:rFonts w:hint="eastAsia" w:ascii="Times New Roman" w:hAnsi="Times New Roman" w:eastAsia="宋体" w:cs="Times New Roman"/>
          <w:b w:val="0"/>
          <w:bCs w:val="0"/>
          <w:color w:val="000000" w:themeColor="text1"/>
          <w:kern w:val="0"/>
          <w:sz w:val="24"/>
          <w:szCs w:val="24"/>
          <w:lang w:val="en-US" w:eastAsia="zh-CN" w:bidi="ar"/>
          <w14:textFill>
            <w14:solidFill>
              <w14:schemeClr w14:val="tx1"/>
            </w14:solidFill>
          </w14:textFill>
        </w:rPr>
        <w:t>The proposed multi-agent collaborative framework can fully reproduce the clinical decision chain of renowned TCM practitioners, achieving reasoning aligned with expert logic and enabling transparent, traceable, and explainable prescription generation. This study provides an expert-aligned, explainable AI model for clinical decision support in TCM, demonstrating its potential to assist practitioners in making trustworthy prescription decisions.</w:t>
      </w:r>
    </w:p>
    <w:p w14:paraId="08C43480">
      <w:pPr>
        <w:keepNext w:val="0"/>
        <w:keepLines w:val="0"/>
        <w:widowControl/>
        <w:suppressLineNumbers w:val="0"/>
        <w:spacing w:line="480" w:lineRule="auto"/>
        <w:jc w:val="left"/>
        <w:rPr>
          <w:rFonts w:hint="eastAsia" w:ascii="Times New Roman" w:hAnsi="Times New Roman" w:eastAsia="宋体" w:cs="Times New Roman"/>
          <w:color w:val="000000" w:themeColor="text1"/>
          <w:kern w:val="0"/>
          <w:sz w:val="24"/>
          <w:szCs w:val="24"/>
          <w:lang w:val="en-US" w:eastAsia="zh-CN" w:bidi="ar"/>
          <w14:textFill>
            <w14:solidFill>
              <w14:schemeClr w14:val="tx1"/>
            </w14:solidFill>
          </w14:textFill>
        </w:rPr>
      </w:pPr>
      <w:r>
        <w:rPr>
          <w:rFonts w:hint="eastAsia" w:ascii="Times New Roman" w:hAnsi="Times New Roman" w:eastAsia="宋体" w:cs="Times New Roman"/>
          <w:b/>
          <w:bCs/>
          <w:color w:val="000000" w:themeColor="text1"/>
          <w:kern w:val="0"/>
          <w:sz w:val="24"/>
          <w:szCs w:val="24"/>
          <w:lang w:val="en-US" w:eastAsia="zh-CN" w:bidi="ar"/>
          <w14:textFill>
            <w14:solidFill>
              <w14:schemeClr w14:val="tx1"/>
            </w14:solidFill>
          </w14:textFill>
        </w:rPr>
        <w:t xml:space="preserve">Keywords </w:t>
      </w:r>
      <w:r>
        <w:rPr>
          <w:rFonts w:hint="eastAsia" w:ascii="Times New Roman" w:hAnsi="Times New Roman" w:eastAsia="宋体" w:cs="Times New Roman"/>
          <w:color w:val="000000" w:themeColor="text1"/>
          <w:kern w:val="0"/>
          <w:sz w:val="24"/>
          <w:szCs w:val="24"/>
          <w:lang w:val="en-US" w:eastAsia="zh-CN" w:bidi="ar"/>
          <w14:textFill>
            <w14:solidFill>
              <w14:schemeClr w14:val="tx1"/>
            </w14:solidFill>
          </w14:textFill>
        </w:rPr>
        <w:t>Artificial intelligence (AI); Traditional Chinese medicine (TCM); Multi-agent collaborative framework; Explainable prescription generation; Clinical decision support; Bi syndrome; Expert-aligned AI</w:t>
      </w:r>
    </w:p>
    <w:p w14:paraId="06E49BFE">
      <w:pPr>
        <w:spacing w:line="480" w:lineRule="auto"/>
        <w:rPr>
          <w:rStyle w:val="14"/>
          <w:rFonts w:hint="default" w:ascii="Segoe UI" w:hAnsi="Segoe UI" w:eastAsia="Segoe UI" w:cs="Segoe UI"/>
          <w:bCs/>
          <w:i w:val="0"/>
          <w:iCs w:val="0"/>
          <w:caps w:val="0"/>
          <w:color w:val="0F1115"/>
          <w:spacing w:val="0"/>
          <w:kern w:val="0"/>
          <w:sz w:val="24"/>
          <w:szCs w:val="24"/>
          <w:shd w:val="clear" w:fill="FFFFFF"/>
          <w:lang w:val="en-US" w:eastAsia="zh-CN" w:bidi="ar"/>
        </w:rPr>
      </w:pPr>
      <w:r>
        <w:rPr>
          <w:rStyle w:val="14"/>
          <w:rFonts w:hint="default" w:ascii="Segoe UI" w:hAnsi="Segoe UI" w:eastAsia="Segoe UI" w:cs="Segoe UI"/>
          <w:bCs/>
          <w:i w:val="0"/>
          <w:iCs w:val="0"/>
          <w:caps w:val="0"/>
          <w:color w:val="0F1115"/>
          <w:spacing w:val="0"/>
          <w:kern w:val="0"/>
          <w:sz w:val="24"/>
          <w:szCs w:val="24"/>
          <w:shd w:val="clear" w:fill="FFFFFF"/>
          <w:lang w:val="en-US" w:eastAsia="zh-CN" w:bidi="ar"/>
        </w:rPr>
        <w:t>Background</w:t>
      </w:r>
    </w:p>
    <w:p w14:paraId="61B336FA">
      <w:pPr>
        <w:pStyle w:val="10"/>
        <w:keepNext w:val="0"/>
        <w:keepLines w:val="0"/>
        <w:widowControl/>
        <w:suppressLineNumbers w:val="0"/>
        <w:shd w:val="clear" w:fill="FFFFFF"/>
        <w:spacing w:before="160" w:beforeAutospacing="0" w:after="160" w:afterAutospacing="0" w:line="480" w:lineRule="auto"/>
        <w:ind w:left="0" w:right="0" w:firstLine="0"/>
        <w:rPr>
          <w:rFonts w:hint="eastAsia"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The academic thought and clinical experience of renowned traditional Chinese medicine (TCM) practitioners represent a core resource for the inheritance and development of TCM. Their systematic preservation and digital application are of great significance for advancing TCM modernization. With the rapid development of digital technologies such as artificial intelligence (AI), cloud computing, and big data, the diagnostic and therapeutic expertise of </w:t>
      </w:r>
      <w:r>
        <w:rPr>
          <w:rFonts w:hint="eastAsia" w:ascii="Times New Roman" w:hAnsi="Times New Roman" w:eastAsia="宋体" w:cs="Times New Roman"/>
          <w:color w:val="000000"/>
          <w:kern w:val="0"/>
          <w:sz w:val="24"/>
          <w:szCs w:val="24"/>
          <w:lang w:val="en-US" w:eastAsia="zh-CN" w:bidi="ar"/>
        </w:rPr>
        <w:t>renowned</w:t>
      </w:r>
      <w:r>
        <w:rPr>
          <w:rFonts w:hint="default" w:ascii="Times New Roman" w:hAnsi="Times New Roman" w:eastAsia="宋体" w:cs="Times New Roman"/>
          <w:color w:val="000000"/>
          <w:kern w:val="0"/>
          <w:sz w:val="24"/>
          <w:szCs w:val="24"/>
          <w:lang w:val="en-US" w:eastAsia="zh-CN" w:bidi="ar"/>
        </w:rPr>
        <w:t xml:space="preserve"> TCM practitioners is expected to be transmitted more efficiently through digital means. TCM prescriptions, which encapsulate rich theoretical connotations and clinical reasoning, serve as key carriers for preserving this experience. Leveraging AI to construct prescription recommendation models that guide primary-care physicians has thus become an important pathway for inheriting the wisdom of </w:t>
      </w:r>
      <w:r>
        <w:rPr>
          <w:rFonts w:hint="eastAsia" w:ascii="Times New Roman" w:hAnsi="Times New Roman" w:eastAsia="宋体" w:cs="Times New Roman"/>
          <w:color w:val="000000"/>
          <w:kern w:val="0"/>
          <w:sz w:val="24"/>
          <w:szCs w:val="24"/>
          <w:lang w:val="en-US" w:eastAsia="zh-CN" w:bidi="ar"/>
        </w:rPr>
        <w:t>renowned TCM practitioners</w:t>
      </w:r>
      <w:r>
        <w:rPr>
          <w:rFonts w:hint="default" w:ascii="Times New Roman" w:hAnsi="Times New Roman" w:eastAsia="宋体" w:cs="Times New Roman"/>
          <w:color w:val="000000"/>
          <w:kern w:val="0"/>
          <w:sz w:val="24"/>
          <w:szCs w:val="24"/>
          <w:lang w:val="en-US" w:eastAsia="zh-CN" w:bidi="ar"/>
        </w:rPr>
        <w:t xml:space="preserve"> and enhancing grassroots TCM services.Efforts to develop such models date back to the 1970s and 1980s, beginning with rule-based expert systems such as the Guan Youbo Liver Disease Computer System (1979)</w:t>
      </w:r>
      <w:r>
        <w:rPr>
          <w:rFonts w:hint="eastAsia" w:ascii="Times New Roman" w:hAnsi="Times New Roman" w:eastAsia="宋体" w:cs="Times New Roman"/>
          <w:color w:val="000000"/>
          <w:kern w:val="0"/>
          <w:sz w:val="24"/>
          <w:szCs w:val="24"/>
          <w:vertAlign w:val="superscript"/>
          <w:lang w:val="en-US" w:eastAsia="zh-CN" w:bidi="ar"/>
        </w:rPr>
        <w:t xml:space="preserve"> [1</w:t>
      </w:r>
      <w:r>
        <w:rPr>
          <w:rFonts w:hint="default" w:ascii="Times New Roman" w:hAnsi="Times New Roman" w:eastAsia="宋体" w:cs="Times New Roman"/>
          <w:color w:val="000000"/>
          <w:kern w:val="0"/>
          <w:sz w:val="24"/>
          <w:szCs w:val="24"/>
          <w:vertAlign w:val="superscript"/>
          <w:lang w:val="en-US" w:eastAsia="zh-CN" w:bidi="ar"/>
        </w:rPr>
        <w:t>]</w:t>
      </w:r>
      <w:r>
        <w:rPr>
          <w:rFonts w:hint="default" w:ascii="Times New Roman" w:hAnsi="Times New Roman" w:eastAsia="宋体" w:cs="Times New Roman"/>
          <w:color w:val="000000"/>
          <w:kern w:val="0"/>
          <w:sz w:val="24"/>
          <w:szCs w:val="24"/>
          <w:lang w:val="en-US" w:eastAsia="zh-CN" w:bidi="ar"/>
        </w:rPr>
        <w:t>. Subsequent research progressed through stages of machine learning (e.g., support vector machines, random forests), deep learning, knowledge graphs, and graph neural networks, These approaches improved semantic understanding and complex relationship modeling</w:t>
      </w:r>
      <w:r>
        <w:rPr>
          <w:rFonts w:hint="eastAsia" w:ascii="Times New Roman" w:hAnsi="Times New Roman" w:eastAsia="宋体" w:cs="Times New Roman"/>
          <w:color w:val="000000"/>
          <w:kern w:val="0"/>
          <w:sz w:val="24"/>
          <w:szCs w:val="24"/>
          <w:vertAlign w:val="superscript"/>
          <w:lang w:val="en-US" w:eastAsia="zh-CN" w:bidi="ar"/>
        </w:rPr>
        <w:t xml:space="preserve"> [2</w:t>
      </w:r>
      <w:r>
        <w:rPr>
          <w:rFonts w:hint="default" w:ascii="Times New Roman" w:hAnsi="Times New Roman" w:eastAsia="宋体" w:cs="Times New Roman"/>
          <w:color w:val="000000"/>
          <w:kern w:val="0"/>
          <w:sz w:val="24"/>
          <w:szCs w:val="24"/>
          <w:vertAlign w:val="superscript"/>
          <w:lang w:val="en-US" w:eastAsia="zh-CN" w:bidi="ar"/>
        </w:rPr>
        <w:t>–</w:t>
      </w:r>
      <w:r>
        <w:rPr>
          <w:rFonts w:hint="eastAsia" w:ascii="Times New Roman" w:hAnsi="Times New Roman" w:eastAsia="宋体" w:cs="Times New Roman"/>
          <w:color w:val="000000"/>
          <w:kern w:val="0"/>
          <w:sz w:val="24"/>
          <w:szCs w:val="24"/>
          <w:vertAlign w:val="superscript"/>
          <w:lang w:val="en-US" w:eastAsia="zh-CN" w:bidi="ar"/>
        </w:rPr>
        <w:t>8</w:t>
      </w:r>
      <w:r>
        <w:rPr>
          <w:rFonts w:hint="default" w:ascii="Times New Roman" w:hAnsi="Times New Roman" w:eastAsia="宋体" w:cs="Times New Roman"/>
          <w:color w:val="000000"/>
          <w:kern w:val="0"/>
          <w:sz w:val="24"/>
          <w:szCs w:val="24"/>
          <w:vertAlign w:val="superscript"/>
          <w:lang w:val="en-US" w:eastAsia="zh-CN" w:bidi="ar"/>
        </w:rPr>
        <w:t>]</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 xml:space="preserve">More recently, </w:t>
      </w:r>
      <w:r>
        <w:rPr>
          <w:rFonts w:hint="eastAsia" w:ascii="Times New Roman" w:hAnsi="Times New Roman" w:eastAsia="宋体" w:cs="Times New Roman"/>
          <w:color w:val="000000"/>
          <w:kern w:val="0"/>
          <w:sz w:val="24"/>
          <w:szCs w:val="24"/>
          <w:lang w:val="en-US" w:eastAsia="zh-CN" w:bidi="ar"/>
        </w:rPr>
        <w:t>large language model</w:t>
      </w:r>
      <w:r>
        <w:rPr>
          <w:rFonts w:hint="default" w:ascii="Times New Roman" w:hAnsi="Times New Roman" w:eastAsia="宋体" w:cs="Times New Roman"/>
          <w:color w:val="000000"/>
          <w:kern w:val="0"/>
          <w:sz w:val="24"/>
          <w:szCs w:val="24"/>
          <w:lang w:val="en-US" w:eastAsia="zh-CN" w:bidi="ar"/>
        </w:rPr>
        <w:t xml:space="preserve"> (</w:t>
      </w:r>
      <w:r>
        <w:rPr>
          <w:rFonts w:hint="eastAsia" w:ascii="Times New Roman" w:hAnsi="Times New Roman" w:eastAsia="宋体" w:cs="Times New Roman"/>
          <w:color w:val="000000"/>
          <w:kern w:val="0"/>
          <w:sz w:val="24"/>
          <w:szCs w:val="24"/>
          <w:lang w:val="en-US" w:eastAsia="zh-CN" w:bidi="ar"/>
        </w:rPr>
        <w:t>LLM</w:t>
      </w:r>
      <w:r>
        <w:rPr>
          <w:rFonts w:hint="default" w:ascii="Times New Roman" w:hAnsi="Times New Roman" w:eastAsia="宋体" w:cs="Times New Roman"/>
          <w:color w:val="000000"/>
          <w:kern w:val="0"/>
          <w:sz w:val="24"/>
          <w:szCs w:val="24"/>
          <w:lang w:val="en-US" w:eastAsia="zh-CN" w:bidi="ar"/>
        </w:rPr>
        <w:t>) integrated with retrieval-augmented generation (RAG), instruction fine-tuning, and prompt engineering have significantly advanced the intelligence of prescription recommendation</w:t>
      </w:r>
      <w:r>
        <w:rPr>
          <w:rFonts w:hint="eastAsia" w:ascii="Times New Roman" w:hAnsi="Times New Roman" w:eastAsia="宋体" w:cs="Times New Roman"/>
          <w:color w:val="000000"/>
          <w:kern w:val="0"/>
          <w:sz w:val="24"/>
          <w:szCs w:val="24"/>
          <w:vertAlign w:val="superscript"/>
          <w:lang w:val="en-US" w:eastAsia="zh-CN" w:bidi="ar"/>
        </w:rPr>
        <w:t xml:space="preserve"> [9</w:t>
      </w:r>
      <w:r>
        <w:rPr>
          <w:rFonts w:hint="default" w:ascii="Times New Roman" w:hAnsi="Times New Roman" w:eastAsia="宋体" w:cs="Times New Roman"/>
          <w:color w:val="000000"/>
          <w:kern w:val="0"/>
          <w:sz w:val="24"/>
          <w:szCs w:val="24"/>
          <w:vertAlign w:val="superscript"/>
          <w:lang w:val="en-US" w:eastAsia="zh-CN" w:bidi="ar"/>
        </w:rPr>
        <w:t>]</w:t>
      </w:r>
      <w:r>
        <w:rPr>
          <w:rFonts w:hint="default" w:ascii="Times New Roman" w:hAnsi="Times New Roman" w:eastAsia="宋体" w:cs="Times New Roman"/>
          <w:color w:val="000000"/>
          <w:kern w:val="0"/>
          <w:sz w:val="24"/>
          <w:szCs w:val="24"/>
          <w:lang w:val="en-US" w:eastAsia="zh-CN" w:bidi="ar"/>
        </w:rPr>
        <w:t xml:space="preserve">. Numerous TCM-specific </w:t>
      </w:r>
      <w:r>
        <w:rPr>
          <w:rFonts w:hint="eastAsia" w:ascii="Times New Roman" w:hAnsi="Times New Roman" w:eastAsia="宋体" w:cs="Times New Roman"/>
          <w:color w:val="000000"/>
          <w:kern w:val="0"/>
          <w:sz w:val="24"/>
          <w:szCs w:val="24"/>
          <w:lang w:val="en-US" w:eastAsia="zh-CN" w:bidi="ar"/>
        </w:rPr>
        <w:t>LLM—</w:t>
      </w:r>
      <w:r>
        <w:rPr>
          <w:rFonts w:hint="default" w:ascii="Times New Roman" w:hAnsi="Times New Roman" w:eastAsia="宋体" w:cs="Times New Roman"/>
          <w:color w:val="000000"/>
          <w:kern w:val="0"/>
          <w:sz w:val="24"/>
          <w:szCs w:val="24"/>
          <w:lang w:val="en-US" w:eastAsia="zh-CN" w:bidi="ar"/>
        </w:rPr>
        <w:t>including Zhongjing, Shennong, HuatuoGPT, and TCM-KLLaMA</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have been released, demonstrating semantic coherence and fluent interaction; some have been certified by </w:t>
      </w:r>
      <w:r>
        <w:rPr>
          <w:rFonts w:hint="eastAsia" w:ascii="Times New Roman" w:hAnsi="Times New Roman" w:eastAsia="宋体" w:cs="Times New Roman"/>
          <w:color w:val="000000"/>
          <w:kern w:val="0"/>
          <w:sz w:val="24"/>
          <w:szCs w:val="24"/>
          <w:lang w:val="en-US" w:eastAsia="zh-CN" w:bidi="ar"/>
        </w:rPr>
        <w:t>renowned TCM practitioners</w:t>
      </w:r>
      <w:r>
        <w:rPr>
          <w:rFonts w:hint="default" w:ascii="Times New Roman" w:hAnsi="Times New Roman" w:eastAsia="宋体" w:cs="Times New Roman"/>
          <w:color w:val="000000"/>
          <w:kern w:val="0"/>
          <w:sz w:val="24"/>
          <w:szCs w:val="24"/>
          <w:lang w:val="en-US" w:eastAsia="zh-CN" w:bidi="ar"/>
        </w:rPr>
        <w:t xml:space="preserve"> and deployed in their studios, signaling a transition from laboratory prototypes to clinical application</w:t>
      </w:r>
      <w:r>
        <w:rPr>
          <w:rFonts w:hint="eastAsia" w:ascii="Times New Roman" w:hAnsi="Times New Roman" w:eastAsia="宋体" w:cs="Times New Roman"/>
          <w:color w:val="000000"/>
          <w:kern w:val="0"/>
          <w:sz w:val="24"/>
          <w:szCs w:val="24"/>
          <w:lang w:val="en-US" w:eastAsia="zh-CN" w:bidi="ar"/>
        </w:rPr>
        <w:t xml:space="preserve"> </w:t>
      </w:r>
      <w:r>
        <w:rPr>
          <w:rFonts w:hint="eastAsia" w:ascii="Times New Roman" w:hAnsi="Times New Roman" w:eastAsia="宋体" w:cs="Times New Roman"/>
          <w:color w:val="000000"/>
          <w:kern w:val="0"/>
          <w:sz w:val="24"/>
          <w:szCs w:val="24"/>
          <w:vertAlign w:val="superscript"/>
          <w:lang w:val="en-US" w:eastAsia="zh-CN" w:bidi="ar"/>
        </w:rPr>
        <w:t>[10</w:t>
      </w:r>
      <w:r>
        <w:rPr>
          <w:rFonts w:hint="default" w:ascii="Times New Roman" w:hAnsi="Times New Roman" w:eastAsia="宋体" w:cs="Times New Roman"/>
          <w:color w:val="000000"/>
          <w:kern w:val="0"/>
          <w:sz w:val="24"/>
          <w:szCs w:val="24"/>
          <w:vertAlign w:val="superscript"/>
          <w:lang w:val="en-US" w:eastAsia="zh-CN" w:bidi="ar"/>
        </w:rPr>
        <w:t>–13]</w:t>
      </w:r>
      <w:r>
        <w:rPr>
          <w:rFonts w:hint="default" w:ascii="Times New Roman" w:hAnsi="Times New Roman" w:eastAsia="宋体" w:cs="Times New Roman"/>
          <w:color w:val="000000"/>
          <w:kern w:val="0"/>
          <w:sz w:val="24"/>
          <w:szCs w:val="24"/>
          <w:lang w:val="en-US" w:eastAsia="zh-CN" w:bidi="ar"/>
        </w:rPr>
        <w:t>.</w:t>
      </w:r>
    </w:p>
    <w:p w14:paraId="5CEFA707">
      <w:pPr>
        <w:pStyle w:val="10"/>
        <w:keepNext w:val="0"/>
        <w:keepLines w:val="0"/>
        <w:widowControl/>
        <w:suppressLineNumbers w:val="0"/>
        <w:shd w:val="clear" w:fill="FFFFFF"/>
        <w:spacing w:before="160" w:beforeAutospacing="0" w:after="160" w:afterAutospacing="0" w:line="480" w:lineRule="auto"/>
        <w:ind w:left="0" w:right="0" w:firstLine="240" w:firstLineChars="100"/>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Despite these advancements, state-of-the-art prescription recommendation models still face several common challenges. First, acquiring large-scale, high-quality training data remains challenging due to the heterogeneity of multi-source data, inconsistent terminology, and missing key information</w:t>
      </w:r>
      <w:r>
        <w:rPr>
          <w:rFonts w:hint="eastAsia" w:ascii="Times New Roman" w:hAnsi="Times New Roman" w:eastAsia="宋体" w:cs="Times New Roman"/>
          <w:color w:val="000000"/>
          <w:kern w:val="0"/>
          <w:sz w:val="24"/>
          <w:szCs w:val="24"/>
          <w:vertAlign w:val="superscript"/>
          <w:lang w:val="en-US" w:eastAsia="zh-CN" w:bidi="ar"/>
        </w:rPr>
        <w:t xml:space="preserve"> [</w:t>
      </w:r>
      <w:r>
        <w:rPr>
          <w:rFonts w:hint="default" w:ascii="Times New Roman" w:hAnsi="Times New Roman" w:eastAsia="宋体" w:cs="Times New Roman"/>
          <w:color w:val="000000"/>
          <w:kern w:val="0"/>
          <w:sz w:val="24"/>
          <w:szCs w:val="24"/>
          <w:vertAlign w:val="superscript"/>
          <w:lang w:val="en-US" w:eastAsia="zh-CN" w:bidi="ar"/>
        </w:rPr>
        <w:t>14]</w:t>
      </w:r>
      <w:r>
        <w:rPr>
          <w:rFonts w:hint="default" w:ascii="Times New Roman" w:hAnsi="Times New Roman" w:eastAsia="宋体" w:cs="Times New Roman"/>
          <w:color w:val="000000"/>
          <w:kern w:val="0"/>
          <w:sz w:val="24"/>
          <w:szCs w:val="24"/>
          <w:lang w:val="en-US" w:eastAsia="zh-CN" w:bidi="ar"/>
        </w:rPr>
        <w:t xml:space="preserve">. Second, current </w:t>
      </w:r>
      <w:r>
        <w:rPr>
          <w:rFonts w:hint="eastAsia" w:ascii="Times New Roman" w:hAnsi="Times New Roman" w:eastAsia="宋体" w:cs="Times New Roman"/>
          <w:color w:val="000000"/>
          <w:kern w:val="0"/>
          <w:sz w:val="24"/>
          <w:szCs w:val="24"/>
          <w:lang w:val="en-US" w:eastAsia="zh-CN" w:bidi="ar"/>
        </w:rPr>
        <w:t>LLM</w:t>
      </w:r>
      <w:r>
        <w:rPr>
          <w:rFonts w:hint="default" w:ascii="Times New Roman" w:hAnsi="Times New Roman" w:eastAsia="宋体" w:cs="Times New Roman"/>
          <w:color w:val="000000"/>
          <w:kern w:val="0"/>
          <w:sz w:val="24"/>
          <w:szCs w:val="24"/>
          <w:lang w:val="en-US" w:eastAsia="zh-CN" w:bidi="ar"/>
        </w:rPr>
        <w:t xml:space="preserve"> are essentially data-driven probabilistic models; they struggle to fully replicate the inherent TCM reasoning patterns</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such as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analogical association</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(qu</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lei bi</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 xml:space="preserve">xiang) and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inferring internal conditions from external manifestations</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(si</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wai c</w:t>
      </w:r>
      <w:r>
        <w:rPr>
          <w:rFonts w:hint="eastAsia" w:ascii="Times New Roman" w:hAnsi="Times New Roman" w:eastAsia="宋体" w:cs="Times New Roman"/>
          <w:color w:val="000000"/>
          <w:kern w:val="0"/>
          <w:sz w:val="24"/>
          <w:szCs w:val="24"/>
          <w:lang w:val="en-US" w:eastAsia="zh-CN" w:bidi="ar"/>
        </w:rPr>
        <w:t xml:space="preserve">huai </w:t>
      </w:r>
      <w:r>
        <w:rPr>
          <w:rFonts w:hint="default" w:ascii="Times New Roman" w:hAnsi="Times New Roman" w:eastAsia="宋体" w:cs="Times New Roman"/>
          <w:color w:val="000000"/>
          <w:kern w:val="0"/>
          <w:sz w:val="24"/>
          <w:szCs w:val="24"/>
          <w:lang w:val="en-US" w:eastAsia="zh-CN" w:bidi="ar"/>
        </w:rPr>
        <w:t>nei)</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and to faithfully reproduce the complete diagnostic chain of renowned TCM practitioners. When faced with complex conditions involving intertwined symptoms, model outputs often deviate from clinical reality</w:t>
      </w:r>
      <w:r>
        <w:rPr>
          <w:rFonts w:hint="eastAsia" w:ascii="Times New Roman" w:hAnsi="Times New Roman" w:eastAsia="宋体" w:cs="Times New Roman"/>
          <w:color w:val="000000"/>
          <w:kern w:val="0"/>
          <w:sz w:val="24"/>
          <w:szCs w:val="24"/>
          <w:vertAlign w:val="superscript"/>
          <w:lang w:val="en-US" w:eastAsia="zh-CN" w:bidi="ar"/>
        </w:rPr>
        <w:t xml:space="preserve"> [</w:t>
      </w:r>
      <w:r>
        <w:rPr>
          <w:rFonts w:hint="default" w:ascii="Times New Roman" w:hAnsi="Times New Roman" w:eastAsia="宋体" w:cs="Times New Roman"/>
          <w:color w:val="000000"/>
          <w:kern w:val="0"/>
          <w:sz w:val="24"/>
          <w:szCs w:val="24"/>
          <w:vertAlign w:val="superscript"/>
          <w:lang w:val="en-US" w:eastAsia="zh-CN" w:bidi="ar"/>
        </w:rPr>
        <w:t>15]</w:t>
      </w:r>
      <w:r>
        <w:rPr>
          <w:rFonts w:hint="default" w:ascii="Times New Roman" w:hAnsi="Times New Roman" w:eastAsia="宋体" w:cs="Times New Roman"/>
          <w:color w:val="000000"/>
          <w:kern w:val="0"/>
          <w:sz w:val="24"/>
          <w:szCs w:val="24"/>
          <w:lang w:val="en-US" w:eastAsia="zh-CN" w:bidi="ar"/>
        </w:rPr>
        <w:t>. Third, the "black-box" nature of LLMs undermines explainability: clinicians cannot easily trace how a model integrates patient symptoms with the practitioner's logic, eroding clinical trust—a critical barrier to the adoption of AI-based decision support in clinical workflows</w:t>
      </w:r>
      <w:r>
        <w:rPr>
          <w:rFonts w:hint="eastAsia" w:ascii="Times New Roman" w:hAnsi="Times New Roman" w:eastAsia="宋体" w:cs="Times New Roman"/>
          <w:color w:val="000000"/>
          <w:kern w:val="0"/>
          <w:sz w:val="24"/>
          <w:szCs w:val="24"/>
          <w:vertAlign w:val="superscript"/>
          <w:lang w:val="en-US" w:eastAsia="zh-CN" w:bidi="ar"/>
        </w:rPr>
        <w:t xml:space="preserve"> [</w:t>
      </w:r>
      <w:r>
        <w:rPr>
          <w:rFonts w:hint="default" w:ascii="Times New Roman" w:hAnsi="Times New Roman" w:eastAsia="宋体" w:cs="Times New Roman"/>
          <w:color w:val="000000"/>
          <w:kern w:val="0"/>
          <w:sz w:val="24"/>
          <w:szCs w:val="24"/>
          <w:vertAlign w:val="superscript"/>
          <w:lang w:val="en-US" w:eastAsia="zh-CN" w:bidi="ar"/>
        </w:rPr>
        <w:t>16]</w:t>
      </w:r>
      <w:r>
        <w:rPr>
          <w:rFonts w:hint="default" w:ascii="Times New Roman" w:hAnsi="Times New Roman" w:eastAsia="宋体" w:cs="Times New Roman"/>
          <w:color w:val="000000"/>
          <w:kern w:val="0"/>
          <w:sz w:val="24"/>
          <w:szCs w:val="24"/>
          <w:lang w:val="en-US" w:eastAsia="zh-CN" w:bidi="ar"/>
        </w:rPr>
        <w:t>. Fourth, the degree of integration with clinical workflows remains low, and most models only output plain text without any visual or interactive features. In response, researchers have explored various solutions. For data-related challenges, knowledge distillation using teacher models such as GPT-4o has been employed to construct high-quality instruction datasets</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vertAlign w:val="superscript"/>
          <w:lang w:val="en-US" w:eastAsia="zh-CN" w:bidi="ar"/>
        </w:rPr>
        <w:t>[17]</w:t>
      </w:r>
      <w:r>
        <w:rPr>
          <w:rFonts w:hint="default" w:ascii="Times New Roman" w:hAnsi="Times New Roman" w:eastAsia="宋体" w:cs="Times New Roman"/>
          <w:color w:val="000000"/>
          <w:kern w:val="0"/>
          <w:sz w:val="24"/>
          <w:szCs w:val="24"/>
          <w:lang w:val="en-US" w:eastAsia="zh-CN" w:bidi="ar"/>
        </w:rPr>
        <w:t xml:space="preserve">, and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human-AI collaboration–knowledge iteration</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frameworks have been proposed for the integration of multimodal data</w:t>
      </w:r>
      <w:r>
        <w:rPr>
          <w:rFonts w:hint="eastAsia" w:ascii="Times New Roman" w:hAnsi="Times New Roman" w:eastAsia="宋体" w:cs="Times New Roman"/>
          <w:color w:val="000000"/>
          <w:kern w:val="0"/>
          <w:sz w:val="24"/>
          <w:szCs w:val="24"/>
          <w:vertAlign w:val="superscript"/>
          <w:lang w:val="en-US" w:eastAsia="zh-CN" w:bidi="ar"/>
        </w:rPr>
        <w:t xml:space="preserve"> [</w:t>
      </w:r>
      <w:r>
        <w:rPr>
          <w:rFonts w:hint="default" w:ascii="Times New Roman" w:hAnsi="Times New Roman" w:eastAsia="宋体" w:cs="Times New Roman"/>
          <w:color w:val="000000"/>
          <w:kern w:val="0"/>
          <w:sz w:val="24"/>
          <w:szCs w:val="24"/>
          <w:vertAlign w:val="superscript"/>
          <w:lang w:val="en-US" w:eastAsia="zh-CN" w:bidi="ar"/>
        </w:rPr>
        <w:t>18]</w:t>
      </w:r>
      <w:r>
        <w:rPr>
          <w:rFonts w:hint="default" w:ascii="Times New Roman" w:hAnsi="Times New Roman" w:eastAsia="宋体" w:cs="Times New Roman"/>
          <w:color w:val="000000"/>
          <w:kern w:val="0"/>
          <w:sz w:val="24"/>
          <w:szCs w:val="24"/>
          <w:lang w:val="en-US" w:eastAsia="zh-CN" w:bidi="ar"/>
        </w:rPr>
        <w:t>. For technical paradigms, methods incorporating importance-sampling multi-graph convolution, chain-of-thought (CoT) injection via instruction fine-tuning, and syndrome-feature state-space modeling have been developed to better embed TCM reasoning</w:t>
      </w:r>
      <w:r>
        <w:rPr>
          <w:rFonts w:hint="eastAsia" w:ascii="Times New Roman" w:hAnsi="Times New Roman" w:eastAsia="宋体" w:cs="Times New Roman"/>
          <w:color w:val="000000"/>
          <w:kern w:val="0"/>
          <w:sz w:val="24"/>
          <w:szCs w:val="24"/>
          <w:vertAlign w:val="superscript"/>
          <w:lang w:val="en-US" w:eastAsia="zh-CN" w:bidi="ar"/>
        </w:rPr>
        <w:t xml:space="preserve"> [</w:t>
      </w:r>
      <w:r>
        <w:rPr>
          <w:rFonts w:hint="default" w:ascii="Times New Roman" w:hAnsi="Times New Roman" w:eastAsia="宋体" w:cs="Times New Roman"/>
          <w:color w:val="000000"/>
          <w:kern w:val="0"/>
          <w:sz w:val="24"/>
          <w:szCs w:val="24"/>
          <w:vertAlign w:val="superscript"/>
          <w:lang w:val="en-US" w:eastAsia="zh-CN" w:bidi="ar"/>
        </w:rPr>
        <w:t>19–21]</w:t>
      </w:r>
      <w:r>
        <w:rPr>
          <w:rFonts w:hint="default" w:ascii="Times New Roman" w:hAnsi="Times New Roman" w:eastAsia="宋体" w:cs="Times New Roman"/>
          <w:color w:val="000000"/>
          <w:kern w:val="0"/>
          <w:sz w:val="24"/>
          <w:szCs w:val="24"/>
          <w:lang w:val="en-US" w:eastAsia="zh-CN" w:bidi="ar"/>
        </w:rPr>
        <w:t>. For explainability</w:t>
      </w:r>
      <w:r>
        <w:rPr>
          <w:rFonts w:hint="eastAsia" w:ascii="Times New Roman" w:hAnsi="Times New Roman" w:eastAsia="宋体" w:cs="Times New Roman"/>
          <w:color w:val="000000"/>
          <w:kern w:val="0"/>
          <w:sz w:val="24"/>
          <w:szCs w:val="24"/>
          <w:lang w:val="en-US" w:eastAsia="zh-CN" w:bidi="ar"/>
        </w:rPr>
        <w:t xml:space="preserve"> enhancement</w:t>
      </w:r>
      <w:r>
        <w:rPr>
          <w:rFonts w:hint="default" w:ascii="Times New Roman" w:hAnsi="Times New Roman" w:eastAsia="宋体" w:cs="Times New Roman"/>
          <w:color w:val="000000"/>
          <w:kern w:val="0"/>
          <w:sz w:val="24"/>
          <w:szCs w:val="24"/>
          <w:lang w:val="en-US" w:eastAsia="zh-CN" w:bidi="ar"/>
        </w:rPr>
        <w:t>, prompt engineering combined with external knowledge graphs</w:t>
      </w:r>
      <w:r>
        <w:rPr>
          <w:rFonts w:hint="eastAsia" w:ascii="Times New Roman" w:hAnsi="Times New Roman" w:eastAsia="宋体" w:cs="Times New Roman"/>
          <w:color w:val="000000"/>
          <w:kern w:val="0"/>
          <w:sz w:val="24"/>
          <w:szCs w:val="24"/>
          <w:vertAlign w:val="superscript"/>
          <w:lang w:val="en-US" w:eastAsia="zh-CN" w:bidi="ar"/>
        </w:rPr>
        <w:t xml:space="preserve"> [</w:t>
      </w:r>
      <w:r>
        <w:rPr>
          <w:rFonts w:hint="default" w:ascii="Times New Roman" w:hAnsi="Times New Roman" w:eastAsia="宋体" w:cs="Times New Roman"/>
          <w:color w:val="000000"/>
          <w:kern w:val="0"/>
          <w:sz w:val="24"/>
          <w:szCs w:val="24"/>
          <w:vertAlign w:val="superscript"/>
          <w:lang w:val="en-US" w:eastAsia="zh-CN" w:bidi="ar"/>
        </w:rPr>
        <w:t>22]</w:t>
      </w:r>
      <w:r>
        <w:rPr>
          <w:rFonts w:hint="default" w:ascii="Times New Roman" w:hAnsi="Times New Roman" w:eastAsia="宋体" w:cs="Times New Roman"/>
          <w:color w:val="000000"/>
          <w:kern w:val="0"/>
          <w:sz w:val="24"/>
          <w:szCs w:val="24"/>
          <w:lang w:val="en-US" w:eastAsia="zh-CN" w:bidi="ar"/>
        </w:rPr>
        <w:t xml:space="preserve"> and graph attention networks with interpretable metrics</w:t>
      </w:r>
      <w:r>
        <w:rPr>
          <w:rFonts w:hint="eastAsia" w:ascii="Times New Roman" w:hAnsi="Times New Roman" w:eastAsia="宋体" w:cs="Times New Roman"/>
          <w:color w:val="000000"/>
          <w:kern w:val="0"/>
          <w:sz w:val="24"/>
          <w:szCs w:val="24"/>
          <w:vertAlign w:val="superscript"/>
          <w:lang w:val="en-US" w:eastAsia="zh-CN" w:bidi="ar"/>
        </w:rPr>
        <w:t xml:space="preserve"> [</w:t>
      </w:r>
      <w:r>
        <w:rPr>
          <w:rFonts w:hint="default" w:ascii="Times New Roman" w:hAnsi="Times New Roman" w:eastAsia="宋体" w:cs="Times New Roman"/>
          <w:color w:val="000000"/>
          <w:kern w:val="0"/>
          <w:sz w:val="24"/>
          <w:szCs w:val="24"/>
          <w:vertAlign w:val="superscript"/>
          <w:lang w:val="en-US" w:eastAsia="zh-CN" w:bidi="ar"/>
        </w:rPr>
        <w:t>23]</w:t>
      </w:r>
      <w:r>
        <w:rPr>
          <w:rFonts w:hint="default" w:ascii="Times New Roman" w:hAnsi="Times New Roman" w:eastAsia="宋体" w:cs="Times New Roman"/>
          <w:color w:val="000000"/>
          <w:kern w:val="0"/>
          <w:sz w:val="24"/>
          <w:szCs w:val="24"/>
          <w:lang w:val="en-US" w:eastAsia="zh-CN" w:bidi="ar"/>
        </w:rPr>
        <w:t xml:space="preserve"> have shown promise. For clinical deployment, visualization tools and CoT-based traceable paths have been designed to assist clinicians in understanding model outputs</w:t>
      </w:r>
      <w:r>
        <w:rPr>
          <w:rFonts w:hint="eastAsia" w:ascii="Times New Roman" w:hAnsi="Times New Roman" w:eastAsia="宋体" w:cs="Times New Roman"/>
          <w:color w:val="000000"/>
          <w:kern w:val="0"/>
          <w:sz w:val="24"/>
          <w:szCs w:val="24"/>
          <w:vertAlign w:val="superscript"/>
          <w:lang w:val="en-US" w:eastAsia="zh-CN" w:bidi="ar"/>
        </w:rPr>
        <w:t xml:space="preserve"> [</w:t>
      </w:r>
      <w:r>
        <w:rPr>
          <w:rFonts w:hint="default" w:ascii="Times New Roman" w:hAnsi="Times New Roman" w:eastAsia="宋体" w:cs="Times New Roman"/>
          <w:color w:val="000000"/>
          <w:kern w:val="0"/>
          <w:sz w:val="24"/>
          <w:szCs w:val="24"/>
          <w:vertAlign w:val="superscript"/>
          <w:lang w:val="en-US" w:eastAsia="zh-CN" w:bidi="ar"/>
        </w:rPr>
        <w:t>24]</w:t>
      </w:r>
      <w:r>
        <w:rPr>
          <w:rFonts w:hint="default" w:ascii="Times New Roman" w:hAnsi="Times New Roman" w:eastAsia="宋体" w:cs="Times New Roman"/>
          <w:color w:val="000000"/>
          <w:kern w:val="0"/>
          <w:sz w:val="24"/>
          <w:szCs w:val="24"/>
          <w:lang w:val="en-US" w:eastAsia="zh-CN" w:bidi="ar"/>
        </w:rPr>
        <w:t>.</w:t>
      </w:r>
    </w:p>
    <w:p w14:paraId="5B6A3306">
      <w:pPr>
        <w:pStyle w:val="10"/>
        <w:keepNext w:val="0"/>
        <w:keepLines w:val="0"/>
        <w:widowControl/>
        <w:suppressLineNumbers w:val="0"/>
        <w:shd w:val="clear" w:fill="FFFFFF"/>
        <w:spacing w:before="160" w:beforeAutospacing="0" w:after="160" w:afterAutospacing="0" w:line="480" w:lineRule="auto"/>
        <w:ind w:left="0" w:right="0" w:firstLine="240" w:firstLineChars="100"/>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A core bottleneck thus remains: how to further push the boundaries of existing model construction methods so that models can deeply embed the theoretical knowledge and accurately fit the diagnostic reasoning of </w:t>
      </w:r>
      <w:r>
        <w:rPr>
          <w:rFonts w:hint="eastAsia" w:ascii="Times New Roman" w:hAnsi="Times New Roman" w:eastAsia="宋体" w:cs="Times New Roman"/>
          <w:color w:val="000000"/>
          <w:kern w:val="0"/>
          <w:sz w:val="24"/>
          <w:szCs w:val="24"/>
          <w:lang w:val="en-US" w:eastAsia="zh-CN" w:bidi="ar"/>
        </w:rPr>
        <w:t>renowned</w:t>
      </w:r>
      <w:r>
        <w:rPr>
          <w:rFonts w:hint="default" w:ascii="Times New Roman" w:hAnsi="Times New Roman" w:eastAsia="宋体" w:cs="Times New Roman"/>
          <w:color w:val="000000"/>
          <w:kern w:val="0"/>
          <w:sz w:val="24"/>
          <w:szCs w:val="24"/>
          <w:lang w:val="en-US" w:eastAsia="zh-CN" w:bidi="ar"/>
        </w:rPr>
        <w:t xml:space="preserve"> TCM practitioners, especially under the dual pressures of rapid AI evolution and the urgent need for inheritance. One promising domain for addressing this bottleneck is Bi syndrome (impediment disease), a TCM</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dominant condition</w:t>
      </w:r>
      <w:r>
        <w:rPr>
          <w:rFonts w:hint="eastAsia" w:ascii="Times New Roman" w:hAnsi="Times New Roman" w:eastAsia="宋体" w:cs="Times New Roman"/>
          <w:color w:val="000000"/>
          <w:kern w:val="0"/>
          <w:sz w:val="24"/>
          <w:szCs w:val="24"/>
          <w:vertAlign w:val="superscript"/>
          <w:lang w:val="en-US" w:eastAsia="zh-CN" w:bidi="ar"/>
        </w:rPr>
        <w:t xml:space="preserve"> [</w:t>
      </w:r>
      <w:r>
        <w:rPr>
          <w:rFonts w:hint="default" w:ascii="Times New Roman" w:hAnsi="Times New Roman" w:eastAsia="宋体" w:cs="Times New Roman"/>
          <w:color w:val="000000"/>
          <w:kern w:val="0"/>
          <w:sz w:val="24"/>
          <w:szCs w:val="24"/>
          <w:vertAlign w:val="superscript"/>
          <w:lang w:val="en-US" w:eastAsia="zh-CN" w:bidi="ar"/>
        </w:rPr>
        <w:t>2</w:t>
      </w:r>
      <w:r>
        <w:rPr>
          <w:rFonts w:hint="eastAsia" w:ascii="Times New Roman" w:hAnsi="Times New Roman" w:eastAsia="宋体" w:cs="Times New Roman"/>
          <w:color w:val="000000"/>
          <w:kern w:val="0"/>
          <w:sz w:val="24"/>
          <w:szCs w:val="24"/>
          <w:vertAlign w:val="superscript"/>
          <w:lang w:val="en-US" w:eastAsia="zh-CN" w:bidi="ar"/>
        </w:rPr>
        <w:t>5</w:t>
      </w:r>
      <w:r>
        <w:rPr>
          <w:rFonts w:hint="default" w:ascii="Times New Roman" w:hAnsi="Times New Roman" w:eastAsia="宋体" w:cs="Times New Roman"/>
          <w:color w:val="000000"/>
          <w:kern w:val="0"/>
          <w:sz w:val="24"/>
          <w:szCs w:val="24"/>
          <w:vertAlign w:val="superscript"/>
          <w:lang w:val="en-US" w:eastAsia="zh-CN" w:bidi="ar"/>
        </w:rPr>
        <w:t>]</w:t>
      </w:r>
      <w:r>
        <w:rPr>
          <w:rFonts w:hint="default" w:ascii="Times New Roman" w:hAnsi="Times New Roman" w:eastAsia="宋体" w:cs="Times New Roman"/>
          <w:color w:val="000000"/>
          <w:kern w:val="0"/>
          <w:sz w:val="24"/>
          <w:szCs w:val="24"/>
          <w:lang w:val="en-US" w:eastAsia="zh-CN" w:bidi="ar"/>
        </w:rPr>
        <w:t>. Bi syndrome encompasses rheumatoid arthritis, osteoarthritis, and ankylosing spondylitis</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disorders that pose a serious public health burden in China due to high patient numbers, high disability rates, and a shortage of specialists</w:t>
      </w:r>
      <w:r>
        <w:rPr>
          <w:rFonts w:hint="eastAsia" w:ascii="Times New Roman" w:hAnsi="Times New Roman" w:eastAsia="宋体" w:cs="Times New Roman"/>
          <w:color w:val="000000"/>
          <w:kern w:val="0"/>
          <w:sz w:val="24"/>
          <w:szCs w:val="24"/>
          <w:vertAlign w:val="superscript"/>
          <w:lang w:val="en-US" w:eastAsia="zh-CN" w:bidi="ar"/>
        </w:rPr>
        <w:t xml:space="preserve"> [</w:t>
      </w:r>
      <w:r>
        <w:rPr>
          <w:rFonts w:hint="default" w:ascii="Times New Roman" w:hAnsi="Times New Roman" w:eastAsia="宋体" w:cs="Times New Roman"/>
          <w:color w:val="000000"/>
          <w:kern w:val="0"/>
          <w:sz w:val="24"/>
          <w:szCs w:val="24"/>
          <w:vertAlign w:val="superscript"/>
          <w:lang w:val="en-US" w:eastAsia="zh-CN" w:bidi="ar"/>
        </w:rPr>
        <w:t>2</w:t>
      </w:r>
      <w:r>
        <w:rPr>
          <w:rFonts w:hint="eastAsia" w:ascii="Times New Roman" w:hAnsi="Times New Roman" w:eastAsia="宋体" w:cs="Times New Roman"/>
          <w:color w:val="000000"/>
          <w:kern w:val="0"/>
          <w:sz w:val="24"/>
          <w:szCs w:val="24"/>
          <w:vertAlign w:val="superscript"/>
          <w:lang w:val="en-US" w:eastAsia="zh-CN" w:bidi="ar"/>
        </w:rPr>
        <w:t>6</w:t>
      </w:r>
      <w:r>
        <w:rPr>
          <w:rFonts w:hint="default" w:ascii="Times New Roman" w:hAnsi="Times New Roman" w:eastAsia="宋体" w:cs="Times New Roman"/>
          <w:color w:val="000000"/>
          <w:kern w:val="0"/>
          <w:sz w:val="24"/>
          <w:szCs w:val="24"/>
          <w:vertAlign w:val="superscript"/>
          <w:lang w:val="en-US" w:eastAsia="zh-CN" w:bidi="ar"/>
        </w:rPr>
        <w:t>–</w:t>
      </w:r>
      <w:r>
        <w:rPr>
          <w:rFonts w:hint="eastAsia" w:ascii="Times New Roman" w:hAnsi="Times New Roman" w:eastAsia="宋体" w:cs="Times New Roman"/>
          <w:color w:val="000000"/>
          <w:kern w:val="0"/>
          <w:sz w:val="24"/>
          <w:szCs w:val="24"/>
          <w:vertAlign w:val="superscript"/>
          <w:lang w:val="en-US" w:eastAsia="zh-CN" w:bidi="ar"/>
        </w:rPr>
        <w:t>29</w:t>
      </w:r>
      <w:r>
        <w:rPr>
          <w:rFonts w:hint="default" w:ascii="Times New Roman" w:hAnsi="Times New Roman" w:eastAsia="宋体" w:cs="Times New Roman"/>
          <w:color w:val="000000"/>
          <w:kern w:val="0"/>
          <w:sz w:val="24"/>
          <w:szCs w:val="24"/>
          <w:vertAlign w:val="superscript"/>
          <w:lang w:val="en-US" w:eastAsia="zh-CN" w:bidi="ar"/>
        </w:rPr>
        <w:t>]</w:t>
      </w:r>
      <w:r>
        <w:rPr>
          <w:rFonts w:hint="default" w:ascii="Times New Roman" w:hAnsi="Times New Roman" w:eastAsia="宋体" w:cs="Times New Roman"/>
          <w:color w:val="000000"/>
          <w:kern w:val="0"/>
          <w:sz w:val="24"/>
          <w:szCs w:val="24"/>
          <w:lang w:val="en-US" w:eastAsia="zh-CN" w:bidi="ar"/>
        </w:rPr>
        <w:t xml:space="preserve">. Its clinical diagnosis and treatment exemplify the nonlinear, multi-level, dynamic, and personalized pattern differentiation process of </w:t>
      </w:r>
      <w:r>
        <w:rPr>
          <w:rFonts w:hint="eastAsia" w:ascii="Times New Roman" w:hAnsi="Times New Roman" w:eastAsia="宋体" w:cs="Times New Roman"/>
          <w:color w:val="000000"/>
          <w:kern w:val="0"/>
          <w:sz w:val="24"/>
          <w:szCs w:val="24"/>
          <w:lang w:val="en-US" w:eastAsia="zh-CN" w:bidi="ar"/>
        </w:rPr>
        <w:t>renowned TCM practitioners</w:t>
      </w:r>
      <w:r>
        <w:rPr>
          <w:rFonts w:hint="default" w:ascii="Times New Roman" w:hAnsi="Times New Roman" w:eastAsia="宋体" w:cs="Times New Roman"/>
          <w:color w:val="000000"/>
          <w:kern w:val="0"/>
          <w:sz w:val="24"/>
          <w:szCs w:val="24"/>
          <w:lang w:val="en-US" w:eastAsia="zh-CN" w:bidi="ar"/>
        </w:rPr>
        <w:t xml:space="preserve">, making it an ideal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replication specimen</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for building prescription recommendation models. Although preliminary models for Bi syndrome exist</w:t>
      </w:r>
      <w:r>
        <w:rPr>
          <w:rFonts w:hint="eastAsia" w:ascii="Times New Roman" w:hAnsi="Times New Roman" w:eastAsia="宋体" w:cs="Times New Roman"/>
          <w:color w:val="000000"/>
          <w:kern w:val="0"/>
          <w:sz w:val="24"/>
          <w:szCs w:val="24"/>
          <w:vertAlign w:val="superscript"/>
          <w:lang w:val="en-US" w:eastAsia="zh-CN" w:bidi="ar"/>
        </w:rPr>
        <w:t xml:space="preserve"> [</w:t>
      </w:r>
      <w:r>
        <w:rPr>
          <w:rFonts w:hint="default" w:ascii="Times New Roman" w:hAnsi="Times New Roman" w:eastAsia="宋体" w:cs="Times New Roman"/>
          <w:color w:val="000000"/>
          <w:kern w:val="0"/>
          <w:sz w:val="24"/>
          <w:szCs w:val="24"/>
          <w:vertAlign w:val="superscript"/>
          <w:lang w:val="en-US" w:eastAsia="zh-CN" w:bidi="ar"/>
        </w:rPr>
        <w:t>3</w:t>
      </w:r>
      <w:r>
        <w:rPr>
          <w:rFonts w:hint="eastAsia" w:ascii="Times New Roman" w:hAnsi="Times New Roman" w:eastAsia="宋体" w:cs="Times New Roman"/>
          <w:color w:val="000000"/>
          <w:kern w:val="0"/>
          <w:sz w:val="24"/>
          <w:szCs w:val="24"/>
          <w:vertAlign w:val="superscript"/>
          <w:lang w:val="en-US" w:eastAsia="zh-CN" w:bidi="ar"/>
        </w:rPr>
        <w:t>0</w:t>
      </w:r>
      <w:r>
        <w:rPr>
          <w:rFonts w:hint="default" w:ascii="Times New Roman" w:hAnsi="Times New Roman" w:eastAsia="宋体" w:cs="Times New Roman"/>
          <w:color w:val="000000"/>
          <w:kern w:val="0"/>
          <w:sz w:val="24"/>
          <w:szCs w:val="24"/>
          <w:vertAlign w:val="superscript"/>
          <w:lang w:val="en-US" w:eastAsia="zh-CN" w:bidi="ar"/>
        </w:rPr>
        <w:t>]</w:t>
      </w:r>
      <w:r>
        <w:rPr>
          <w:rFonts w:hint="default" w:ascii="Times New Roman" w:hAnsi="Times New Roman" w:eastAsia="宋体" w:cs="Times New Roman"/>
          <w:color w:val="000000"/>
          <w:kern w:val="0"/>
          <w:sz w:val="24"/>
          <w:szCs w:val="24"/>
          <w:lang w:val="en-US" w:eastAsia="zh-CN" w:bidi="ar"/>
        </w:rPr>
        <w:t xml:space="preserve">, they suffer from the same limitations of poor reasoning transparency and low explainability. Professor Wu Zhongchao, a nationally renowned </w:t>
      </w:r>
      <w:r>
        <w:rPr>
          <w:rFonts w:hint="eastAsia" w:ascii="Times New Roman" w:hAnsi="Times New Roman" w:eastAsia="宋体" w:cs="Times New Roman"/>
          <w:color w:val="000000"/>
          <w:kern w:val="0"/>
          <w:sz w:val="24"/>
          <w:szCs w:val="24"/>
          <w:lang w:val="en-US" w:eastAsia="zh-CN" w:bidi="ar"/>
        </w:rPr>
        <w:t xml:space="preserve">renowned </w:t>
      </w:r>
      <w:r>
        <w:rPr>
          <w:rFonts w:hint="default" w:ascii="Times New Roman" w:hAnsi="Times New Roman" w:eastAsia="宋体" w:cs="Times New Roman"/>
          <w:color w:val="000000"/>
          <w:kern w:val="0"/>
          <w:sz w:val="24"/>
          <w:szCs w:val="24"/>
          <w:lang w:val="en-US" w:eastAsia="zh-CN" w:bidi="ar"/>
        </w:rPr>
        <w:t>TCM practitioner, has devoted decades to the treatment of Bi syndrome and has established a unique academic system and mature prescription patterns. His approach emphasizes multi-state integration and multi-level pattern differentiation, reflecting a complete cognitive chain from symptom perception to pathogenesis identification to prescription decision-making. This provides an ideal research foundation.</w:t>
      </w:r>
    </w:p>
    <w:p w14:paraId="1900B34D">
      <w:pPr>
        <w:spacing w:line="480" w:lineRule="auto"/>
        <w:ind w:firstLine="240" w:firstLineChars="100"/>
        <w:rPr>
          <w:rFonts w:hint="default" w:ascii="宋体" w:hAnsi="宋体" w:eastAsia="宋体" w:cs="宋体"/>
          <w:b/>
          <w:bCs/>
          <w:sz w:val="24"/>
          <w:szCs w:val="24"/>
          <w:lang w:val="en-US" w:eastAsia="zh-CN"/>
        </w:rPr>
      </w:pPr>
      <w:r>
        <w:rPr>
          <w:rFonts w:hint="default" w:ascii="Times New Roman" w:hAnsi="Times New Roman" w:eastAsia="宋体" w:cs="Times New Roman"/>
          <w:i w:val="0"/>
          <w:iCs w:val="0"/>
          <w:color w:val="000000"/>
          <w:kern w:val="0"/>
          <w:sz w:val="24"/>
          <w:szCs w:val="24"/>
          <w:lang w:val="en-US" w:eastAsia="zh-CN" w:bidi="ar"/>
        </w:rPr>
        <w:t>To address the challenge of fully replicating the multi-level decision-making process of "pattern differentiation and treatment" for the purpose of clinical decision support, this study takes Professor Wu Zhongchao's diagnosis and treatment of Bi syndrome as a case study and proposes a novel explainable prescription recommendation framework integrating multi-agent collaboration techniques. The framework systematically models the practitioners' clinical reasoning process, aiming to provide transparent, traceable, and expert-aligned prescription recommendations to support clinicians in their decision-making. Specifically, we construct a multi-agent collaboration-driven TCM prescription recommendation model—MAC-TCMRx—which decomposes complex clinical decision-making into three subtasks: identifying the main pattern, analyzing the pathogenesis, and determining the prescription. This study provides a practical technical solution for developing explainable, expert-aligned AI models for TCM clinical decision support and offers a reference for optimizing model construction methodologies in this field.</w:t>
      </w:r>
    </w:p>
    <w:p w14:paraId="05DEBE09">
      <w:pPr>
        <w:spacing w:line="480" w:lineRule="auto"/>
        <w:rPr>
          <w:rStyle w:val="14"/>
          <w:rFonts w:hint="default" w:ascii="Segoe UI" w:hAnsi="Segoe UI" w:eastAsia="Segoe UI" w:cs="Segoe UI"/>
          <w:bCs/>
          <w:i w:val="0"/>
          <w:iCs w:val="0"/>
          <w:caps w:val="0"/>
          <w:color w:val="0F1115"/>
          <w:spacing w:val="0"/>
          <w:kern w:val="0"/>
          <w:sz w:val="24"/>
          <w:szCs w:val="24"/>
          <w:shd w:val="clear" w:fill="FFFFFF"/>
          <w:lang w:val="en-US" w:eastAsia="zh-CN" w:bidi="ar"/>
        </w:rPr>
      </w:pPr>
      <w:r>
        <w:rPr>
          <w:rStyle w:val="14"/>
          <w:rFonts w:hint="default" w:ascii="Segoe UI" w:hAnsi="Segoe UI" w:eastAsia="Segoe UI" w:cs="Segoe UI"/>
          <w:bCs/>
          <w:i w:val="0"/>
          <w:iCs w:val="0"/>
          <w:caps w:val="0"/>
          <w:color w:val="0F1115"/>
          <w:spacing w:val="0"/>
          <w:kern w:val="0"/>
          <w:sz w:val="24"/>
          <w:szCs w:val="24"/>
          <w:shd w:val="clear" w:fill="FFFFFF"/>
          <w:lang w:val="en-US" w:eastAsia="zh-CN" w:bidi="ar"/>
        </w:rPr>
        <w:t xml:space="preserve">Methods </w:t>
      </w:r>
    </w:p>
    <w:p w14:paraId="2A8D6B28">
      <w:pPr>
        <w:spacing w:line="480" w:lineRule="auto"/>
        <w:rPr>
          <w:rFonts w:hint="default" w:ascii="宋体" w:hAnsi="宋体" w:eastAsia="宋体" w:cs="宋体"/>
          <w:b/>
          <w:bCs/>
          <w:kern w:val="2"/>
          <w:sz w:val="23"/>
          <w:szCs w:val="23"/>
          <w:lang w:val="en-US" w:eastAsia="zh-CN" w:bidi="ar-SA"/>
        </w:rPr>
      </w:pPr>
      <w:r>
        <w:rPr>
          <w:rStyle w:val="14"/>
          <w:rFonts w:hint="default" w:ascii="Segoe UI" w:hAnsi="Segoe UI" w:eastAsia="Segoe UI" w:cs="Segoe UI"/>
          <w:b/>
          <w:bCs/>
          <w:i w:val="0"/>
          <w:iCs w:val="0"/>
          <w:caps w:val="0"/>
          <w:color w:val="0F1115"/>
          <w:spacing w:val="0"/>
          <w:kern w:val="0"/>
          <w:sz w:val="23"/>
          <w:szCs w:val="23"/>
          <w:shd w:val="clear" w:fill="FFFFFF"/>
          <w:lang w:val="en-US" w:eastAsia="zh-CN" w:bidi="ar"/>
        </w:rPr>
        <w:t>Decomposition of the pattern differentiation and treatment decision process</w:t>
      </w:r>
    </w:p>
    <w:p w14:paraId="171EC636">
      <w:pPr>
        <w:pStyle w:val="10"/>
        <w:keepNext w:val="0"/>
        <w:keepLines w:val="0"/>
        <w:widowControl/>
        <w:suppressLineNumbers w:val="0"/>
        <w:shd w:val="clear" w:fill="FFFFFF"/>
        <w:spacing w:before="160" w:beforeAutospacing="0" w:after="160" w:afterAutospacing="0" w:line="480" w:lineRule="auto"/>
        <w:ind w:right="0"/>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Based on multi-source data from renowned TCM practitioner, including clinical records, academic monographs, journal articles, and lecture audio/video materials, we employed a human</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computer collaborative approach using data mining techniques such as association rule mining, cluster analysis, complex network analysis, and feature selection. These methods were used to uncover latent association patterns among factors including diseases, symptoms, pattern elements, formulas, herbs, dosages, acupoints, and needling techniques, and to identify core nodes, inter</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node relationships, and modular network structures within the pattern differentiation and treatment process. Cognitive science methods</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including cognitive task analysis, in</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depth interviews, and think</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aloud protocols</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were applied to deeply analyze the key decision-making steps, diagnostic pathways, and reasoning frameworks in Professor Wu Zhongchao</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s pattern differentiation and treatment of Bi syndrome. This allowed us to systematically deconstruct the sequential and combinatorial relationships of task steps in the decision process and to clarify the dynamic co</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evolution and information flow among tasks. Detailed descriptions can be found in our previously published work. Building on the above foundation, the present study constructs a TCM prescription </w:t>
      </w:r>
      <w:r>
        <w:rPr>
          <w:rFonts w:hint="eastAsia" w:ascii="Times New Roman" w:hAnsi="Times New Roman" w:eastAsia="宋体" w:cs="Times New Roman"/>
          <w:color w:val="000000"/>
          <w:kern w:val="0"/>
          <w:sz w:val="24"/>
          <w:szCs w:val="24"/>
          <w:lang w:val="en-US" w:eastAsia="zh-CN" w:bidi="ar"/>
        </w:rPr>
        <w:t>r</w:t>
      </w:r>
      <w:r>
        <w:rPr>
          <w:rFonts w:hint="default" w:ascii="Times New Roman" w:hAnsi="Times New Roman" w:eastAsia="宋体" w:cs="Times New Roman"/>
          <w:color w:val="000000"/>
          <w:kern w:val="0"/>
          <w:sz w:val="24"/>
          <w:szCs w:val="24"/>
          <w:lang w:val="en-US" w:eastAsia="zh-CN" w:bidi="ar"/>
        </w:rPr>
        <w:t xml:space="preserve">ecommendation model that systematically simulates the complete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pattern differentiation and treatment</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decision process of Professor Wu Zhongchao for Bi syndrome. </w:t>
      </w:r>
    </w:p>
    <w:p w14:paraId="470C6A00">
      <w:pPr>
        <w:spacing w:line="480" w:lineRule="auto"/>
        <w:rPr>
          <w:rStyle w:val="14"/>
          <w:rFonts w:hint="default" w:ascii="Segoe UI" w:hAnsi="Segoe UI" w:eastAsia="Segoe UI" w:cs="Segoe UI"/>
          <w:bCs/>
          <w:i w:val="0"/>
          <w:iCs w:val="0"/>
          <w:caps w:val="0"/>
          <w:color w:val="0F1115"/>
          <w:spacing w:val="0"/>
          <w:kern w:val="0"/>
          <w:sz w:val="24"/>
          <w:szCs w:val="24"/>
          <w:shd w:val="clear" w:fill="FFFFFF"/>
          <w:lang w:val="en-US" w:eastAsia="zh-CN" w:bidi="ar"/>
        </w:rPr>
      </w:pPr>
      <w:r>
        <w:rPr>
          <w:rStyle w:val="14"/>
          <w:rFonts w:hint="default" w:ascii="Segoe UI" w:hAnsi="Segoe UI" w:eastAsia="Segoe UI" w:cs="Segoe UI"/>
          <w:bCs/>
          <w:i w:val="0"/>
          <w:iCs w:val="0"/>
          <w:caps w:val="0"/>
          <w:color w:val="0F1115"/>
          <w:spacing w:val="0"/>
          <w:kern w:val="0"/>
          <w:sz w:val="24"/>
          <w:szCs w:val="24"/>
          <w:shd w:val="clear" w:fill="FFFFFF"/>
          <w:lang w:val="en-US" w:eastAsia="zh-CN" w:bidi="ar"/>
        </w:rPr>
        <w:t>Multi-agent setup</w:t>
      </w:r>
    </w:p>
    <w:p w14:paraId="0F4CAFEA">
      <w:pPr>
        <w:pStyle w:val="10"/>
        <w:keepNext w:val="0"/>
        <w:keepLines w:val="0"/>
        <w:widowControl/>
        <w:suppressLineNumbers w:val="0"/>
        <w:shd w:val="clear" w:fill="FFFFFF"/>
        <w:spacing w:before="160" w:beforeAutospacing="0" w:after="160" w:afterAutospacing="0" w:line="480" w:lineRule="auto"/>
        <w:ind w:right="0"/>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Based on the results of the task decomposition of the pattern differentiation and treatment decision process, and taking "pattern differentiation and treatment" as the logical main thread, we decomposed Professor Wu Zhongchao's clinical diagnosis and treatment process for Bi syndrome into three subtasks: identifying the main pattern, analyzing the pathogenesis, and determining the prescription. A multi-agent collaborative architecture was adopted to replicate the full-chain decision process of the renowned TCM practitioner, from patient information collection to prescription generation, ultimately producing an explainable decision pathway. The following sections provide a detailed description of the definition, internal configuration, and collaboration mechanism of each agent.</w:t>
      </w:r>
    </w:p>
    <w:p w14:paraId="6F2EFA99">
      <w:pPr>
        <w:spacing w:line="480" w:lineRule="auto"/>
        <w:rPr>
          <w:rStyle w:val="14"/>
          <w:rFonts w:hint="eastAsia" w:ascii="Segoe UI" w:hAnsi="Segoe UI" w:eastAsia="Segoe UI" w:cs="Segoe UI"/>
          <w:bCs/>
          <w:i w:val="0"/>
          <w:iCs w:val="0"/>
          <w:caps w:val="0"/>
          <w:color w:val="0F1115"/>
          <w:spacing w:val="0"/>
          <w:kern w:val="0"/>
          <w:sz w:val="24"/>
          <w:szCs w:val="24"/>
          <w:shd w:val="clear" w:fill="FFFFFF"/>
          <w:lang w:val="en-US" w:eastAsia="zh-CN" w:bidi="ar"/>
        </w:rPr>
      </w:pPr>
      <w:r>
        <w:rPr>
          <w:rStyle w:val="14"/>
          <w:rFonts w:hint="default" w:ascii="Segoe UI" w:hAnsi="Segoe UI" w:eastAsia="Segoe UI" w:cs="Segoe UI"/>
          <w:bCs/>
          <w:i w:val="0"/>
          <w:iCs w:val="0"/>
          <w:caps w:val="0"/>
          <w:color w:val="0F1115"/>
          <w:spacing w:val="0"/>
          <w:kern w:val="0"/>
          <w:sz w:val="24"/>
          <w:szCs w:val="24"/>
          <w:shd w:val="clear" w:fill="FFFFFF"/>
          <w:lang w:val="en-US" w:eastAsia="zh-CN" w:bidi="ar"/>
        </w:rPr>
        <w:t>Main Symptom Agent (MSA)</w:t>
      </w:r>
    </w:p>
    <w:p w14:paraId="5E222C3D">
      <w:pPr>
        <w:widowControl w:val="0"/>
        <w:spacing w:line="480" w:lineRule="auto"/>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Identifying the main pattern is the starting point of pattern differentiation and treatment. It aims to extract the core symptoms and signs that play a decisive role in disease diagnosis and pathogenesis analysis from the patient's complex chief complaints and information obtained through the four examinations (inspection, auscultation and olfaction, inquiry, and palpation). Professor Wu Zhongchao emphasizes "multi-state integration and precise identification". Identifying the main pattern requires extracting key elements and structuring their expression based on complete information collection. To this end, this study designs the Main Symptom Agent (MSA). Based on the previously systematically organized clinical experience and collection specifications of Professor Wu Zhongchao for identifying the main pattern, a structured prompt template for main symptom identification was constructed. This template transforms Professor Wu's empirical rules—including symptom classification, location matching, nature differentiation, time information extraction, and tongue and pulse data collection—into executable large language model (LLM) instructions, ensuring that the model's output strictly adheres to Professor Wu's clinical reasoning and terminology habits. The core components of the template include role setting (as an academic inheritor of Professor Wu Zhongchao), core instructions (specifying the task objectives and steps for identifying the main pattern), data processing rules (such as chief complaint extraction rules, symptom classification and matching rules, time information extraction rules, and tongue and pulse collection specifications), and strict JSON output format requirements.</w:t>
      </w:r>
    </w:p>
    <w:p w14:paraId="63FCE58A">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Internal setup:</w:t>
      </w:r>
    </w:p>
    <w:p w14:paraId="7359FC60">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1.Input reception: receives the patient's raw text from the four examinations, including unstructured text such as chief complaints, symptom descriptions, tongue presentation, and pulse presentation.</w:t>
      </w:r>
    </w:p>
    <w:p w14:paraId="091DBD79">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2.Template loading: loads the preset main symptom identification prompt template and dynamically fills the received patient's raw four-examination text into the designated positions of the template.</w:t>
      </w:r>
    </w:p>
    <w:p w14:paraId="51B692FA">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3.Model inference: inputs the complete prompt into the base LLM, performs inference generation, and outputs a structured set of main symptoms containing structured fields such as location, nature, duration, and aggravating factors.</w:t>
      </w:r>
    </w:p>
    <w:p w14:paraId="67422041">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4.Quality control: performs format validation and completeness checks on key fields to ensure the standardization and usability of the output data.</w:t>
      </w:r>
    </w:p>
    <w:p w14:paraId="202DA7F2">
      <w:pPr>
        <w:spacing w:line="480" w:lineRule="auto"/>
        <w:rPr>
          <w:rStyle w:val="14"/>
          <w:rFonts w:hint="eastAsia" w:ascii="Segoe UI" w:hAnsi="Segoe UI" w:eastAsia="Segoe UI" w:cs="Segoe UI"/>
          <w:bCs/>
          <w:i w:val="0"/>
          <w:iCs w:val="0"/>
          <w:caps w:val="0"/>
          <w:color w:val="0F1115"/>
          <w:spacing w:val="0"/>
          <w:kern w:val="0"/>
          <w:sz w:val="24"/>
          <w:szCs w:val="24"/>
          <w:shd w:val="clear" w:fill="FFFFFF"/>
          <w:lang w:val="en-US" w:eastAsia="zh-CN" w:bidi="ar"/>
        </w:rPr>
      </w:pPr>
      <w:r>
        <w:rPr>
          <w:rStyle w:val="14"/>
          <w:rFonts w:hint="eastAsia" w:ascii="Segoe UI" w:hAnsi="Segoe UI" w:eastAsia="Segoe UI" w:cs="Segoe UI"/>
          <w:bCs/>
          <w:i w:val="0"/>
          <w:iCs w:val="0"/>
          <w:caps w:val="0"/>
          <w:color w:val="0F1115"/>
          <w:spacing w:val="0"/>
          <w:kern w:val="0"/>
          <w:sz w:val="24"/>
          <w:szCs w:val="24"/>
          <w:shd w:val="clear" w:fill="FFFFFF"/>
          <w:lang w:val="en-US" w:eastAsia="zh-CN" w:bidi="ar"/>
        </w:rPr>
        <w:t>Multi-dimensional Diagnosis Model (MDM)</w:t>
      </w:r>
    </w:p>
    <w:p w14:paraId="266D69F8">
      <w:pPr>
        <w:widowControl w:val="0"/>
        <w:spacing w:line="480" w:lineRule="auto"/>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Professor Wu Zhongchao emphasizes "multi-state integration and multi-level pattern differentiation". Pathogenesis analysis should be conducted from multiple dimensions, including body constitution, five body constituents (skin, flesh, tendons, vessels, and bones), meridians, disease dynamics, location, pattern elements, medical history, and pathology, in order to form a complete multi-dimensional judgment of the essence of the disease at its current stage. In this study, these dimensions are abstracted into reasoning nodes and organized according to Professor Wu's clinical reasoning sequence.</w:t>
      </w:r>
    </w:p>
    <w:p w14:paraId="78542499">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Design of reasoning nodes:</w:t>
      </w:r>
    </w:p>
    <w:p w14:paraId="004EA5B3">
      <w:pPr>
        <w:keepNext w:val="0"/>
        <w:keepLines w:val="0"/>
        <w:pageBreakBefore w:val="0"/>
        <w:widowControl w:val="0"/>
        <w:numPr>
          <w:ilvl w:val="0"/>
          <w:numId w:val="1"/>
        </w:numPr>
        <w:kinsoku/>
        <w:wordWrap/>
        <w:overflowPunct/>
        <w:topLinePunct w:val="0"/>
        <w:autoSpaceDE/>
        <w:autoSpaceDN/>
        <w:bidi w:val="0"/>
        <w:adjustRightInd w:val="0"/>
        <w:snapToGrid w:val="0"/>
        <w:spacing w:line="480" w:lineRule="auto"/>
        <w:ind w:left="420" w:leftChars="0" w:hanging="420" w:firstLineChars="0"/>
        <w:jc w:val="left"/>
        <w:textAlignment w:val="auto"/>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Differentiation of body constitution:</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Analyze the patient's overall body shape, constitutional characteristics, joint deformities, and activity status.</w:t>
      </w:r>
    </w:p>
    <w:p w14:paraId="1042DF51">
      <w:pPr>
        <w:keepNext w:val="0"/>
        <w:keepLines w:val="0"/>
        <w:pageBreakBefore w:val="0"/>
        <w:widowControl w:val="0"/>
        <w:numPr>
          <w:ilvl w:val="0"/>
          <w:numId w:val="1"/>
        </w:numPr>
        <w:kinsoku/>
        <w:wordWrap/>
        <w:overflowPunct/>
        <w:topLinePunct w:val="0"/>
        <w:autoSpaceDE/>
        <w:autoSpaceDN/>
        <w:bidi w:val="0"/>
        <w:adjustRightInd w:val="0"/>
        <w:snapToGrid w:val="0"/>
        <w:spacing w:line="480" w:lineRule="auto"/>
        <w:ind w:left="420" w:leftChars="0" w:hanging="420" w:firstLineChars="0"/>
        <w:jc w:val="left"/>
        <w:textAlignment w:val="auto"/>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Differentiation of the five body constituents:</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Determine the involved level among skin, flesh, tendons, vessels, and bones, and associate them with the five viscera.</w:t>
      </w:r>
    </w:p>
    <w:p w14:paraId="0D1A9B11">
      <w:pPr>
        <w:keepNext w:val="0"/>
        <w:keepLines w:val="0"/>
        <w:pageBreakBefore w:val="0"/>
        <w:widowControl w:val="0"/>
        <w:numPr>
          <w:ilvl w:val="0"/>
          <w:numId w:val="1"/>
        </w:numPr>
        <w:kinsoku/>
        <w:wordWrap/>
        <w:overflowPunct/>
        <w:topLinePunct w:val="0"/>
        <w:autoSpaceDE/>
        <w:autoSpaceDN/>
        <w:bidi w:val="0"/>
        <w:adjustRightInd w:val="0"/>
        <w:snapToGrid w:val="0"/>
        <w:spacing w:line="480" w:lineRule="auto"/>
        <w:ind w:left="420" w:leftChars="0" w:hanging="420" w:firstLineChars="0"/>
        <w:jc w:val="left"/>
        <w:textAlignment w:val="auto"/>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Differentiation of meridians:</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Identify the meridians and sinew channels along which the pathological changes run.</w:t>
      </w:r>
    </w:p>
    <w:p w14:paraId="56A63868">
      <w:pPr>
        <w:keepNext w:val="0"/>
        <w:keepLines w:val="0"/>
        <w:pageBreakBefore w:val="0"/>
        <w:widowControl w:val="0"/>
        <w:numPr>
          <w:ilvl w:val="0"/>
          <w:numId w:val="1"/>
        </w:numPr>
        <w:kinsoku/>
        <w:wordWrap/>
        <w:overflowPunct/>
        <w:topLinePunct w:val="0"/>
        <w:autoSpaceDE/>
        <w:autoSpaceDN/>
        <w:bidi w:val="0"/>
        <w:adjustRightInd w:val="0"/>
        <w:snapToGrid w:val="0"/>
        <w:spacing w:line="480" w:lineRule="auto"/>
        <w:ind w:left="420" w:leftChars="0" w:hanging="420" w:firstLineChars="0"/>
        <w:jc w:val="left"/>
        <w:textAlignment w:val="auto"/>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Differentiation of disease dynamics:</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Judge the urgency or chronicity of the disease, its progression or regression, and clarify the state of healthy qi versus pathogenic qi.</w:t>
      </w:r>
    </w:p>
    <w:p w14:paraId="508E8156">
      <w:pPr>
        <w:keepNext w:val="0"/>
        <w:keepLines w:val="0"/>
        <w:pageBreakBefore w:val="0"/>
        <w:widowControl w:val="0"/>
        <w:numPr>
          <w:ilvl w:val="0"/>
          <w:numId w:val="1"/>
        </w:numPr>
        <w:kinsoku/>
        <w:wordWrap/>
        <w:overflowPunct/>
        <w:topLinePunct w:val="0"/>
        <w:autoSpaceDE/>
        <w:autoSpaceDN/>
        <w:bidi w:val="0"/>
        <w:adjustRightInd w:val="0"/>
        <w:snapToGrid w:val="0"/>
        <w:spacing w:line="480" w:lineRule="auto"/>
        <w:ind w:left="420" w:leftChars="0" w:hanging="420" w:firstLineChars="0"/>
        <w:jc w:val="left"/>
        <w:textAlignment w:val="auto"/>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Differentiation of location:</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Precisely determine the local position of the lesion and consider its relationship with the viscera and meridians.</w:t>
      </w:r>
    </w:p>
    <w:p w14:paraId="48D5BCCE">
      <w:pPr>
        <w:widowControl w:val="0"/>
        <w:numPr>
          <w:ilvl w:val="0"/>
          <w:numId w:val="1"/>
        </w:numPr>
        <w:bidi w:val="0"/>
        <w:spacing w:before="0" w:beforeAutospacing="1" w:after="0" w:afterAutospacing="1" w:line="480" w:lineRule="auto"/>
        <w:ind w:left="420" w:leftChars="0" w:hanging="420" w:firstLineChars="0"/>
        <w:jc w:val="left"/>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Differentiation of pattern elements: </w:t>
      </w:r>
      <w:r>
        <w:rPr>
          <w:rFonts w:hint="default" w:ascii="Times New Roman" w:hAnsi="Times New Roman" w:eastAsia="宋体" w:cs="Times New Roman"/>
          <w:color w:val="000000"/>
          <w:kern w:val="0"/>
          <w:sz w:val="24"/>
          <w:szCs w:val="24"/>
          <w:lang w:val="en-US" w:eastAsia="zh-CN" w:bidi="ar"/>
        </w:rPr>
        <w:t>Synthesize the nature of symptoms to determine the etiology and disease nature (e.g., liver depression, spleen deficiency, dampness - heat).</w:t>
      </w:r>
    </w:p>
    <w:p w14:paraId="1692CBD0">
      <w:pPr>
        <w:widowControl w:val="0"/>
        <w:numPr>
          <w:ilvl w:val="0"/>
          <w:numId w:val="1"/>
        </w:numPr>
        <w:bidi w:val="0"/>
        <w:spacing w:before="0" w:beforeAutospacing="1" w:after="0" w:afterAutospacing="1" w:line="480" w:lineRule="auto"/>
        <w:ind w:left="420" w:leftChars="0" w:hanging="420" w:firstLineChars="0"/>
        <w:jc w:val="left"/>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Differentiation of medical history: </w:t>
      </w:r>
      <w:r>
        <w:rPr>
          <w:rFonts w:hint="default" w:ascii="Times New Roman" w:hAnsi="Times New Roman" w:eastAsia="宋体" w:cs="Times New Roman"/>
          <w:color w:val="000000"/>
          <w:kern w:val="0"/>
          <w:sz w:val="24"/>
          <w:szCs w:val="24"/>
          <w:lang w:val="en-US" w:eastAsia="zh-CN" w:bidi="ar"/>
        </w:rPr>
        <w:t>Examine the disease duration, previous treatments, and patterns of disease evolution to distinguish root from manifestation and deficiency from excess.</w:t>
      </w:r>
    </w:p>
    <w:p w14:paraId="67584A5C">
      <w:pPr>
        <w:widowControl w:val="0"/>
        <w:numPr>
          <w:ilvl w:val="0"/>
          <w:numId w:val="1"/>
        </w:numPr>
        <w:bidi w:val="0"/>
        <w:spacing w:before="0" w:beforeAutospacing="1" w:after="0" w:afterAutospacing="1" w:line="480" w:lineRule="auto"/>
        <w:ind w:left="420" w:leftChars="0" w:hanging="420" w:firstLineChars="0"/>
        <w:jc w:val="left"/>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Differentiation of pathology: </w:t>
      </w:r>
      <w:r>
        <w:rPr>
          <w:rFonts w:hint="default" w:ascii="Times New Roman" w:hAnsi="Times New Roman" w:eastAsia="宋体" w:cs="Times New Roman"/>
          <w:color w:val="000000"/>
          <w:kern w:val="0"/>
          <w:sz w:val="24"/>
          <w:szCs w:val="24"/>
          <w:lang w:val="en-US" w:eastAsia="zh-CN" w:bidi="ar"/>
        </w:rPr>
        <w:t>Assess relevant laboratory and imaging findings, and use Western medical indicators to aid the understanding of TCM pathogenesis.</w:t>
      </w:r>
    </w:p>
    <w:p w14:paraId="61E77CEF">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Internal setup:</w:t>
      </w:r>
    </w:p>
    <w:p w14:paraId="685A1B58">
      <w:pPr>
        <w:widowControl w:val="0"/>
        <w:numPr>
          <w:ilvl w:val="0"/>
          <w:numId w:val="2"/>
        </w:numPr>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Input reception:r</w:t>
      </w:r>
      <w:r>
        <w:rPr>
          <w:rFonts w:hint="default" w:ascii="Times New Roman" w:hAnsi="Times New Roman" w:eastAsia="宋体" w:cs="Times New Roman"/>
          <w:color w:val="000000"/>
          <w:kern w:val="0"/>
          <w:sz w:val="24"/>
          <w:szCs w:val="24"/>
          <w:lang w:val="en-US" w:eastAsia="zh-CN" w:bidi="ar"/>
        </w:rPr>
        <w:t>eceive the structured set of main symptoms output by the Main Symptom Agent as input data for pathogenesis analysis.</w:t>
      </w:r>
    </w:p>
    <w:p w14:paraId="486FEECF">
      <w:pPr>
        <w:widowControl w:val="0"/>
        <w:numPr>
          <w:ilvl w:val="0"/>
          <w:numId w:val="2"/>
        </w:numPr>
        <w:spacing w:line="480" w:lineRule="auto"/>
        <w:ind w:left="0" w:leftChars="0" w:firstLine="240" w:firstLineChars="100"/>
        <w:jc w:val="both"/>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Node activation and reasoning:a</w:t>
      </w:r>
      <w:r>
        <w:rPr>
          <w:rFonts w:hint="default" w:ascii="Times New Roman" w:hAnsi="Times New Roman" w:eastAsia="宋体" w:cs="Times New Roman"/>
          <w:color w:val="000000"/>
          <w:kern w:val="0"/>
          <w:sz w:val="24"/>
          <w:szCs w:val="24"/>
          <w:lang w:val="en-US" w:eastAsia="zh-CN" w:bidi="ar"/>
        </w:rPr>
        <w:t>ctivate the eight reasoning nodes (differentiation of body constitution, five body constituents, meridians, disease dynamics, location, pattern elements, medical history, and pathology) in sequence according to Professor Wu Zhongchao's customary reasoning order, forming a coherent analytical chain and progressively deriving the pathogenesis.</w:t>
      </w:r>
    </w:p>
    <w:p w14:paraId="41281813">
      <w:pPr>
        <w:widowControl w:val="0"/>
        <w:numPr>
          <w:ilvl w:val="0"/>
          <w:numId w:val="2"/>
        </w:numPr>
        <w:spacing w:line="480" w:lineRule="auto"/>
        <w:ind w:left="0" w:leftChars="0" w:firstLine="240" w:firstLineChars="100"/>
        <w:jc w:val="both"/>
        <w:rPr>
          <w:rFonts w:hint="eastAsia"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Rule engine invocation:</w:t>
      </w:r>
      <w:r>
        <w:rPr>
          <w:rFonts w:hint="eastAsia" w:ascii="Times New Roman" w:hAnsi="Times New Roman" w:eastAsia="宋体" w:cs="Times New Roman"/>
          <w:color w:val="000000"/>
          <w:kern w:val="0"/>
          <w:sz w:val="24"/>
          <w:szCs w:val="24"/>
          <w:lang w:val="en-US" w:eastAsia="zh-CN" w:bidi="ar"/>
        </w:rPr>
        <w:t>each reasoning node invokes the interface of a rule engine to perform judgments based on preset inference rules, referencing the information in the structured set of main symptoms, and obtains the pathogenesis derivation result for each node.</w:t>
      </w:r>
    </w:p>
    <w:p w14:paraId="056EB05B">
      <w:pPr>
        <w:widowControl w:val="0"/>
        <w:numPr>
          <w:ilvl w:val="0"/>
          <w:numId w:val="2"/>
        </w:numPr>
        <w:spacing w:line="480" w:lineRule="auto"/>
        <w:ind w:left="0" w:leftChars="0"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Structured output:</w:t>
      </w:r>
      <w:r>
        <w:rPr>
          <w:rFonts w:hint="eastAsia" w:ascii="Times New Roman" w:hAnsi="Times New Roman" w:eastAsia="宋体" w:cs="Times New Roman"/>
          <w:color w:val="000000"/>
          <w:kern w:val="0"/>
          <w:sz w:val="24"/>
          <w:szCs w:val="24"/>
          <w:lang w:val="en-US" w:eastAsia="zh-CN" w:bidi="ar"/>
        </w:rPr>
        <w:t>i</w:t>
      </w:r>
      <w:r>
        <w:rPr>
          <w:rFonts w:hint="default" w:ascii="Times New Roman" w:hAnsi="Times New Roman" w:eastAsia="宋体" w:cs="Times New Roman"/>
          <w:color w:val="000000"/>
          <w:kern w:val="0"/>
          <w:sz w:val="24"/>
          <w:szCs w:val="24"/>
          <w:lang w:val="en-US" w:eastAsia="zh-CN" w:bidi="ar"/>
        </w:rPr>
        <w:t>ntegrate the derivation results from each node into a structured multi - dimensional pathogenesis set and output it.</w:t>
      </w:r>
    </w:p>
    <w:p w14:paraId="7F6C938D">
      <w:pPr>
        <w:spacing w:line="480" w:lineRule="auto"/>
        <w:rPr>
          <w:rStyle w:val="14"/>
          <w:rFonts w:hint="default" w:ascii="Segoe UI" w:hAnsi="Segoe UI" w:eastAsia="Segoe UI" w:cs="Segoe UI"/>
          <w:bCs/>
          <w:i w:val="0"/>
          <w:iCs w:val="0"/>
          <w:caps w:val="0"/>
          <w:color w:val="0F1115"/>
          <w:spacing w:val="0"/>
          <w:kern w:val="0"/>
          <w:sz w:val="24"/>
          <w:szCs w:val="24"/>
          <w:shd w:val="clear" w:fill="FFFFFF"/>
          <w:lang w:val="en-US" w:eastAsia="zh-CN" w:bidi="ar"/>
        </w:rPr>
      </w:pPr>
      <w:r>
        <w:rPr>
          <w:rStyle w:val="14"/>
          <w:rFonts w:hint="default" w:ascii="Segoe UI" w:hAnsi="Segoe UI" w:eastAsia="Segoe UI" w:cs="Segoe UI"/>
          <w:bCs/>
          <w:i w:val="0"/>
          <w:iCs w:val="0"/>
          <w:caps w:val="0"/>
          <w:color w:val="0F1115"/>
          <w:spacing w:val="0"/>
          <w:kern w:val="0"/>
          <w:sz w:val="24"/>
          <w:szCs w:val="24"/>
          <w:shd w:val="clear" w:fill="FFFFFF"/>
          <w:lang w:val="en-US" w:eastAsia="zh-CN" w:bidi="ar"/>
        </w:rPr>
        <w:t>Integrated Prescription Model (IPM)</w:t>
      </w:r>
    </w:p>
    <w:p w14:paraId="540282CF">
      <w:pPr>
        <w:widowControl w:val="0"/>
        <w:spacing w:line="480" w:lineRule="auto"/>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The pathogenesis set output by the multi-dimensional diagnosis model provides a comprehensive pattern differentiation basis for prescription decision-making. On this basis, the prescription generation model transforms the main symptom identification and pathogenesis analysis results into a specific TCM prescription. Professor Wu Zhongchao emphasizes the organic integration of multiple strategies in clinical practice, including "formula-pattern correspondence, modification with symptoms, dosage optimization for enhanced efficacy, acupoint selection by body region, and integrated treatment"</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To replicate this comprehensive decision-making process, this study constructs a prescription generation model comprising five</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collaborative</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 xml:space="preserve"> modules.</w:t>
      </w:r>
    </w:p>
    <w:p w14:paraId="26410B78">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Collaborative module design:</w:t>
      </w:r>
    </w:p>
    <w:p w14:paraId="55B747C3">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Formula-pattern correspondence module: Retrieves the chain-of-thought for formula-pattern correspondence from a pre-built RAG knowledge base based on the pattern elements and five body constituents in the pathogenesis set.</w:t>
      </w:r>
    </w:p>
    <w:p w14:paraId="73250A75">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Symptom-based modification module: Retrieves the corresponding chain-of-thought for herbal modification rules from a "symptom-based modification" RAG knowledge base for specific symptoms in the main symptom set.</w:t>
      </w:r>
    </w:p>
    <w:p w14:paraId="34AF302C">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Acupoint selection by body region module: Retrieves the corresponding chain-of-thought from an "acupoint selection by body region" RAG knowledge base based on the location and meridians in the pathogenesis set.</w:t>
      </w:r>
    </w:p>
    <w:p w14:paraId="147502E3">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Dosage optimization for enhanced efficacy module: Retrieves the corresponding chain-of-thought from a "dosage optimization" RAG knowledge base based on disease dynamics, pathology, and medical history in the pathogenesis set.</w:t>
      </w:r>
    </w:p>
    <w:p w14:paraId="11993622">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Integrated treatment module: Serves as the central coordination module, responsible for receiving the chain-of-thought retrieval results from the previous four modules, dynamically assembling them into a structured chain-of-thought prompt template, and guiding the base model to generate the final prescription.</w:t>
      </w:r>
    </w:p>
    <w:p w14:paraId="17C0C4D4">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Agent processing workflow:</w:t>
      </w:r>
    </w:p>
    <w:p w14:paraId="4F0C32A8">
      <w:pPr>
        <w:widowControl w:val="0"/>
        <w:numPr>
          <w:ilvl w:val="0"/>
          <w:numId w:val="3"/>
        </w:numPr>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Input reception: Receives the structured main symptom set and multi-dimensional pathogenesis set output by the preceding agents.</w:t>
      </w:r>
    </w:p>
    <w:p w14:paraId="5CF9E116">
      <w:pPr>
        <w:widowControl w:val="0"/>
        <w:numPr>
          <w:ilvl w:val="0"/>
          <w:numId w:val="3"/>
        </w:numPr>
        <w:spacing w:line="480" w:lineRule="auto"/>
        <w:ind w:left="0" w:leftChars="0"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Parallel module activation: Activates the first four collaborative modules (formula-pattern correspondence, symptom-based modification, acupoint selection by body region, dosage optimization) in parallel, obtaining the chain-of-thought retrieval results returned by each module.</w:t>
      </w:r>
    </w:p>
    <w:p w14:paraId="063BA487">
      <w:pPr>
        <w:widowControl w:val="0"/>
        <w:numPr>
          <w:ilvl w:val="0"/>
          <w:numId w:val="3"/>
        </w:numPr>
        <w:spacing w:line="480" w:lineRule="auto"/>
        <w:ind w:left="0" w:leftChars="0"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Integrated treatment module activation: Receives the chain-of-thought retrieval results from the previous four modules, dynamically assembles them into a structured chain-of-thought prompt template, and submits it to the base model.</w:t>
      </w:r>
    </w:p>
    <w:p w14:paraId="438931A8">
      <w:pPr>
        <w:widowControl w:val="0"/>
        <w:numPr>
          <w:ilvl w:val="0"/>
          <w:numId w:val="3"/>
        </w:numPr>
        <w:spacing w:line="480" w:lineRule="auto"/>
        <w:ind w:left="0" w:leftChars="0"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Model inference and output: Inputs the complete prompt into the base large language model, performs inference generation, and outputs a structured final prescription.</w:t>
      </w:r>
    </w:p>
    <w:p w14:paraId="05B524B8">
      <w:pPr>
        <w:widowControl w:val="0"/>
        <w:spacing w:line="480" w:lineRule="auto"/>
        <w:ind w:firstLine="240" w:firstLineChars="100"/>
        <w:jc w:val="both"/>
        <w:rPr>
          <w:rFonts w:hint="default" w:ascii="宋体" w:hAnsi="宋体" w:eastAsia="宋体" w:cs="宋体"/>
          <w:color w:val="000000" w:themeColor="text1"/>
          <w:kern w:val="2"/>
          <w:sz w:val="24"/>
          <w:szCs w:val="24"/>
          <w:lang w:val="en-US" w:eastAsia="zh-CN" w:bidi="ar-SA"/>
          <w14:textFill>
            <w14:solidFill>
              <w14:schemeClr w14:val="tx1"/>
            </w14:solidFill>
          </w14:textFill>
        </w:rPr>
      </w:pPr>
      <w:r>
        <w:rPr>
          <w:rFonts w:hint="default" w:ascii="Times New Roman" w:hAnsi="Times New Roman" w:eastAsia="宋体" w:cs="Times New Roman"/>
          <w:color w:val="000000"/>
          <w:kern w:val="0"/>
          <w:sz w:val="24"/>
          <w:szCs w:val="24"/>
          <w:lang w:val="en-US" w:eastAsia="zh-CN" w:bidi="ar"/>
        </w:rPr>
        <w:t>For the modules involving retrieval-augmented generation, the embedding model is text-embedding-v4 and the text understanding model is Qwen2.5-72B. The chains-of-thought in the RAG knowledge bases are derived from the previously systematically summarized clinical experience of Professor Wu Zhongchao in treating Bi syndrome.</w:t>
      </w:r>
    </w:p>
    <w:p w14:paraId="02033631">
      <w:pPr>
        <w:spacing w:line="480" w:lineRule="auto"/>
        <w:rPr>
          <w:rFonts w:hint="default" w:ascii="宋体" w:hAnsi="宋体" w:eastAsia="宋体"/>
          <w:color w:val="000000"/>
          <w:sz w:val="24"/>
          <w:lang w:val="en-US" w:eastAsia="zh-CN"/>
        </w:rPr>
      </w:pPr>
      <w:r>
        <w:rPr>
          <w:rStyle w:val="14"/>
          <w:rFonts w:hint="default" w:ascii="Segoe UI" w:hAnsi="Segoe UI" w:eastAsia="Segoe UI" w:cs="Segoe UI"/>
          <w:bCs/>
          <w:i w:val="0"/>
          <w:iCs w:val="0"/>
          <w:caps w:val="0"/>
          <w:color w:val="0F1115"/>
          <w:spacing w:val="0"/>
          <w:kern w:val="0"/>
          <w:sz w:val="24"/>
          <w:szCs w:val="24"/>
          <w:shd w:val="clear" w:fill="FFFFFF"/>
          <w:lang w:val="en-US" w:eastAsia="zh-CN" w:bidi="ar"/>
        </w:rPr>
        <w:t>Visualization and Tracing Agent (VTA)</w:t>
      </w:r>
    </w:p>
    <w:p w14:paraId="278203C8">
      <w:pPr>
        <w:widowControl w:val="0"/>
        <w:spacing w:line="480" w:lineRule="auto"/>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To enhance the interpretability of the model and facilitate clinicians</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understanding and validation of the reasoning process, this study further constructs a visualization and tracing agent for the pattern differentiation and treatment decision pathway. This agent integrates the key outputs of the preceding models and the </w:t>
      </w:r>
      <w:r>
        <w:rPr>
          <w:rFonts w:hint="eastAsia" w:ascii="Times New Roman" w:hAnsi="Times New Roman" w:eastAsia="宋体" w:cs="Times New Roman"/>
          <w:color w:val="000000"/>
          <w:kern w:val="0"/>
          <w:sz w:val="24"/>
          <w:szCs w:val="24"/>
          <w:lang w:val="en-US" w:eastAsia="zh-CN" w:bidi="ar"/>
        </w:rPr>
        <w:t>chains-of-thought</w:t>
      </w:r>
      <w:r>
        <w:rPr>
          <w:rFonts w:hint="default" w:ascii="Times New Roman" w:hAnsi="Times New Roman" w:eastAsia="宋体" w:cs="Times New Roman"/>
          <w:color w:val="000000"/>
          <w:kern w:val="0"/>
          <w:sz w:val="24"/>
          <w:szCs w:val="24"/>
          <w:lang w:val="en-US" w:eastAsia="zh-CN" w:bidi="ar"/>
        </w:rPr>
        <w:t xml:space="preserve"> from each collaborative module in the prescription generation process. It invokes the Mermaid tool to render and visualize the flowchart code, dynamically generating a visual decision pathway diagram and an explanatory report, thereby fully reproducing Professor Wu Zhongchao</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s diagnostic reasoning chain from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identifying the main pattern</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to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analyzing the pathogenesis</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and then to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determining the prescription.</w:t>
      </w:r>
      <w:r>
        <w:rPr>
          <w:rFonts w:hint="eastAsia" w:ascii="Times New Roman" w:hAnsi="Times New Roman" w:eastAsia="宋体" w:cs="Times New Roman"/>
          <w:color w:val="000000"/>
          <w:kern w:val="0"/>
          <w:sz w:val="24"/>
          <w:szCs w:val="24"/>
          <w:lang w:val="en-US" w:eastAsia="zh-CN" w:bidi="ar"/>
        </w:rPr>
        <w:t>"</w:t>
      </w:r>
    </w:p>
    <w:p w14:paraId="19E7E5AE">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Agent processing workflow:</w:t>
      </w:r>
    </w:p>
    <w:p w14:paraId="18A1E33E">
      <w:pPr>
        <w:widowControl w:val="0"/>
        <w:numPr>
          <w:ilvl w:val="0"/>
          <w:numId w:val="4"/>
        </w:numPr>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Input reception: Receives the structured main symptom set output by the preceding agent, the multi-dimensional pathogenesis set, the </w:t>
      </w:r>
      <w:r>
        <w:rPr>
          <w:rFonts w:hint="eastAsia" w:ascii="Times New Roman" w:hAnsi="Times New Roman" w:eastAsia="宋体" w:cs="Times New Roman"/>
          <w:color w:val="000000"/>
          <w:kern w:val="0"/>
          <w:sz w:val="24"/>
          <w:szCs w:val="24"/>
          <w:lang w:val="en-US" w:eastAsia="zh-CN" w:bidi="ar"/>
        </w:rPr>
        <w:t>chains-of-thought</w:t>
      </w:r>
      <w:r>
        <w:rPr>
          <w:rFonts w:hint="default" w:ascii="Times New Roman" w:hAnsi="Times New Roman" w:eastAsia="宋体" w:cs="Times New Roman"/>
          <w:color w:val="000000"/>
          <w:kern w:val="0"/>
          <w:sz w:val="24"/>
          <w:szCs w:val="24"/>
          <w:lang w:val="en-US" w:eastAsia="zh-CN" w:bidi="ar"/>
        </w:rPr>
        <w:t xml:space="preserve"> from the four core submodules of the prescription generation model, and the final prescription.</w:t>
      </w:r>
    </w:p>
    <w:p w14:paraId="06715368">
      <w:pPr>
        <w:widowControl w:val="0"/>
        <w:numPr>
          <w:ilvl w:val="0"/>
          <w:numId w:val="4"/>
        </w:numPr>
        <w:spacing w:line="480" w:lineRule="auto"/>
        <w:ind w:left="0" w:leftChars="0"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Integration of reasoning clues: Integrates the above inputs into structured reasoning clues based on the base model and a preset dynamic context prompt template.</w:t>
      </w:r>
    </w:p>
    <w:p w14:paraId="3B2E4008">
      <w:pPr>
        <w:widowControl w:val="0"/>
        <w:numPr>
          <w:ilvl w:val="0"/>
          <w:numId w:val="4"/>
        </w:numPr>
        <w:spacing w:line="480" w:lineRule="auto"/>
        <w:ind w:left="0" w:leftChars="0"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Mermaid code and report generation: Dynamically generates flowchart code conforming to Mermaid syntax and simultaneously generates a natural language explanatory report.</w:t>
      </w:r>
    </w:p>
    <w:p w14:paraId="194A399F">
      <w:pPr>
        <w:widowControl w:val="0"/>
        <w:numPr>
          <w:ilvl w:val="0"/>
          <w:numId w:val="4"/>
        </w:numPr>
        <w:spacing w:line="480" w:lineRule="auto"/>
        <w:ind w:left="0" w:leftChars="0" w:firstLine="240" w:firstLineChars="100"/>
        <w:jc w:val="both"/>
        <w:rPr>
          <w:rFonts w:hint="default" w:ascii="宋体" w:hAnsi="宋体" w:eastAsia="宋体"/>
          <w:color w:val="000000"/>
          <w:sz w:val="24"/>
          <w:lang w:val="en-US" w:eastAsia="zh-CN"/>
        </w:rPr>
      </w:pPr>
      <w:r>
        <w:rPr>
          <w:rFonts w:hint="default" w:ascii="Times New Roman" w:hAnsi="Times New Roman" w:eastAsia="宋体" w:cs="Times New Roman"/>
          <w:color w:val="000000"/>
          <w:kern w:val="0"/>
          <w:sz w:val="24"/>
          <w:szCs w:val="24"/>
          <w:lang w:val="en-US" w:eastAsia="zh-CN" w:bidi="ar"/>
        </w:rPr>
        <w:t>Visualization rendering and display: Invokes the Mermaid tool to render the flowchart code and outputs a visual decision pathway diagram for clinicians to view and validate.</w:t>
      </w:r>
    </w:p>
    <w:p w14:paraId="2D6A8CBB">
      <w:pPr>
        <w:spacing w:line="480" w:lineRule="auto"/>
        <w:rPr>
          <w:rFonts w:ascii="宋体" w:hAnsi="宋体" w:eastAsia="宋体" w:cs="宋体"/>
          <w:sz w:val="24"/>
          <w:szCs w:val="24"/>
        </w:rPr>
      </w:pPr>
      <w:r>
        <w:rPr>
          <w:rFonts w:ascii="宋体" w:hAnsi="宋体" w:eastAsia="宋体" w:cs="宋体"/>
          <w:sz w:val="24"/>
          <w:szCs w:val="24"/>
        </w:rPr>
        <w:drawing>
          <wp:inline distT="0" distB="0" distL="114300" distR="114300">
            <wp:extent cx="5482590" cy="2468245"/>
            <wp:effectExtent l="0" t="0" r="3810" b="8255"/>
            <wp:docPr id="5"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descr="IMG_256"/>
                    <pic:cNvPicPr>
                      <a:picLocks noChangeAspect="1"/>
                    </pic:cNvPicPr>
                  </pic:nvPicPr>
                  <pic:blipFill>
                    <a:blip r:embed="rId5"/>
                    <a:stretch>
                      <a:fillRect/>
                    </a:stretch>
                  </pic:blipFill>
                  <pic:spPr>
                    <a:xfrm>
                      <a:off x="0" y="0"/>
                      <a:ext cx="5482590" cy="2468245"/>
                    </a:xfrm>
                    <a:prstGeom prst="rect">
                      <a:avLst/>
                    </a:prstGeom>
                    <a:noFill/>
                    <a:ln w="9525">
                      <a:noFill/>
                    </a:ln>
                  </pic:spPr>
                </pic:pic>
              </a:graphicData>
            </a:graphic>
          </wp:inline>
        </w:drawing>
      </w:r>
    </w:p>
    <w:p w14:paraId="09276F4D">
      <w:pPr>
        <w:widowControl w:val="0"/>
        <w:numPr>
          <w:ilvl w:val="0"/>
          <w:numId w:val="0"/>
        </w:numPr>
        <w:spacing w:line="480" w:lineRule="auto"/>
        <w:jc w:val="center"/>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Figure 1</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Multi-Agent Collaboration Framework Diagram</w:t>
      </w:r>
    </w:p>
    <w:p w14:paraId="1DF31474">
      <w:pPr>
        <w:spacing w:line="480" w:lineRule="auto"/>
        <w:rPr>
          <w:rStyle w:val="14"/>
          <w:rFonts w:hint="eastAsia" w:ascii="Segoe UI" w:hAnsi="Segoe UI" w:eastAsia="Segoe UI" w:cs="Segoe UI"/>
          <w:bCs/>
          <w:i w:val="0"/>
          <w:iCs w:val="0"/>
          <w:caps w:val="0"/>
          <w:color w:val="0F1115"/>
          <w:spacing w:val="0"/>
          <w:kern w:val="0"/>
          <w:sz w:val="24"/>
          <w:szCs w:val="24"/>
          <w:shd w:val="clear" w:fill="FFFFFF"/>
          <w:lang w:val="en-US" w:eastAsia="zh-CN" w:bidi="ar"/>
        </w:rPr>
      </w:pPr>
      <w:r>
        <w:rPr>
          <w:rStyle w:val="14"/>
          <w:rFonts w:hint="eastAsia" w:ascii="Segoe UI" w:hAnsi="Segoe UI" w:eastAsia="Segoe UI" w:cs="Segoe UI"/>
          <w:bCs/>
          <w:i w:val="0"/>
          <w:iCs w:val="0"/>
          <w:caps w:val="0"/>
          <w:color w:val="0F1115"/>
          <w:spacing w:val="0"/>
          <w:kern w:val="0"/>
          <w:sz w:val="24"/>
          <w:szCs w:val="24"/>
          <w:shd w:val="clear" w:fill="FFFFFF"/>
          <w:lang w:val="en-US" w:eastAsia="zh-CN" w:bidi="ar"/>
        </w:rPr>
        <w:t>Design of the Multi-Agent Collaborative Framework</w:t>
      </w:r>
    </w:p>
    <w:p w14:paraId="38718C3F">
      <w:pPr>
        <w:widowControl w:val="0"/>
        <w:spacing w:line="480" w:lineRule="auto"/>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The Model Context Protocol (MCP) is adopted to support communication among agents and interaction with external tools, enabling the model to dynamically acquire the necessary contextual information or perform external operations. In this study, the rule engine and RAG knowledge base interfaces are embedded as MCP services; the visualization and tracing agent for the pattern differentiation and treatment decision process invokes an external Mermaid rendering tool via MCP to generate the decision pathway diagram. Each agent communicates and collaborates through standardized MCP interfaces, forming a modular, pluggable collaborative framework. The overall architecture of MAC-TCMRx is illustrated in Figure 1. The formal definitions of the agents are provided below.</w:t>
      </w:r>
    </w:p>
    <w:p w14:paraId="5612F49E">
      <w:pPr>
        <w:widowControl w:val="0"/>
        <w:numPr>
          <w:ilvl w:val="0"/>
          <w:numId w:val="5"/>
        </w:numPr>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Main Symptom Agent(MSA)</w:t>
      </w:r>
    </w:p>
    <w:p w14:paraId="1F724BA0">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m:oMathPara>
        <m:oMath>
          <m:r>
            <m:rPr>
              <m:sty m:val="p"/>
            </m:rPr>
            <w:rPr>
              <w:rFonts w:hint="default" w:ascii="Times New Roman" w:hAnsi="Times New Roman" w:eastAsia="宋体" w:cs="Times New Roman"/>
              <w:color w:val="000000"/>
              <w:kern w:val="0"/>
              <w:sz w:val="24"/>
              <w:szCs w:val="24"/>
              <w:lang w:val="en-US" w:eastAsia="zh-CN" w:bidi="ar"/>
            </w:rPr>
            <m:t>MSA=(P, </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 </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F</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msa</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 </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F</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msa</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:P→</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sub>
          </m:sSub>
        </m:oMath>
      </m:oMathPara>
    </w:p>
    <w:p w14:paraId="58F62B05">
      <w:pPr>
        <w:widowControl w:val="0"/>
        <w:numPr>
          <w:ilvl w:val="0"/>
          <w:numId w:val="5"/>
        </w:numPr>
        <w:spacing w:line="480" w:lineRule="auto"/>
        <w:ind w:left="0" w:leftChars="0" w:firstLine="240" w:firstLineChars="100"/>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Multi-dimensional Diagnosis Agent(MDA)</w:t>
      </w:r>
    </w:p>
    <w:p w14:paraId="42229C5C">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m:oMathPara>
        <m:oMath>
          <m:r>
            <m:rPr>
              <m:sty m:val="p"/>
            </m:rPr>
            <w:rPr>
              <w:rFonts w:hint="default" w:ascii="Times New Roman" w:hAnsi="Times New Roman" w:eastAsia="宋体" w:cs="Times New Roman"/>
              <w:color w:val="000000"/>
              <w:kern w:val="0"/>
              <w:sz w:val="24"/>
              <w:szCs w:val="24"/>
              <w:lang w:val="en-US" w:eastAsia="zh-CN" w:bidi="ar"/>
            </w:rPr>
            <m:t>MDA=(</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 </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P</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m</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 </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F</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mda</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 </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F</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mda</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P</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m</m:t>
              </m:r>
              <m:ctrlPr>
                <w:rPr>
                  <w:rFonts w:hint="default" w:ascii="Cambria Math" w:hAnsi="Cambria Math" w:eastAsia="宋体" w:cs="Times New Roman"/>
                  <w:color w:val="000000"/>
                  <w:kern w:val="0"/>
                  <w:sz w:val="24"/>
                  <w:szCs w:val="24"/>
                  <w:lang w:val="en-US" w:eastAsia="zh-CN" w:bidi="ar"/>
                </w:rPr>
              </m:ctrlPr>
            </m:sub>
          </m:sSub>
        </m:oMath>
      </m:oMathPara>
    </w:p>
    <w:p w14:paraId="1E6B6AEF">
      <w:pPr>
        <w:widowControl w:val="0"/>
        <w:numPr>
          <w:ilvl w:val="0"/>
          <w:numId w:val="5"/>
        </w:numPr>
        <w:spacing w:line="480" w:lineRule="auto"/>
        <w:ind w:left="0" w:leftChars="0" w:firstLine="240" w:firstLineChars="100"/>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Integrated Prescription Agent(IPA)</w:t>
      </w:r>
    </w:p>
    <w:p w14:paraId="28CED093">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m:oMathPara>
        <m:oMath>
          <m:r>
            <m:rPr>
              <m:sty m:val="p"/>
            </m:rPr>
            <w:rPr>
              <w:rFonts w:hint="default" w:ascii="Times New Roman" w:hAnsi="Times New Roman" w:eastAsia="宋体" w:cs="Times New Roman"/>
              <w:color w:val="000000"/>
              <w:kern w:val="0"/>
              <w:sz w:val="24"/>
              <w:szCs w:val="24"/>
              <w:lang w:val="en-US" w:eastAsia="zh-CN" w:bidi="ar"/>
            </w:rPr>
            <m:t>IPA=(</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 </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P</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m</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 RP, </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R</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x</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 </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F</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ipa</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 </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F</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ipa</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P</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m</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RP, R</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x</m:t>
              </m:r>
              <m:ctrlPr>
                <w:rPr>
                  <w:rFonts w:hint="default" w:ascii="Cambria Math" w:hAnsi="Cambria Math" w:eastAsia="宋体" w:cs="Times New Roman"/>
                  <w:color w:val="000000"/>
                  <w:kern w:val="0"/>
                  <w:sz w:val="24"/>
                  <w:szCs w:val="24"/>
                  <w:lang w:val="en-US" w:eastAsia="zh-CN" w:bidi="ar"/>
                </w:rPr>
              </m:ctrlPr>
            </m:sub>
          </m:sSub>
        </m:oMath>
      </m:oMathPara>
    </w:p>
    <w:p w14:paraId="20BFD02F">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(4) Visualization and Tracing Agent(VTA)</w:t>
      </w:r>
    </w:p>
    <w:p w14:paraId="3F9AA02A">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m:oMathPara>
        <m:oMath>
          <m:r>
            <m:rPr>
              <m:sty m:val="p"/>
            </m:rPr>
            <w:rPr>
              <w:rFonts w:hint="default" w:ascii="Times New Roman" w:hAnsi="Times New Roman" w:eastAsia="宋体" w:cs="Times New Roman"/>
              <w:color w:val="000000"/>
              <w:kern w:val="0"/>
              <w:sz w:val="24"/>
              <w:szCs w:val="24"/>
              <w:lang w:val="en-US" w:eastAsia="zh-CN" w:bidi="ar"/>
            </w:rPr>
            <m:t>VTA=(</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 </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P</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m</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 RP,  </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R</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x</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 V, </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F</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vta</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 </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F</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vta</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P</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m</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×RP×</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R</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x</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→V</m:t>
          </m:r>
        </m:oMath>
      </m:oMathPara>
    </w:p>
    <w:p w14:paraId="238A9796">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The meanings of the elements are as follows:</w:t>
      </w:r>
    </w:p>
    <w:p w14:paraId="4A011402">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m:oMath>
        <m:r>
          <m:rPr>
            <m:sty m:val="p"/>
          </m:rPr>
          <w:rPr>
            <w:rFonts w:hint="default" w:ascii="Times New Roman" w:hAnsi="Times New Roman" w:eastAsia="宋体" w:cs="Times New Roman"/>
            <w:color w:val="000000"/>
            <w:kern w:val="0"/>
            <w:sz w:val="24"/>
            <w:szCs w:val="24"/>
            <w:lang w:val="en-US" w:eastAsia="zh-CN" w:bidi="ar"/>
          </w:rPr>
          <m:t>P</m:t>
        </m:r>
      </m:oMath>
      <w:r>
        <w:rPr>
          <w:rFonts w:hint="eastAsia" w:ascii="Times New Roman" w:hAnsi="Times New Roman" w:eastAsia="宋体" w:cs="Times New Roman"/>
          <w:color w:val="000000"/>
          <w:kern w:val="0"/>
          <w:sz w:val="24"/>
          <w:szCs w:val="24"/>
          <w:lang w:val="en-US" w:eastAsia="zh-CN" w:bidi="ar"/>
        </w:rPr>
        <w:t>: The original set of patient information from the four examinations, including unstructured text such as chief complaints, symptom descriptions, tongue presentation, and pulse presentation.</w:t>
      </w:r>
    </w:p>
    <w:p w14:paraId="480D38FA">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m:oMath>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sub>
        </m:sSub>
      </m:oMath>
      <w:r>
        <w:rPr>
          <w:rFonts w:hint="eastAsia" w:ascii="Times New Roman" w:hAnsi="Times New Roman" w:eastAsia="宋体" w:cs="Times New Roman"/>
          <w:color w:val="000000"/>
          <w:kern w:val="0"/>
          <w:sz w:val="24"/>
          <w:szCs w:val="24"/>
          <w:lang w:val="en-US" w:eastAsia="zh-CN" w:bidi="ar"/>
        </w:rPr>
        <w:t>: The set of main symptoms, i.e., the structured core symptom and sign information output after model processing. The main symptom set includes structured fields such as location, nature, duration, and aggravating factors.</w:t>
      </w:r>
    </w:p>
    <w:p w14:paraId="0111FF6C">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m:oMath>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P</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m</m:t>
            </m:r>
            <m:ctrlPr>
              <w:rPr>
                <w:rFonts w:hint="default" w:ascii="Cambria Math" w:hAnsi="Cambria Math" w:eastAsia="宋体" w:cs="Times New Roman"/>
                <w:color w:val="000000"/>
                <w:kern w:val="0"/>
                <w:sz w:val="24"/>
                <w:szCs w:val="24"/>
                <w:lang w:val="en-US" w:eastAsia="zh-CN" w:bidi="ar"/>
              </w:rPr>
            </m:ctrlPr>
          </m:sub>
        </m:sSub>
      </m:oMath>
      <w:r>
        <w:rPr>
          <w:rFonts w:hint="eastAsia" w:ascii="Times New Roman" w:hAnsi="Times New Roman" w:eastAsia="宋体" w:cs="Times New Roman"/>
          <w:color w:val="000000"/>
          <w:kern w:val="0"/>
          <w:sz w:val="24"/>
          <w:szCs w:val="24"/>
          <w:lang w:val="en-US" w:eastAsia="zh-CN" w:bidi="ar"/>
        </w:rPr>
        <w:t>: The multi-dimensional pathogenesis set. Each pathogenesis element may contain analytical conclusions from dimensions such as the five body constituents, meridians, disease dynamics, location, pattern elements, medical history, and pathology, ultimately condensed into a complete multi-dimensional diagnosis.</w:t>
      </w:r>
    </w:p>
    <w:p w14:paraId="4DA0A905">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m:oMath>
        <m:r>
          <m:rPr>
            <m:sty m:val="p"/>
          </m:rPr>
          <w:rPr>
            <w:rFonts w:hint="default" w:ascii="Times New Roman" w:hAnsi="Times New Roman" w:eastAsia="宋体" w:cs="Times New Roman"/>
            <w:color w:val="000000"/>
            <w:kern w:val="0"/>
            <w:sz w:val="24"/>
            <w:szCs w:val="24"/>
            <w:lang w:val="en-US" w:eastAsia="zh-CN" w:bidi="ar"/>
          </w:rPr>
          <m:t>RP</m:t>
        </m:r>
      </m:oMath>
      <w:r>
        <w:rPr>
          <w:rFonts w:hint="eastAsia" w:ascii="Times New Roman" w:hAnsi="Times New Roman" w:eastAsia="宋体" w:cs="Times New Roman"/>
          <w:color w:val="000000"/>
          <w:kern w:val="0"/>
          <w:sz w:val="24"/>
          <w:szCs w:val="24"/>
          <w:lang w:val="en-US" w:eastAsia="zh-CN" w:bidi="ar"/>
        </w:rPr>
        <w:t>: The set of chain-of-thought retrieval results from the four collaborative modules (formula-pattern correspondence, symptom-based modification, acupoint selection by body region, dosage optimization for enhanced efficacy).</w:t>
      </w:r>
    </w:p>
    <w:p w14:paraId="11A8C83C">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m:oMath>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R</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x</m:t>
            </m:r>
            <m:ctrlPr>
              <w:rPr>
                <w:rFonts w:hint="default" w:ascii="Cambria Math" w:hAnsi="Cambria Math" w:eastAsia="宋体" w:cs="Times New Roman"/>
                <w:color w:val="000000"/>
                <w:kern w:val="0"/>
                <w:sz w:val="24"/>
                <w:szCs w:val="24"/>
                <w:lang w:val="en-US" w:eastAsia="zh-CN" w:bidi="ar"/>
              </w:rPr>
            </m:ctrlPr>
          </m:sub>
        </m:sSub>
      </m:oMath>
      <w:r>
        <w:rPr>
          <w:rFonts w:hint="eastAsia" w:ascii="Times New Roman" w:hAnsi="Times New Roman" w:eastAsia="宋体" w:cs="Times New Roman"/>
          <w:color w:val="000000"/>
          <w:kern w:val="0"/>
          <w:sz w:val="24"/>
          <w:szCs w:val="24"/>
          <w:lang w:val="en-US" w:eastAsia="zh-CN" w:bidi="ar"/>
        </w:rPr>
        <w:t>: The final prescription, including structured information such as formula name, herbal names and dosages, acupuncture points and techniques, and the basis for the recommendation.</w:t>
      </w:r>
    </w:p>
    <w:p w14:paraId="64A28B34">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V : The visual output content, formalized as V = {diagram,report}, where diagram is the decision pathway diagram in Mermaid syntax, and report is the natural language explanatory report.</w:t>
      </w:r>
    </w:p>
    <w:p w14:paraId="3B5CA7EA">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m:oMath>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F</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msa</m:t>
            </m:r>
            <m:ctrlPr>
              <w:rPr>
                <w:rFonts w:hint="default" w:ascii="Cambria Math" w:hAnsi="Cambria Math" w:eastAsia="宋体" w:cs="Times New Roman"/>
                <w:color w:val="000000"/>
                <w:kern w:val="0"/>
                <w:sz w:val="24"/>
                <w:szCs w:val="24"/>
                <w:lang w:val="en-US" w:eastAsia="zh-CN" w:bidi="ar"/>
              </w:rPr>
            </m:ctrlPr>
          </m:sub>
        </m:sSub>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,F</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mda</m:t>
            </m:r>
            <m:ctrlPr>
              <w:rPr>
                <w:rFonts w:hint="default" w:ascii="Cambria Math" w:hAnsi="Cambria Math" w:eastAsia="宋体" w:cs="Times New Roman"/>
                <w:color w:val="000000"/>
                <w:kern w:val="0"/>
                <w:sz w:val="24"/>
                <w:szCs w:val="24"/>
                <w:lang w:val="en-US" w:eastAsia="zh-CN" w:bidi="ar"/>
              </w:rPr>
            </m:ctrlPr>
          </m:sub>
        </m:sSub>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,F</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Cambria Math" w:hAnsi="Cambria Math" w:eastAsia="宋体" w:cs="Times New Roman"/>
                <w:color w:val="000000"/>
                <w:kern w:val="0"/>
                <w:sz w:val="24"/>
                <w:szCs w:val="24"/>
                <w:lang w:val="en-US" w:eastAsia="zh-CN" w:bidi="ar"/>
              </w:rPr>
              <m:t>ip</m:t>
            </m:r>
            <m:r>
              <m:rPr>
                <m:sty m:val="p"/>
              </m:rPr>
              <w:rPr>
                <w:rFonts w:hint="default" w:ascii="Times New Roman" w:hAnsi="Times New Roman" w:eastAsia="宋体" w:cs="Times New Roman"/>
                <w:color w:val="000000"/>
                <w:kern w:val="0"/>
                <w:sz w:val="24"/>
                <w:szCs w:val="24"/>
                <w:lang w:val="en-US" w:eastAsia="zh-CN" w:bidi="ar"/>
              </w:rPr>
              <m:t>a</m:t>
            </m:r>
            <m:ctrlPr>
              <w:rPr>
                <w:rFonts w:hint="default" w:ascii="Cambria Math" w:hAnsi="Cambria Math" w:eastAsia="宋体" w:cs="Times New Roman"/>
                <w:color w:val="000000"/>
                <w:kern w:val="0"/>
                <w:sz w:val="24"/>
                <w:szCs w:val="24"/>
                <w:lang w:val="en-US" w:eastAsia="zh-CN" w:bidi="ar"/>
              </w:rPr>
            </m:ctrlPr>
          </m:sub>
        </m:sSub>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,F</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vta</m:t>
            </m:r>
            <m:ctrlPr>
              <w:rPr>
                <w:rFonts w:hint="default" w:ascii="Cambria Math" w:hAnsi="Cambria Math" w:eastAsia="宋体" w:cs="Times New Roman"/>
                <w:color w:val="000000"/>
                <w:kern w:val="0"/>
                <w:sz w:val="24"/>
                <w:szCs w:val="24"/>
                <w:lang w:val="en-US" w:eastAsia="zh-CN" w:bidi="ar"/>
              </w:rPr>
            </m:ctrlPr>
          </m:sub>
        </m:sSub>
      </m:oMath>
      <w:r>
        <w:rPr>
          <w:rFonts w:hint="eastAsia" w:ascii="Times New Roman" w:hAnsi="Times New Roman" w:eastAsia="宋体" w:cs="Times New Roman"/>
          <w:color w:val="000000"/>
          <w:kern w:val="0"/>
          <w:sz w:val="24"/>
          <w:szCs w:val="24"/>
          <w:lang w:val="en-US" w:eastAsia="zh-CN" w:bidi="ar"/>
        </w:rPr>
        <w:t xml:space="preserve"> represent the internal processing workflows of the respective agents.</w:t>
      </w:r>
    </w:p>
    <w:p w14:paraId="3FF7131F">
      <w:pPr>
        <w:spacing w:line="480" w:lineRule="auto"/>
        <w:rPr>
          <w:rStyle w:val="14"/>
          <w:rFonts w:hint="eastAsia" w:ascii="Segoe UI" w:hAnsi="Segoe UI" w:eastAsia="Segoe UI" w:cs="Segoe UI"/>
          <w:bCs/>
          <w:i w:val="0"/>
          <w:iCs w:val="0"/>
          <w:caps w:val="0"/>
          <w:color w:val="0F1115"/>
          <w:spacing w:val="0"/>
          <w:kern w:val="0"/>
          <w:sz w:val="24"/>
          <w:szCs w:val="24"/>
          <w:shd w:val="clear" w:fill="FFFFFF"/>
          <w:lang w:val="en-US" w:eastAsia="zh-CN" w:bidi="ar"/>
        </w:rPr>
      </w:pPr>
      <w:r>
        <w:rPr>
          <w:rStyle w:val="14"/>
          <w:rFonts w:hint="eastAsia" w:ascii="Segoe UI" w:hAnsi="Segoe UI" w:eastAsia="Segoe UI" w:cs="Segoe UI"/>
          <w:bCs/>
          <w:i w:val="0"/>
          <w:iCs w:val="0"/>
          <w:caps w:val="0"/>
          <w:color w:val="0F1115"/>
          <w:spacing w:val="0"/>
          <w:kern w:val="0"/>
          <w:sz w:val="24"/>
          <w:szCs w:val="24"/>
          <w:shd w:val="clear" w:fill="FFFFFF"/>
          <w:lang w:val="en-US" w:eastAsia="zh-CN" w:bidi="ar"/>
        </w:rPr>
        <w:t>State-Driven Information Flow</w:t>
      </w:r>
    </w:p>
    <w:p w14:paraId="2ECA04BB">
      <w:pPr>
        <w:widowControl w:val="0"/>
        <w:spacing w:line="480" w:lineRule="auto"/>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Let the state of the system at time </w:t>
      </w:r>
      <w:r>
        <w:rPr>
          <w:rFonts w:hint="eastAsia" w:ascii="Times New Roman" w:hAnsi="Times New Roman" w:eastAsia="宋体" w:cs="Times New Roman"/>
          <w:i/>
          <w:iCs/>
          <w:color w:val="000000"/>
          <w:kern w:val="0"/>
          <w:sz w:val="24"/>
          <w:szCs w:val="24"/>
          <w:lang w:val="en-US" w:eastAsia="zh-CN" w:bidi="ar"/>
        </w:rPr>
        <w:t>t</w:t>
      </w:r>
      <w:r>
        <w:rPr>
          <w:rFonts w:hint="eastAsia" w:ascii="Times New Roman" w:hAnsi="Times New Roman" w:eastAsia="宋体" w:cs="Times New Roman"/>
          <w:color w:val="000000"/>
          <w:kern w:val="0"/>
          <w:sz w:val="24"/>
          <w:szCs w:val="24"/>
          <w:lang w:val="en-US" w:eastAsia="zh-CN" w:bidi="ar"/>
        </w:rPr>
        <w:t xml:space="preserve"> be denoted as S</w:t>
      </w:r>
      <w:r>
        <w:rPr>
          <w:rFonts w:hint="eastAsia" w:ascii="Times New Roman" w:hAnsi="Times New Roman" w:eastAsia="宋体" w:cs="Times New Roman"/>
          <w:color w:val="000000"/>
          <w:kern w:val="0"/>
          <w:sz w:val="21"/>
          <w:szCs w:val="21"/>
          <w:lang w:val="en-US" w:eastAsia="zh-CN" w:bidi="ar"/>
        </w:rPr>
        <w:t>t</w:t>
      </w:r>
      <w:r>
        <w:rPr>
          <w:rFonts w:hint="eastAsia" w:ascii="Times New Roman" w:hAnsi="Times New Roman" w:eastAsia="宋体" w:cs="Times New Roman"/>
          <w:color w:val="000000"/>
          <w:kern w:val="0"/>
          <w:sz w:val="24"/>
          <w:szCs w:val="24"/>
          <w:lang w:val="en-US" w:eastAsia="zh-CN" w:bidi="ar"/>
        </w:rPr>
        <w:t>. The information flow process of the system can be formally described by the following steps:</w:t>
      </w:r>
    </w:p>
    <w:p w14:paraId="0451250F">
      <w:pPr>
        <w:widowControl w:val="0"/>
        <w:numPr>
          <w:ilvl w:val="0"/>
          <w:numId w:val="6"/>
        </w:numPr>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Initialize the state and receive the patient's original four-examination information </w:t>
      </w:r>
      <m:oMath>
        <m:r>
          <m:rPr>
            <m:sty m:val="p"/>
          </m:rPr>
          <w:rPr>
            <w:rFonts w:hint="default" w:ascii="Times New Roman" w:hAnsi="Times New Roman" w:eastAsia="宋体" w:cs="Times New Roman"/>
            <w:color w:val="000000"/>
            <w:kern w:val="0"/>
            <w:sz w:val="24"/>
            <w:szCs w:val="24"/>
            <w:lang w:val="en-US" w:eastAsia="zh-CN" w:bidi="ar"/>
          </w:rPr>
          <m:t xml:space="preserve"> P</m:t>
        </m:r>
      </m:oMath>
      <w:r>
        <w:rPr>
          <w:rFonts w:hint="eastAsia" w:ascii="Times New Roman" w:hAnsi="Times New Roman" w:eastAsia="宋体" w:cs="Times New Roman"/>
          <w:color w:val="000000"/>
          <w:kern w:val="0"/>
          <w:sz w:val="24"/>
          <w:szCs w:val="24"/>
          <w:lang w:val="en-US" w:eastAsia="zh-CN" w:bidi="ar"/>
        </w:rPr>
        <w:t xml:space="preserve">. </w:t>
      </w:r>
      <m:oMath>
        <m:r>
          <m:rPr>
            <m:sty m:val="p"/>
          </m:rPr>
          <w:rPr>
            <w:rFonts w:hint="default" w:ascii="Times New Roman" w:hAnsi="Times New Roman" w:eastAsia="宋体" w:cs="Times New Roman"/>
            <w:color w:val="000000"/>
            <w:kern w:val="0"/>
            <w:sz w:val="24"/>
            <w:szCs w:val="24"/>
            <w:lang w:val="en-US" w:eastAsia="zh-CN" w:bidi="ar"/>
          </w:rPr>
          <m:t>∅</m:t>
        </m:r>
      </m:oMath>
      <w:r>
        <w:rPr>
          <w:rFonts w:hint="eastAsia" w:hAnsi="Times New Roman" w:eastAsia="宋体" w:cs="Times New Roman"/>
          <w:b w:val="0"/>
          <w:i w:val="0"/>
          <w:color w:val="000000"/>
          <w:kern w:val="0"/>
          <w:sz w:val="24"/>
          <w:szCs w:val="24"/>
          <w:lang w:val="en-US" w:eastAsia="zh-CN" w:bidi="ar"/>
        </w:rPr>
        <w:t xml:space="preserve"> </w:t>
      </w:r>
      <w:r>
        <w:rPr>
          <w:rFonts w:hint="eastAsia" w:ascii="Times New Roman" w:hAnsi="Times New Roman" w:eastAsia="宋体" w:cs="Times New Roman"/>
          <w:color w:val="000000"/>
          <w:kern w:val="0"/>
          <w:sz w:val="24"/>
          <w:szCs w:val="24"/>
          <w:lang w:val="en-US" w:eastAsia="zh-CN" w:bidi="ar"/>
        </w:rPr>
        <w:t>denotes an empty or not-yet-generated value.</w:t>
      </w:r>
    </w:p>
    <w:p w14:paraId="1DFFFC67">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m:oMathPara>
        <m:oMath>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S</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0</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m:t>
          </m:r>
          <m:d>
            <m:dPr>
              <m:begChr m:val="{"/>
              <m:endChr m:val="}"/>
              <m:ctrlPr>
                <w:rPr>
                  <w:rFonts w:hint="default" w:ascii="Cambria Math" w:hAnsi="Cambria Math" w:eastAsia="宋体" w:cs="Times New Roman"/>
                  <w:color w:val="000000"/>
                  <w:kern w:val="0"/>
                  <w:sz w:val="24"/>
                  <w:szCs w:val="24"/>
                  <w:lang w:val="en-US" w:eastAsia="zh-CN" w:bidi="ar"/>
                </w:rPr>
              </m:ctrlPr>
            </m:dPr>
            <m:e>
              <m:r>
                <m:rPr>
                  <m:sty m:val="p"/>
                </m:rPr>
                <w:rPr>
                  <w:rFonts w:hint="default" w:ascii="Times New Roman" w:hAnsi="Times New Roman" w:eastAsia="宋体" w:cs="Times New Roman"/>
                  <w:color w:val="000000"/>
                  <w:kern w:val="0"/>
                  <w:sz w:val="24"/>
                  <w:szCs w:val="24"/>
                  <w:lang w:val="en-US" w:eastAsia="zh-CN" w:bidi="ar"/>
                </w:rPr>
                <m:t>P,∅,∅,∅,∅,∅</m:t>
              </m:r>
              <m:ctrlPr>
                <w:rPr>
                  <w:rFonts w:hint="default" w:ascii="Cambria Math" w:hAnsi="Cambria Math" w:eastAsia="宋体" w:cs="Times New Roman"/>
                  <w:color w:val="000000"/>
                  <w:kern w:val="0"/>
                  <w:sz w:val="24"/>
                  <w:szCs w:val="24"/>
                  <w:lang w:val="en-US" w:eastAsia="zh-CN" w:bidi="ar"/>
                </w:rPr>
              </m:ctrlPr>
            </m:e>
          </m:d>
          <m:r>
            <m:rPr>
              <m:sty m:val="p"/>
            </m:rPr>
            <w:rPr>
              <w:rFonts w:hint="default" w:ascii="Times New Roman" w:hAnsi="Times New Roman" w:eastAsia="宋体" w:cs="Times New Roman"/>
              <w:color w:val="000000"/>
              <w:kern w:val="0"/>
              <w:sz w:val="24"/>
              <w:szCs w:val="24"/>
              <w:lang w:val="en-US" w:eastAsia="zh-CN" w:bidi="ar"/>
            </w:rPr>
            <m:t xml:space="preserve"> </m:t>
          </m:r>
        </m:oMath>
      </m:oMathPara>
    </w:p>
    <w:p w14:paraId="247E8108">
      <w:pPr>
        <w:widowControl w:val="0"/>
        <w:numPr>
          <w:ilvl w:val="0"/>
          <w:numId w:val="6"/>
        </w:numPr>
        <w:spacing w:line="480" w:lineRule="auto"/>
        <w:ind w:left="0" w:leftChars="0" w:firstLine="240" w:firstLineChars="100"/>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Activate the Main Symptom Agent, receive P, and transform it into the structured main symptom set </w:t>
      </w:r>
      <m:oMath>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sub>
        </m:sSub>
      </m:oMath>
      <w:r>
        <w:rPr>
          <w:rFonts w:hint="eastAsia" w:ascii="Times New Roman" w:hAnsi="Times New Roman" w:eastAsia="宋体" w:cs="Times New Roman"/>
          <w:color w:val="000000"/>
          <w:kern w:val="0"/>
          <w:sz w:val="24"/>
          <w:szCs w:val="24"/>
          <w:lang w:val="en-US" w:eastAsia="zh-CN" w:bidi="ar"/>
        </w:rPr>
        <w:t>.</w:t>
      </w:r>
    </w:p>
    <w:p w14:paraId="798A8AA5">
      <w:pPr>
        <w:widowControl w:val="0"/>
        <w:spacing w:line="480" w:lineRule="auto"/>
        <w:jc w:val="both"/>
        <w:rPr>
          <w:rFonts w:hint="default" w:ascii="Times New Roman" w:hAnsi="Times New Roman" w:eastAsia="宋体" w:cs="Times New Roman"/>
          <w:color w:val="000000"/>
          <w:kern w:val="0"/>
          <w:sz w:val="24"/>
          <w:szCs w:val="24"/>
          <w:lang w:val="en-US" w:eastAsia="zh-CN" w:bidi="ar"/>
        </w:rPr>
      </w:pPr>
      <m:oMathPara>
        <m:oMathParaPr>
          <m:jc m:val="center"/>
        </m:oMathParaPr>
        <m:oMath>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S</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1</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m:t>
          </m:r>
          <m:d>
            <m:dPr>
              <m:begChr m:val="{"/>
              <m:endChr m:val="}"/>
              <m:ctrlPr>
                <w:rPr>
                  <w:rFonts w:hint="default" w:ascii="Cambria Math" w:hAnsi="Cambria Math" w:eastAsia="宋体" w:cs="Times New Roman"/>
                  <w:color w:val="000000"/>
                  <w:kern w:val="0"/>
                  <w:sz w:val="24"/>
                  <w:szCs w:val="24"/>
                  <w:lang w:val="en-US" w:eastAsia="zh-CN" w:bidi="ar"/>
                </w:rPr>
              </m:ctrlPr>
            </m:dPr>
            <m:e>
              <m:r>
                <m:rPr>
                  <m:sty m:val="p"/>
                </m:rPr>
                <w:rPr>
                  <w:rFonts w:hint="default" w:ascii="Times New Roman" w:hAnsi="Times New Roman" w:eastAsia="宋体" w:cs="Times New Roman"/>
                  <w:color w:val="000000"/>
                  <w:kern w:val="0"/>
                  <w:sz w:val="24"/>
                  <w:szCs w:val="24"/>
                  <w:lang w:val="en-US" w:eastAsia="zh-CN" w:bidi="ar"/>
                </w:rPr>
                <m:t>P,</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Cambria Math" w:hAnsi="Cambria Math"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m:t>
              </m:r>
              <m:ctrlPr>
                <w:rPr>
                  <w:rFonts w:hint="default" w:ascii="Cambria Math" w:hAnsi="Cambria Math" w:eastAsia="宋体" w:cs="Times New Roman"/>
                  <w:color w:val="000000"/>
                  <w:kern w:val="0"/>
                  <w:sz w:val="24"/>
                  <w:szCs w:val="24"/>
                  <w:lang w:val="en-US" w:eastAsia="zh-CN" w:bidi="ar"/>
                </w:rPr>
              </m:ctrlPr>
            </m:e>
          </m:d>
        </m:oMath>
      </m:oMathPara>
    </w:p>
    <w:p w14:paraId="64B4FC73">
      <w:pPr>
        <w:widowControl w:val="0"/>
        <w:numPr>
          <w:ilvl w:val="0"/>
          <w:numId w:val="6"/>
        </w:numPr>
        <w:spacing w:line="480" w:lineRule="auto"/>
        <w:ind w:left="0" w:leftChars="0" w:firstLine="240" w:firstLineChars="100"/>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Activate the Multi-dimensional Diagnosis Agent, receive </w:t>
      </w:r>
      <m:oMath>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sub>
        </m:sSub>
      </m:oMath>
      <w:r>
        <w:rPr>
          <w:rFonts w:hint="eastAsia" w:ascii="Times New Roman" w:hAnsi="Times New Roman" w:eastAsia="宋体" w:cs="Times New Roman"/>
          <w:color w:val="000000"/>
          <w:kern w:val="0"/>
          <w:sz w:val="24"/>
          <w:szCs w:val="24"/>
          <w:lang w:val="en-US" w:eastAsia="zh-CN" w:bidi="ar"/>
        </w:rPr>
        <w:t xml:space="preserve">, and transform it into the structured pathogenesis set </w:t>
      </w:r>
      <m:oMath>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P</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m</m:t>
            </m:r>
            <m:ctrlPr>
              <w:rPr>
                <w:rFonts w:hint="default" w:ascii="Cambria Math" w:hAnsi="Cambria Math" w:eastAsia="宋体" w:cs="Times New Roman"/>
                <w:color w:val="000000"/>
                <w:kern w:val="0"/>
                <w:sz w:val="24"/>
                <w:szCs w:val="24"/>
                <w:lang w:val="en-US" w:eastAsia="zh-CN" w:bidi="ar"/>
              </w:rPr>
            </m:ctrlPr>
          </m:sub>
        </m:sSub>
      </m:oMath>
      <w:r>
        <w:rPr>
          <w:rFonts w:hint="eastAsia" w:ascii="Times New Roman" w:hAnsi="Times New Roman" w:eastAsia="宋体" w:cs="Times New Roman"/>
          <w:color w:val="000000"/>
          <w:kern w:val="0"/>
          <w:sz w:val="24"/>
          <w:szCs w:val="24"/>
          <w:lang w:val="en-US" w:eastAsia="zh-CN" w:bidi="ar"/>
        </w:rPr>
        <w:t>.</w:t>
      </w:r>
    </w:p>
    <w:p w14:paraId="076DAE69">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m:oMathPara>
        <m:oMath>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S</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2</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m:t>
          </m:r>
          <m:d>
            <m:dPr>
              <m:begChr m:val="{"/>
              <m:endChr m:val="}"/>
              <m:ctrlPr>
                <w:rPr>
                  <w:rFonts w:hint="default" w:ascii="Cambria Math" w:hAnsi="Cambria Math" w:eastAsia="宋体" w:cs="Times New Roman"/>
                  <w:color w:val="000000"/>
                  <w:kern w:val="0"/>
                  <w:sz w:val="24"/>
                  <w:szCs w:val="24"/>
                  <w:lang w:val="en-US" w:eastAsia="zh-CN" w:bidi="ar"/>
                </w:rPr>
              </m:ctrlPr>
            </m:dPr>
            <m:e>
              <m:r>
                <m:rPr>
                  <m:sty m:val="p"/>
                </m:rPr>
                <w:rPr>
                  <w:rFonts w:hint="default" w:ascii="Times New Roman" w:hAnsi="Times New Roman" w:eastAsia="宋体" w:cs="Times New Roman"/>
                  <w:color w:val="000000"/>
                  <w:kern w:val="0"/>
                  <w:sz w:val="24"/>
                  <w:szCs w:val="24"/>
                  <w:lang w:val="en-US" w:eastAsia="zh-CN" w:bidi="ar"/>
                </w:rPr>
                <m:t>P,</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Cambria Math" w:hAnsi="Cambria Math"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P</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m</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m:t>
              </m:r>
              <m:ctrlPr>
                <w:rPr>
                  <w:rFonts w:hint="default" w:ascii="Cambria Math" w:hAnsi="Cambria Math" w:eastAsia="宋体" w:cs="Times New Roman"/>
                  <w:color w:val="000000"/>
                  <w:kern w:val="0"/>
                  <w:sz w:val="24"/>
                  <w:szCs w:val="24"/>
                  <w:lang w:val="en-US" w:eastAsia="zh-CN" w:bidi="ar"/>
                </w:rPr>
              </m:ctrlPr>
            </m:e>
          </m:d>
        </m:oMath>
      </m:oMathPara>
    </w:p>
    <w:p w14:paraId="37C0813C">
      <w:pPr>
        <w:widowControl w:val="0"/>
        <w:numPr>
          <w:ilvl w:val="0"/>
          <w:numId w:val="6"/>
        </w:numPr>
        <w:spacing w:line="480" w:lineRule="auto"/>
        <w:ind w:left="0" w:leftChars="0" w:firstLine="240" w:firstLineChars="100"/>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Activate the Integrated Prescription Agent, receive Cc and Pm, and invoke its four internal RAG submodules in parallel for retrieval. Each submodule returns corresponding knowledge fragments and chains-of-thought </w:t>
      </w:r>
      <m:oMath>
        <m:r>
          <m:rPr>
            <m:sty m:val="p"/>
          </m:rPr>
          <w:rPr>
            <w:rFonts w:hint="default" w:ascii="Times New Roman" w:hAnsi="Times New Roman" w:eastAsia="宋体" w:cs="Times New Roman"/>
            <w:color w:val="000000"/>
            <w:kern w:val="0"/>
            <w:sz w:val="24"/>
            <w:szCs w:val="24"/>
            <w:lang w:val="en-US" w:eastAsia="zh-CN" w:bidi="ar"/>
          </w:rPr>
          <m:t>RP</m:t>
        </m:r>
      </m:oMath>
      <w:r>
        <w:rPr>
          <w:rFonts w:hint="eastAsia" w:ascii="Times New Roman" w:hAnsi="Times New Roman" w:eastAsia="宋体" w:cs="Times New Roman"/>
          <w:color w:val="000000"/>
          <w:kern w:val="0"/>
          <w:sz w:val="24"/>
          <w:szCs w:val="24"/>
          <w:lang w:val="en-US" w:eastAsia="zh-CN" w:bidi="ar"/>
        </w:rPr>
        <w:t xml:space="preserve">.The Integrated Treatment Module dynamically assembles these results into a prompt template and inputs it into the base model to generate the final prescription </w:t>
      </w:r>
      <m:oMath>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R</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x</m:t>
            </m:r>
            <m:ctrlPr>
              <w:rPr>
                <w:rFonts w:hint="default" w:ascii="Cambria Math" w:hAnsi="Cambria Math" w:eastAsia="宋体" w:cs="Times New Roman"/>
                <w:color w:val="000000"/>
                <w:kern w:val="0"/>
                <w:sz w:val="24"/>
                <w:szCs w:val="24"/>
                <w:lang w:val="en-US" w:eastAsia="zh-CN" w:bidi="ar"/>
              </w:rPr>
            </m:ctrlPr>
          </m:sub>
        </m:sSub>
      </m:oMath>
      <w:r>
        <w:rPr>
          <w:rFonts w:hint="eastAsia" w:ascii="Times New Roman" w:hAnsi="Times New Roman" w:eastAsia="宋体" w:cs="Times New Roman"/>
          <w:color w:val="000000"/>
          <w:kern w:val="0"/>
          <w:sz w:val="24"/>
          <w:szCs w:val="24"/>
          <w:lang w:val="en-US" w:eastAsia="zh-CN" w:bidi="ar"/>
        </w:rPr>
        <w:t>.</w:t>
      </w:r>
    </w:p>
    <w:p w14:paraId="6339CB1D">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m:oMathPara>
        <m:oMath>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S</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3</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m:t>
          </m:r>
          <m:d>
            <m:dPr>
              <m:begChr m:val="{"/>
              <m:endChr m:val="}"/>
              <m:ctrlPr>
                <w:rPr>
                  <w:rFonts w:hint="default" w:ascii="Cambria Math" w:hAnsi="Cambria Math" w:eastAsia="宋体" w:cs="Times New Roman"/>
                  <w:color w:val="000000"/>
                  <w:kern w:val="0"/>
                  <w:sz w:val="24"/>
                  <w:szCs w:val="24"/>
                  <w:lang w:val="en-US" w:eastAsia="zh-CN" w:bidi="ar"/>
                </w:rPr>
              </m:ctrlPr>
            </m:dPr>
            <m:e>
              <m:r>
                <m:rPr>
                  <m:sty m:val="p"/>
                </m:rPr>
                <w:rPr>
                  <w:rFonts w:hint="default" w:ascii="Times New Roman" w:hAnsi="Times New Roman" w:eastAsia="宋体" w:cs="Times New Roman"/>
                  <w:color w:val="000000"/>
                  <w:kern w:val="0"/>
                  <w:sz w:val="24"/>
                  <w:szCs w:val="24"/>
                  <w:lang w:val="en-US" w:eastAsia="zh-CN" w:bidi="ar"/>
                </w:rPr>
                <m:t>P,</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P</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m</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,RP,</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R</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x</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m:t>
              </m:r>
              <m:ctrlPr>
                <w:rPr>
                  <w:rFonts w:hint="default" w:ascii="Cambria Math" w:hAnsi="Cambria Math" w:eastAsia="宋体" w:cs="Times New Roman"/>
                  <w:color w:val="000000"/>
                  <w:kern w:val="0"/>
                  <w:sz w:val="24"/>
                  <w:szCs w:val="24"/>
                  <w:lang w:val="en-US" w:eastAsia="zh-CN" w:bidi="ar"/>
                </w:rPr>
              </m:ctrlPr>
            </m:e>
          </m:d>
        </m:oMath>
      </m:oMathPara>
    </w:p>
    <w:p w14:paraId="0E38CC5D">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5.Activate the Visualization and Tracing Agent for the pattern differentiation and treatment pathway, receive all outputs from the preceding agents, and transform them into the visual output </w:t>
      </w:r>
      <m:oMath>
        <m:r>
          <m:rPr>
            <m:sty m:val="p"/>
          </m:rPr>
          <w:rPr>
            <w:rFonts w:hint="default" w:ascii="Times New Roman" w:hAnsi="Times New Roman" w:eastAsia="宋体" w:cs="Times New Roman"/>
            <w:color w:val="000000"/>
            <w:kern w:val="0"/>
            <w:sz w:val="24"/>
            <w:szCs w:val="24"/>
            <w:lang w:val="en-US" w:eastAsia="zh-CN" w:bidi="ar"/>
          </w:rPr>
          <m:t>V</m:t>
        </m:r>
      </m:oMath>
      <w:r>
        <w:rPr>
          <w:rFonts w:hint="eastAsia" w:ascii="Times New Roman" w:hAnsi="Times New Roman" w:eastAsia="宋体" w:cs="Times New Roman"/>
          <w:color w:val="000000"/>
          <w:kern w:val="0"/>
          <w:sz w:val="24"/>
          <w:szCs w:val="24"/>
          <w:lang w:val="en-US" w:eastAsia="zh-CN" w:bidi="ar"/>
        </w:rPr>
        <w:t>.</w:t>
      </w:r>
    </w:p>
    <w:p w14:paraId="71D63759">
      <w:pPr>
        <w:widowControl w:val="0"/>
        <w:spacing w:line="480" w:lineRule="auto"/>
        <w:ind w:firstLine="240" w:firstLineChars="100"/>
        <w:jc w:val="both"/>
        <w:rPr>
          <w:rFonts w:hint="default" w:hAnsi="Cambria Math" w:eastAsia="宋体" w:cs="Times New Roman"/>
          <w:i w:val="0"/>
          <w:color w:val="000000"/>
          <w:kern w:val="0"/>
          <w:sz w:val="24"/>
          <w:szCs w:val="24"/>
          <w:lang w:val="en-US" w:eastAsia="zh-CN" w:bidi="ar"/>
        </w:rPr>
      </w:pPr>
      <m:oMathPara>
        <m:oMath>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S</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4</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m:t>
          </m:r>
          <m:d>
            <m:dPr>
              <m:begChr m:val="{"/>
              <m:endChr m:val="}"/>
              <m:ctrlPr>
                <w:rPr>
                  <w:rFonts w:hint="default" w:ascii="Cambria Math" w:hAnsi="Cambria Math" w:eastAsia="宋体" w:cs="Times New Roman"/>
                  <w:color w:val="000000"/>
                  <w:kern w:val="0"/>
                  <w:sz w:val="24"/>
                  <w:szCs w:val="24"/>
                  <w:lang w:val="en-US" w:eastAsia="zh-CN" w:bidi="ar"/>
                </w:rPr>
              </m:ctrlPr>
            </m:dPr>
            <m:e>
              <m:r>
                <m:rPr>
                  <m:sty m:val="p"/>
                </m:rPr>
                <w:rPr>
                  <w:rFonts w:hint="default" w:ascii="Times New Roman" w:hAnsi="Times New Roman" w:eastAsia="宋体" w:cs="Times New Roman"/>
                  <w:color w:val="000000"/>
                  <w:kern w:val="0"/>
                  <w:sz w:val="24"/>
                  <w:szCs w:val="24"/>
                  <w:lang w:val="en-US" w:eastAsia="zh-CN" w:bidi="ar"/>
                </w:rPr>
                <m:t>P,</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P</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m</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,RP,</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R</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x</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,V</m:t>
              </m:r>
              <m:ctrlPr>
                <w:rPr>
                  <w:rFonts w:hint="default" w:ascii="Cambria Math" w:hAnsi="Cambria Math" w:eastAsia="宋体" w:cs="Times New Roman"/>
                  <w:color w:val="000000"/>
                  <w:kern w:val="0"/>
                  <w:sz w:val="24"/>
                  <w:szCs w:val="24"/>
                  <w:lang w:val="en-US" w:eastAsia="zh-CN" w:bidi="ar"/>
                </w:rPr>
              </m:ctrlPr>
            </m:e>
          </m:d>
        </m:oMath>
      </m:oMathPara>
    </w:p>
    <w:p w14:paraId="6D23290A">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Figure 2 presents the state‑driven information flow of MAC‑TCMRx, which formally captures the entire transition from P to V.</w:t>
      </w:r>
    </w:p>
    <w:p w14:paraId="2F96C160">
      <w:pPr>
        <w:widowControl w:val="0"/>
        <w:numPr>
          <w:ilvl w:val="0"/>
          <w:numId w:val="0"/>
        </w:numPr>
        <w:spacing w:line="480" w:lineRule="auto"/>
        <w:jc w:val="center"/>
        <w:rPr>
          <w:rFonts w:hint="eastAsia" w:hAnsi="Cambria Math" w:eastAsia="宋体" w:cs="Times New Roman"/>
          <w:i w:val="0"/>
          <w:color w:val="000000"/>
          <w:kern w:val="0"/>
          <w:sz w:val="24"/>
          <w:szCs w:val="24"/>
          <w:lang w:val="en-US" w:eastAsia="zh-CN" w:bidi="ar"/>
        </w:rPr>
      </w:pPr>
      <w:r>
        <w:rPr>
          <w:rStyle w:val="14"/>
          <w:rFonts w:hint="eastAsia" w:ascii="Segoe UI" w:hAnsi="Segoe UI" w:eastAsia="Segoe UI" w:cs="Segoe UI"/>
          <w:bCs/>
          <w:i w:val="0"/>
          <w:iCs w:val="0"/>
          <w:caps w:val="0"/>
          <w:color w:val="0F1115"/>
          <w:spacing w:val="0"/>
          <w:kern w:val="0"/>
          <w:sz w:val="24"/>
          <w:szCs w:val="24"/>
          <w:shd w:val="clear" w:fill="FFFFFF"/>
          <w:lang w:val="en-US" w:eastAsia="zh-CN" w:bidi="ar"/>
        </w:rPr>
        <w:pict>
          <v:shape id="_x0000_s1034" o:spid="_x0000_s1034" o:spt="75" type="#_x0000_t75" style="position:absolute;left:0pt;margin-left:92pt;margin-top:0.75pt;height:333.5pt;width:247.75pt;mso-wrap-distance-bottom:0pt;mso-wrap-distance-top:0pt;z-index:251660288;mso-width-relative:page;mso-height-relative:page;" o:ole="t" filled="f" o:preferrelative="t" stroked="f" coordsize="21600,21600">
            <v:path/>
            <v:fill on="f" focussize="0,0"/>
            <v:stroke on="f"/>
            <v:imagedata r:id="rId7" o:title=""/>
            <o:lock v:ext="edit" aspectratio="f"/>
            <w10:wrap type="topAndBottom"/>
          </v:shape>
          <o:OLEObject Type="Embed" ProgID="Visio.Drawing.15" ShapeID="_x0000_s1034" DrawAspect="Content" ObjectID="_1468075725" r:id="rId6">
            <o:LockedField>false</o:LockedField>
          </o:OLEObject>
        </w:pict>
      </w:r>
      <w:r>
        <w:rPr>
          <w:rFonts w:hint="default" w:ascii="Times New Roman" w:hAnsi="Times New Roman" w:eastAsia="宋体" w:cs="Times New Roman"/>
          <w:color w:val="000000"/>
          <w:kern w:val="0"/>
          <w:sz w:val="24"/>
          <w:szCs w:val="24"/>
          <w:lang w:val="en-US" w:eastAsia="zh-CN" w:bidi="ar"/>
        </w:rPr>
        <w:t xml:space="preserve">Figure </w:t>
      </w:r>
      <w:r>
        <w:rPr>
          <w:rFonts w:hint="eastAsia" w:ascii="Times New Roman" w:hAnsi="Times New Roman" w:eastAsia="宋体" w:cs="Times New Roman"/>
          <w:color w:val="000000"/>
          <w:kern w:val="0"/>
          <w:sz w:val="24"/>
          <w:szCs w:val="24"/>
          <w:lang w:val="en-US" w:eastAsia="zh-CN" w:bidi="ar"/>
        </w:rPr>
        <w:t>2.</w:t>
      </w:r>
      <w:r>
        <w:rPr>
          <w:rFonts w:hint="default" w:ascii="Times New Roman" w:hAnsi="Times New Roman" w:eastAsia="宋体" w:cs="Times New Roman"/>
          <w:color w:val="000000"/>
          <w:kern w:val="0"/>
          <w:sz w:val="24"/>
          <w:szCs w:val="24"/>
          <w:lang w:val="en-US" w:eastAsia="zh-CN" w:bidi="ar"/>
        </w:rPr>
        <w:t xml:space="preserve"> State-Driven Information Flow Diagram</w:t>
      </w:r>
    </w:p>
    <w:p w14:paraId="24296CEB">
      <w:pPr>
        <w:spacing w:line="480" w:lineRule="auto"/>
        <w:rPr>
          <w:rStyle w:val="14"/>
          <w:rFonts w:hint="default" w:ascii="Segoe UI" w:hAnsi="Segoe UI" w:eastAsia="Segoe UI" w:cs="Segoe UI"/>
          <w:bCs/>
          <w:i w:val="0"/>
          <w:iCs w:val="0"/>
          <w:caps w:val="0"/>
          <w:color w:val="0F1115"/>
          <w:spacing w:val="0"/>
          <w:kern w:val="0"/>
          <w:sz w:val="24"/>
          <w:szCs w:val="24"/>
          <w:shd w:val="clear" w:fill="FFFFFF"/>
          <w:lang w:val="en-US" w:eastAsia="zh-CN" w:bidi="ar"/>
        </w:rPr>
      </w:pPr>
      <w:r>
        <w:rPr>
          <w:rStyle w:val="14"/>
          <w:rFonts w:hint="default" w:ascii="Segoe UI" w:hAnsi="Segoe UI" w:eastAsia="Segoe UI" w:cs="Segoe UI"/>
          <w:bCs/>
          <w:i w:val="0"/>
          <w:iCs w:val="0"/>
          <w:caps w:val="0"/>
          <w:color w:val="0F1115"/>
          <w:spacing w:val="0"/>
          <w:kern w:val="0"/>
          <w:sz w:val="24"/>
          <w:szCs w:val="24"/>
          <w:shd w:val="clear" w:fill="FFFFFF"/>
          <w:lang w:val="en-US" w:eastAsia="zh-CN" w:bidi="ar"/>
        </w:rPr>
        <w:t>Model Evaluation Experimental Setup</w:t>
      </w:r>
    </w:p>
    <w:p w14:paraId="4E304F45">
      <w:pPr>
        <w:pStyle w:val="10"/>
        <w:keepNext w:val="0"/>
        <w:keepLines w:val="0"/>
        <w:widowControl/>
        <w:suppressLineNumbers w:val="0"/>
        <w:shd w:val="clear" w:fill="FFFFFF"/>
        <w:spacing w:before="160" w:beforeAutospacing="0" w:after="160" w:afterAutospacing="0" w:line="480" w:lineRule="auto"/>
        <w:ind w:right="0"/>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To systematically and objectively evaluate the comprehensive performance of the proposed MAC-TCMRx, this study designed an experimental protocol comprising both quantitative comparison and qualitative evaluation, aiming to comprehensively validate the model in terms of its fidelity to the renowned practitioner's clinical reasoning, its ability to reproduce the pattern differentiation and treatment process, and the interpretability of its prescriptions. This phase focuses on comparing the prescription interpretability between MAC-TCMRx and Baseline model, with particular emphasis on evaluating the clarity, accuracy, and value for inheritance of the generated results in presenting Professor Wu Zhongchao's academic thought and reproducing the complete pattern differentiation and treatment reasoning process.</w:t>
      </w:r>
    </w:p>
    <w:p w14:paraId="5F7660C4">
      <w:pPr>
        <w:spacing w:line="480" w:lineRule="auto"/>
        <w:rPr>
          <w:rStyle w:val="14"/>
          <w:rFonts w:hint="default" w:ascii="Segoe UI" w:hAnsi="Segoe UI" w:eastAsia="Segoe UI" w:cs="Segoe UI"/>
          <w:bCs/>
          <w:i w:val="0"/>
          <w:iCs w:val="0"/>
          <w:caps w:val="0"/>
          <w:color w:val="0F1115"/>
          <w:spacing w:val="0"/>
          <w:kern w:val="0"/>
          <w:sz w:val="24"/>
          <w:szCs w:val="24"/>
          <w:shd w:val="clear" w:fill="FFFFFF"/>
          <w:lang w:val="en-US" w:eastAsia="zh-CN" w:bidi="ar"/>
        </w:rPr>
      </w:pPr>
      <w:r>
        <w:rPr>
          <w:rStyle w:val="14"/>
          <w:rFonts w:hint="default" w:ascii="Segoe UI" w:hAnsi="Segoe UI" w:eastAsia="Segoe UI" w:cs="Segoe UI"/>
          <w:bCs/>
          <w:i w:val="0"/>
          <w:iCs w:val="0"/>
          <w:caps w:val="0"/>
          <w:color w:val="0F1115"/>
          <w:spacing w:val="0"/>
          <w:kern w:val="0"/>
          <w:sz w:val="24"/>
          <w:szCs w:val="24"/>
          <w:shd w:val="clear" w:fill="FFFFFF"/>
          <w:lang w:val="en-US" w:eastAsia="zh-CN" w:bidi="ar"/>
        </w:rPr>
        <w:t>Data Sources and Inclusion/Exclusion Criteria</w:t>
      </w:r>
    </w:p>
    <w:p w14:paraId="25C4FF34">
      <w:pPr>
        <w:widowControl w:val="0"/>
        <w:spacing w:line="480" w:lineRule="auto"/>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The data were obtained from the outpatient electronic medical records of Professor Wu Zhongchao stored in the Hospital Information System (HIS) of the Acupuncture and Moxibustion Hospital, China Academy of Chinese Medical Sciences, collected during the period from January 2024 to December 2024.</w:t>
      </w:r>
    </w:p>
    <w:p w14:paraId="5B226A94">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Inclusion criteria: Medical records with a clear diagnosis of Bi syndrome or related disorders (e.g., low back pain, cervical spondylosis, neck Bi, knee Bi, shoulder Bi, gout, etc.), containing complete information from the four examinations (chief complaint, symptoms, tongue and pulse findings, physical examination, etc.) and a Chinese herbal prescription.</w:t>
      </w:r>
    </w:p>
    <w:p w14:paraId="558CEF3A">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Exclusion criteria: Chief complaint unrelated to Bi syndrome; history record containing Bi-related symptoms but not as the main pattern; significant missing information from the four examinations (missing key symptoms or tongue and pulse findings); incomplete prescription records.</w:t>
      </w:r>
    </w:p>
    <w:p w14:paraId="10DBED40">
      <w:pPr>
        <w:pStyle w:val="10"/>
        <w:keepNext w:val="0"/>
        <w:keepLines w:val="0"/>
        <w:widowControl/>
        <w:suppressLineNumbers w:val="0"/>
        <w:shd w:val="clear" w:fill="FFFFFF"/>
        <w:spacing w:before="160" w:beforeAutospacing="0" w:after="160" w:afterAutospacing="0" w:line="480" w:lineRule="auto"/>
        <w:ind w:left="0" w:right="0" w:firstLine="0"/>
        <w:rPr>
          <w:rStyle w:val="14"/>
          <w:rFonts w:hint="default" w:ascii="Segoe UI" w:hAnsi="Segoe UI" w:eastAsia="Segoe UI" w:cs="Segoe UI"/>
          <w:bCs/>
          <w:i w:val="0"/>
          <w:iCs w:val="0"/>
          <w:caps w:val="0"/>
          <w:color w:val="0F1115"/>
          <w:spacing w:val="0"/>
          <w:kern w:val="0"/>
          <w:sz w:val="24"/>
          <w:szCs w:val="24"/>
          <w:shd w:val="clear" w:fill="FFFFFF"/>
          <w:lang w:val="en-US" w:eastAsia="zh-CN" w:bidi="ar"/>
        </w:rPr>
      </w:pPr>
      <w:r>
        <w:rPr>
          <w:rStyle w:val="14"/>
          <w:rFonts w:hint="default" w:ascii="Segoe UI" w:hAnsi="Segoe UI" w:eastAsia="Segoe UI" w:cs="Segoe UI"/>
          <w:bCs/>
          <w:i w:val="0"/>
          <w:iCs w:val="0"/>
          <w:caps w:val="0"/>
          <w:color w:val="0F1115"/>
          <w:spacing w:val="0"/>
          <w:kern w:val="0"/>
          <w:sz w:val="24"/>
          <w:szCs w:val="24"/>
          <w:shd w:val="clear" w:fill="FFFFFF"/>
          <w:lang w:val="en-US" w:eastAsia="zh-CN" w:bidi="ar"/>
        </w:rPr>
        <w:t>Quantitative Comparison Experiment</w:t>
      </w:r>
    </w:p>
    <w:p w14:paraId="3E47E509">
      <w:pPr>
        <w:pStyle w:val="10"/>
        <w:keepNext w:val="0"/>
        <w:keepLines w:val="0"/>
        <w:widowControl/>
        <w:suppressLineNumbers w:val="0"/>
        <w:shd w:val="clear" w:fill="FFFFFF"/>
        <w:spacing w:before="160" w:beforeAutospacing="0" w:after="160" w:afterAutospacing="0" w:line="480" w:lineRule="auto"/>
        <w:ind w:left="0" w:right="0" w:firstLine="0"/>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Evaluation setup: The clinical records that passed the inclusion/exclusion screening were used as the test set. Qwen2.5-72B was selected as the </w:t>
      </w:r>
      <w:r>
        <w:rPr>
          <w:rFonts w:hint="eastAsia" w:ascii="Times New Roman" w:hAnsi="Times New Roman" w:eastAsia="宋体" w:cs="Times New Roman"/>
          <w:color w:val="000000"/>
          <w:kern w:val="0"/>
          <w:sz w:val="24"/>
          <w:szCs w:val="24"/>
          <w:lang w:val="en-US" w:eastAsia="zh-CN" w:bidi="ar"/>
        </w:rPr>
        <w:t>Baseline model</w:t>
      </w:r>
      <w:r>
        <w:rPr>
          <w:rFonts w:hint="default" w:ascii="Times New Roman" w:hAnsi="Times New Roman" w:eastAsia="宋体" w:cs="Times New Roman"/>
          <w:color w:val="000000"/>
          <w:kern w:val="0"/>
          <w:sz w:val="24"/>
          <w:szCs w:val="24"/>
          <w:lang w:val="en-US" w:eastAsia="zh-CN" w:bidi="ar"/>
        </w:rPr>
        <w:t xml:space="preserve">. The base large language model used in </w:t>
      </w:r>
      <w:r>
        <w:rPr>
          <w:rFonts w:hint="eastAsia" w:ascii="Times New Roman" w:hAnsi="Times New Roman" w:eastAsia="宋体" w:cs="Times New Roman"/>
          <w:color w:val="000000"/>
          <w:kern w:val="0"/>
          <w:sz w:val="24"/>
          <w:szCs w:val="24"/>
          <w:lang w:val="en-US" w:eastAsia="zh-CN" w:bidi="ar"/>
        </w:rPr>
        <w:t>MAC-TCMRx</w:t>
      </w:r>
      <w:r>
        <w:rPr>
          <w:rFonts w:hint="default" w:ascii="Times New Roman" w:hAnsi="Times New Roman" w:eastAsia="宋体" w:cs="Times New Roman"/>
          <w:color w:val="000000"/>
          <w:kern w:val="0"/>
          <w:sz w:val="24"/>
          <w:szCs w:val="24"/>
          <w:lang w:val="en-US" w:eastAsia="zh-CN" w:bidi="ar"/>
        </w:rPr>
        <w:t xml:space="preserve"> constructed in this study was also set to Qwen2.5-72B. The four-examination information from each medical record was concatenated and organized together with an instruction to generate a prescription, and then input separately into </w:t>
      </w:r>
      <w:r>
        <w:rPr>
          <w:rFonts w:hint="eastAsia" w:ascii="Times New Roman" w:hAnsi="Times New Roman" w:eastAsia="宋体" w:cs="Times New Roman"/>
          <w:color w:val="000000"/>
          <w:kern w:val="0"/>
          <w:sz w:val="24"/>
          <w:szCs w:val="24"/>
          <w:lang w:val="en-US" w:eastAsia="zh-CN" w:bidi="ar"/>
        </w:rPr>
        <w:t>MAC-TCMRx</w:t>
      </w:r>
      <w:r>
        <w:rPr>
          <w:rFonts w:hint="default" w:ascii="Times New Roman" w:hAnsi="Times New Roman" w:eastAsia="宋体" w:cs="Times New Roman"/>
          <w:color w:val="000000"/>
          <w:kern w:val="0"/>
          <w:sz w:val="24"/>
          <w:szCs w:val="24"/>
          <w:lang w:val="en-US" w:eastAsia="zh-CN" w:bidi="ar"/>
        </w:rPr>
        <w:t xml:space="preserve"> and the </w:t>
      </w:r>
      <w:r>
        <w:rPr>
          <w:rFonts w:hint="eastAsia" w:ascii="Times New Roman" w:hAnsi="Times New Roman" w:eastAsia="宋体" w:cs="Times New Roman"/>
          <w:color w:val="000000"/>
          <w:kern w:val="0"/>
          <w:sz w:val="24"/>
          <w:szCs w:val="24"/>
          <w:lang w:val="en-US" w:eastAsia="zh-CN" w:bidi="ar"/>
        </w:rPr>
        <w:t>Baseline model</w:t>
      </w:r>
      <w:r>
        <w:rPr>
          <w:rFonts w:hint="default" w:ascii="Times New Roman" w:hAnsi="Times New Roman" w:eastAsia="宋体" w:cs="Times New Roman"/>
          <w:color w:val="000000"/>
          <w:kern w:val="0"/>
          <w:sz w:val="24"/>
          <w:szCs w:val="24"/>
          <w:lang w:val="en-US" w:eastAsia="zh-CN" w:bidi="ar"/>
        </w:rPr>
        <w:t xml:space="preserve"> to obtain their generated outputs.</w:t>
      </w:r>
    </w:p>
    <w:p w14:paraId="433A7001">
      <w:pPr>
        <w:pStyle w:val="10"/>
        <w:keepNext w:val="0"/>
        <w:keepLines w:val="0"/>
        <w:widowControl/>
        <w:suppressLineNumbers w:val="0"/>
        <w:shd w:val="clear" w:fill="FFFFFF"/>
        <w:spacing w:before="160" w:beforeAutospacing="0" w:after="160" w:afterAutospacing="0" w:line="480" w:lineRule="auto"/>
        <w:ind w:left="0" w:right="0" w:firstLine="240" w:firstLineChars="100"/>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Evaluation metrics: The following metrics were used to evaluate the prescription information in the outputs of </w:t>
      </w:r>
      <w:r>
        <w:rPr>
          <w:rFonts w:hint="eastAsia" w:ascii="Times New Roman" w:hAnsi="Times New Roman" w:eastAsia="宋体" w:cs="Times New Roman"/>
          <w:color w:val="000000"/>
          <w:kern w:val="0"/>
          <w:sz w:val="24"/>
          <w:szCs w:val="24"/>
          <w:lang w:val="en-US" w:eastAsia="zh-CN" w:bidi="ar"/>
        </w:rPr>
        <w:t>MAC-TCMRx</w:t>
      </w:r>
      <w:r>
        <w:rPr>
          <w:rFonts w:hint="default" w:ascii="Times New Roman" w:hAnsi="Times New Roman" w:eastAsia="宋体" w:cs="Times New Roman"/>
          <w:color w:val="000000"/>
          <w:kern w:val="0"/>
          <w:sz w:val="24"/>
          <w:szCs w:val="24"/>
          <w:lang w:val="en-US" w:eastAsia="zh-CN" w:bidi="ar"/>
        </w:rPr>
        <w:t xml:space="preserve"> and the </w:t>
      </w:r>
      <w:r>
        <w:rPr>
          <w:rFonts w:hint="eastAsia" w:ascii="Times New Roman" w:hAnsi="Times New Roman" w:eastAsia="宋体" w:cs="Times New Roman"/>
          <w:color w:val="000000"/>
          <w:kern w:val="0"/>
          <w:sz w:val="24"/>
          <w:szCs w:val="24"/>
          <w:lang w:val="en-US" w:eastAsia="zh-CN" w:bidi="ar"/>
        </w:rPr>
        <w:t>Baseline model</w:t>
      </w:r>
      <w:r>
        <w:rPr>
          <w:rFonts w:hint="default" w:ascii="Times New Roman" w:hAnsi="Times New Roman" w:eastAsia="宋体" w:cs="Times New Roman"/>
          <w:color w:val="000000"/>
          <w:kern w:val="0"/>
          <w:sz w:val="24"/>
          <w:szCs w:val="24"/>
          <w:lang w:val="en-US" w:eastAsia="zh-CN" w:bidi="ar"/>
        </w:rPr>
        <w:t>: Jaccard similarity coefficient, Dice coefficient, number of overlapping herbal drugs (average hit count), and core prescription matching degree.</w:t>
      </w:r>
    </w:p>
    <w:p w14:paraId="45F9DDE8">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1.</w:t>
      </w:r>
      <w:r>
        <w:rPr>
          <w:rFonts w:hint="default" w:ascii="Times New Roman" w:hAnsi="Times New Roman" w:eastAsia="宋体" w:cs="Times New Roman"/>
          <w:color w:val="000000"/>
          <w:kern w:val="0"/>
          <w:sz w:val="24"/>
          <w:szCs w:val="24"/>
          <w:lang w:val="en-US" w:eastAsia="zh-CN" w:bidi="ar"/>
        </w:rPr>
        <w:t>Jaccard similarity coefficient is calculated as:</w:t>
      </w:r>
    </w:p>
    <w:p w14:paraId="5896FBE3">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m:oMathPara>
        <m:oMath>
          <m:r>
            <m:rPr>
              <m:sty m:val="p"/>
            </m:rPr>
            <w:rPr>
              <w:rFonts w:hint="default" w:ascii="Times New Roman" w:hAnsi="Times New Roman" w:eastAsia="宋体" w:cs="Times New Roman"/>
              <w:color w:val="000000"/>
              <w:kern w:val="0"/>
              <w:sz w:val="24"/>
              <w:szCs w:val="24"/>
              <w:lang w:val="en-US" w:eastAsia="zh-CN" w:bidi="ar"/>
            </w:rPr>
            <m:t>Jaccard(A,B)=</m:t>
          </m:r>
          <m:f>
            <m:fPr>
              <m:ctrlPr>
                <w:rPr>
                  <w:rFonts w:hint="default" w:ascii="Cambria Math" w:hAnsi="Cambria Math" w:eastAsia="宋体" w:cs="Times New Roman"/>
                  <w:color w:val="000000"/>
                  <w:kern w:val="0"/>
                  <w:sz w:val="24"/>
                  <w:szCs w:val="24"/>
                  <w:lang w:val="en-US" w:eastAsia="zh-CN" w:bidi="ar"/>
                </w:rPr>
              </m:ctrlPr>
            </m:fPr>
            <m:num>
              <m:r>
                <m:rPr>
                  <m:sty m:val="p"/>
                </m:rPr>
                <w:rPr>
                  <w:rFonts w:hint="default" w:ascii="Times New Roman" w:hAnsi="Times New Roman" w:eastAsia="宋体" w:cs="Times New Roman"/>
                  <w:color w:val="000000"/>
                  <w:kern w:val="0"/>
                  <w:sz w:val="24"/>
                  <w:szCs w:val="24"/>
                  <w:lang w:val="en-US" w:eastAsia="zh-CN" w:bidi="ar"/>
                </w:rPr>
                <m:t>|A⋂B|</m:t>
              </m:r>
              <m:ctrlPr>
                <w:rPr>
                  <w:rFonts w:hint="default" w:ascii="Cambria Math" w:hAnsi="Cambria Math" w:eastAsia="宋体" w:cs="Times New Roman"/>
                  <w:color w:val="000000"/>
                  <w:kern w:val="0"/>
                  <w:sz w:val="24"/>
                  <w:szCs w:val="24"/>
                  <w:lang w:val="en-US" w:eastAsia="zh-CN" w:bidi="ar"/>
                </w:rPr>
              </m:ctrlPr>
            </m:num>
            <m:den>
              <m:r>
                <m:rPr>
                  <m:sty m:val="p"/>
                </m:rPr>
                <w:rPr>
                  <w:rFonts w:hint="default" w:ascii="Times New Roman" w:hAnsi="Times New Roman" w:eastAsia="宋体" w:cs="Times New Roman"/>
                  <w:color w:val="000000"/>
                  <w:kern w:val="0"/>
                  <w:sz w:val="24"/>
                  <w:szCs w:val="24"/>
                  <w:lang w:val="en-US" w:eastAsia="zh-CN" w:bidi="ar"/>
                </w:rPr>
                <m:t>|A⋃B|</m:t>
              </m:r>
              <m:ctrlPr>
                <w:rPr>
                  <w:rFonts w:hint="default" w:ascii="Cambria Math" w:hAnsi="Cambria Math" w:eastAsia="宋体" w:cs="Times New Roman"/>
                  <w:color w:val="000000"/>
                  <w:kern w:val="0"/>
                  <w:sz w:val="24"/>
                  <w:szCs w:val="24"/>
                  <w:lang w:val="en-US" w:eastAsia="zh-CN" w:bidi="ar"/>
                </w:rPr>
              </m:ctrlPr>
            </m:den>
          </m:f>
        </m:oMath>
      </m:oMathPara>
    </w:p>
    <w:p w14:paraId="76129DE7">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where A is the set of drugs recommended by the model, and B is the set of drugs in the real prescription. This metric reflects the overall overlap between the two drug sets, with a value range of [0,1]; a larger value indicates a higher degree of overlap.</w:t>
      </w:r>
    </w:p>
    <w:p w14:paraId="5A7DEF94">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2.</w:t>
      </w:r>
      <w:r>
        <w:rPr>
          <w:rFonts w:hint="default" w:ascii="Times New Roman" w:hAnsi="Times New Roman" w:eastAsia="宋体" w:cs="Times New Roman"/>
          <w:color w:val="000000"/>
          <w:kern w:val="0"/>
          <w:sz w:val="24"/>
          <w:szCs w:val="24"/>
          <w:lang w:val="en-US" w:eastAsia="zh-CN" w:bidi="ar"/>
        </w:rPr>
        <w:t>Dice coefficient is calculated as:</w:t>
      </w:r>
    </w:p>
    <w:p w14:paraId="2568605D">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m:oMathPara>
        <m:oMath>
          <m:r>
            <m:rPr>
              <m:sty m:val="p"/>
            </m:rPr>
            <w:rPr>
              <w:rFonts w:hint="default" w:ascii="Times New Roman" w:hAnsi="Times New Roman" w:eastAsia="宋体" w:cs="Times New Roman"/>
              <w:color w:val="000000"/>
              <w:kern w:val="0"/>
              <w:sz w:val="24"/>
              <w:szCs w:val="24"/>
              <w:lang w:val="en-US" w:eastAsia="zh-CN" w:bidi="ar"/>
            </w:rPr>
            <m:t>Dice(A,B)=</m:t>
          </m:r>
          <m:f>
            <m:fPr>
              <m:ctrlPr>
                <w:rPr>
                  <w:rFonts w:hint="default" w:ascii="Cambria Math" w:hAnsi="Cambria Math" w:eastAsia="宋体" w:cs="Times New Roman"/>
                  <w:color w:val="000000"/>
                  <w:kern w:val="0"/>
                  <w:sz w:val="24"/>
                  <w:szCs w:val="24"/>
                  <w:lang w:val="en-US" w:eastAsia="zh-CN" w:bidi="ar"/>
                </w:rPr>
              </m:ctrlPr>
            </m:fPr>
            <m:num>
              <m:r>
                <m:rPr>
                  <m:sty m:val="p"/>
                </m:rPr>
                <w:rPr>
                  <w:rFonts w:hint="default" w:ascii="Times New Roman" w:hAnsi="Times New Roman" w:eastAsia="宋体" w:cs="Times New Roman"/>
                  <w:color w:val="000000"/>
                  <w:kern w:val="0"/>
                  <w:sz w:val="24"/>
                  <w:szCs w:val="24"/>
                  <w:lang w:val="en-US" w:eastAsia="zh-CN" w:bidi="ar"/>
                </w:rPr>
                <m:t>2|A⋂B|</m:t>
              </m:r>
              <m:ctrlPr>
                <w:rPr>
                  <w:rFonts w:hint="default" w:ascii="Cambria Math" w:hAnsi="Cambria Math" w:eastAsia="宋体" w:cs="Times New Roman"/>
                  <w:color w:val="000000"/>
                  <w:kern w:val="0"/>
                  <w:sz w:val="24"/>
                  <w:szCs w:val="24"/>
                  <w:lang w:val="en-US" w:eastAsia="zh-CN" w:bidi="ar"/>
                </w:rPr>
              </m:ctrlPr>
            </m:num>
            <m:den>
              <m:r>
                <m:rPr>
                  <m:sty m:val="p"/>
                </m:rPr>
                <w:rPr>
                  <w:rFonts w:hint="default" w:ascii="Times New Roman" w:hAnsi="Times New Roman" w:eastAsia="宋体" w:cs="Times New Roman"/>
                  <w:color w:val="000000"/>
                  <w:kern w:val="0"/>
                  <w:sz w:val="24"/>
                  <w:szCs w:val="24"/>
                  <w:lang w:val="en-US" w:eastAsia="zh-CN" w:bidi="ar"/>
                </w:rPr>
                <m:t>|A|+|B|</m:t>
              </m:r>
              <m:ctrlPr>
                <w:rPr>
                  <w:rFonts w:hint="default" w:ascii="Cambria Math" w:hAnsi="Cambria Math" w:eastAsia="宋体" w:cs="Times New Roman"/>
                  <w:color w:val="000000"/>
                  <w:kern w:val="0"/>
                  <w:sz w:val="24"/>
                  <w:szCs w:val="24"/>
                  <w:lang w:val="en-US" w:eastAsia="zh-CN" w:bidi="ar"/>
                </w:rPr>
              </m:ctrlPr>
            </m:den>
          </m:f>
        </m:oMath>
      </m:oMathPara>
    </w:p>
    <w:p w14:paraId="2B4AA2B9">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A and B have the same meanings as above. This metric also measures set similarity but assigns a higher weight to the intersection, allowing it to more sensitively reflect the matching of core drugs.</w:t>
      </w:r>
    </w:p>
    <w:p w14:paraId="456E1964">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3.Number of overlapping herbal drugs (average hit count) is calculated as:</w:t>
      </w:r>
    </w:p>
    <w:p w14:paraId="247E859D">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m:oMathPara>
        <m:oMath>
          <m:r>
            <m:rPr>
              <m:sty m:val="p"/>
            </m:rPr>
            <w:rPr>
              <w:rFonts w:hint="default" w:ascii="Times New Roman" w:hAnsi="Times New Roman" w:eastAsia="宋体" w:cs="Times New Roman"/>
              <w:color w:val="000000"/>
              <w:kern w:val="0"/>
              <w:sz w:val="24"/>
              <w:szCs w:val="24"/>
              <w:lang w:val="en-US" w:eastAsia="zh-CN" w:bidi="ar"/>
            </w:rPr>
            <m:t>Average hit count=</m:t>
          </m:r>
          <m:f>
            <m:fPr>
              <m:ctrlPr>
                <w:rPr>
                  <w:rFonts w:hint="default" w:ascii="Cambria Math" w:hAnsi="Cambria Math" w:eastAsia="宋体" w:cs="Times New Roman"/>
                  <w:color w:val="000000"/>
                  <w:kern w:val="0"/>
                  <w:sz w:val="24"/>
                  <w:szCs w:val="24"/>
                  <w:lang w:val="en-US" w:eastAsia="zh-CN" w:bidi="ar"/>
                </w:rPr>
              </m:ctrlPr>
            </m:fPr>
            <m:num>
              <m:r>
                <m:rPr>
                  <m:sty m:val="p"/>
                </m:rPr>
                <w:rPr>
                  <w:rFonts w:hint="default" w:ascii="Times New Roman" w:hAnsi="Times New Roman" w:eastAsia="宋体" w:cs="Times New Roman"/>
                  <w:color w:val="000000"/>
                  <w:kern w:val="0"/>
                  <w:sz w:val="24"/>
                  <w:szCs w:val="24"/>
                  <w:lang w:val="en-US" w:eastAsia="zh-CN" w:bidi="ar"/>
                </w:rPr>
                <m:t>1</m:t>
              </m:r>
              <m:ctrlPr>
                <w:rPr>
                  <w:rFonts w:hint="default" w:ascii="Cambria Math" w:hAnsi="Cambria Math" w:eastAsia="宋体" w:cs="Times New Roman"/>
                  <w:color w:val="000000"/>
                  <w:kern w:val="0"/>
                  <w:sz w:val="24"/>
                  <w:szCs w:val="24"/>
                  <w:lang w:val="en-US" w:eastAsia="zh-CN" w:bidi="ar"/>
                </w:rPr>
              </m:ctrlPr>
            </m:num>
            <m:den>
              <m:r>
                <m:rPr>
                  <m:sty m:val="p"/>
                </m:rPr>
                <w:rPr>
                  <w:rFonts w:hint="default" w:ascii="Times New Roman" w:hAnsi="Times New Roman" w:eastAsia="宋体" w:cs="Times New Roman"/>
                  <w:color w:val="000000"/>
                  <w:kern w:val="0"/>
                  <w:sz w:val="24"/>
                  <w:szCs w:val="24"/>
                  <w:lang w:val="en-US" w:eastAsia="zh-CN" w:bidi="ar"/>
                </w:rPr>
                <m:t>N</m:t>
              </m:r>
              <m:ctrlPr>
                <w:rPr>
                  <w:rFonts w:hint="default" w:ascii="Cambria Math" w:hAnsi="Cambria Math" w:eastAsia="宋体" w:cs="Times New Roman"/>
                  <w:color w:val="000000"/>
                  <w:kern w:val="0"/>
                  <w:sz w:val="24"/>
                  <w:szCs w:val="24"/>
                  <w:lang w:val="en-US" w:eastAsia="zh-CN" w:bidi="ar"/>
                </w:rPr>
              </m:ctrlPr>
            </m:den>
          </m:f>
          <m:nary>
            <m:naryPr>
              <m:chr m:val="∑"/>
              <m:limLoc m:val="undOvr"/>
              <m:ctrlPr>
                <w:rPr>
                  <w:rFonts w:hint="default" w:ascii="Cambria Math" w:hAnsi="Cambria Math" w:eastAsia="宋体" w:cs="Times New Roman"/>
                  <w:color w:val="000000"/>
                  <w:kern w:val="0"/>
                  <w:sz w:val="24"/>
                  <w:szCs w:val="24"/>
                  <w:lang w:val="en-US" w:eastAsia="zh-CN" w:bidi="ar"/>
                </w:rPr>
              </m:ctrlPr>
            </m:naryPr>
            <m:sub>
              <m:r>
                <m:rPr>
                  <m:sty m:val="p"/>
                </m:rPr>
                <w:rPr>
                  <w:rFonts w:hint="default" w:ascii="Times New Roman" w:hAnsi="Times New Roman" w:eastAsia="宋体" w:cs="Times New Roman"/>
                  <w:color w:val="000000"/>
                  <w:kern w:val="0"/>
                  <w:sz w:val="24"/>
                  <w:szCs w:val="24"/>
                  <w:lang w:val="en-US" w:eastAsia="zh-CN" w:bidi="ar"/>
                </w:rPr>
                <m:t>i=1</m:t>
              </m:r>
              <m:ctrlPr>
                <w:rPr>
                  <w:rFonts w:hint="default" w:ascii="Cambria Math" w:hAnsi="Cambria Math" w:eastAsia="宋体" w:cs="Times New Roman"/>
                  <w:color w:val="000000"/>
                  <w:kern w:val="0"/>
                  <w:sz w:val="24"/>
                  <w:szCs w:val="24"/>
                  <w:lang w:val="en-US" w:eastAsia="zh-CN" w:bidi="ar"/>
                </w:rPr>
              </m:ctrlPr>
            </m:sub>
            <m:sup>
              <m:r>
                <m:rPr>
                  <m:sty m:val="p"/>
                </m:rPr>
                <w:rPr>
                  <w:rFonts w:hint="default" w:ascii="Times New Roman" w:hAnsi="Times New Roman" w:eastAsia="宋体" w:cs="Times New Roman"/>
                  <w:color w:val="000000"/>
                  <w:kern w:val="0"/>
                  <w:sz w:val="24"/>
                  <w:szCs w:val="24"/>
                  <w:lang w:val="en-US" w:eastAsia="zh-CN" w:bidi="ar"/>
                </w:rPr>
                <m:t>N</m:t>
              </m:r>
              <m:ctrlPr>
                <w:rPr>
                  <w:rFonts w:hint="default" w:ascii="Cambria Math" w:hAnsi="Cambria Math" w:eastAsia="宋体" w:cs="Times New Roman"/>
                  <w:color w:val="000000"/>
                  <w:kern w:val="0"/>
                  <w:sz w:val="24"/>
                  <w:szCs w:val="24"/>
                  <w:lang w:val="en-US" w:eastAsia="zh-CN" w:bidi="ar"/>
                </w:rPr>
              </m:ctrlPr>
            </m:sup>
            <m:e>
              <m:r>
                <m:rPr>
                  <m:sty m:val="p"/>
                </m:rPr>
                <w:rPr>
                  <w:rFonts w:hint="default" w:ascii="Times New Roman" w:hAnsi="Times New Roman" w:eastAsia="宋体" w:cs="Times New Roman"/>
                  <w:color w:val="000000"/>
                  <w:kern w:val="0"/>
                  <w:sz w:val="24"/>
                  <w:szCs w:val="24"/>
                  <w:lang w:val="en-US" w:eastAsia="zh-CN" w:bidi="ar"/>
                </w:rPr>
                <m:t>|</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R</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i</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T</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i</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m:t>
              </m:r>
              <m:ctrlPr>
                <w:rPr>
                  <w:rFonts w:hint="default" w:ascii="Cambria Math" w:hAnsi="Cambria Math" w:eastAsia="宋体" w:cs="Times New Roman"/>
                  <w:color w:val="000000"/>
                  <w:kern w:val="0"/>
                  <w:sz w:val="24"/>
                  <w:szCs w:val="24"/>
                  <w:lang w:val="en-US" w:eastAsia="zh-CN" w:bidi="ar"/>
                </w:rPr>
              </m:ctrlPr>
            </m:e>
          </m:nary>
        </m:oMath>
      </m:oMathPara>
    </w:p>
    <w:p w14:paraId="6DD768CF">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m:oMath>
        <m:r>
          <m:rPr>
            <m:sty m:val="p"/>
          </m:rPr>
          <w:rPr>
            <w:rFonts w:hint="default" w:ascii="Times New Roman" w:hAnsi="Times New Roman" w:eastAsia="宋体" w:cs="Times New Roman"/>
            <w:color w:val="000000"/>
            <w:kern w:val="0"/>
            <w:sz w:val="24"/>
            <w:szCs w:val="24"/>
            <w:lang w:val="en-US" w:eastAsia="zh-CN" w:bidi="ar"/>
          </w:rPr>
          <m:t>N</m:t>
        </m:r>
      </m:oMath>
      <w:r>
        <w:rPr>
          <w:rFonts w:hint="eastAsia" w:ascii="Times New Roman" w:hAnsi="Times New Roman" w:eastAsia="宋体" w:cs="Times New Roman"/>
          <w:color w:val="000000"/>
          <w:kern w:val="0"/>
          <w:sz w:val="24"/>
          <w:szCs w:val="24"/>
          <w:lang w:val="en-US" w:eastAsia="zh-CN" w:bidi="ar"/>
        </w:rPr>
        <w:t xml:space="preserve"> is the total number of cases in the test set;</w:t>
      </w:r>
    </w:p>
    <w:p w14:paraId="2D10D7AC">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m:oMath>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R</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i</m:t>
            </m:r>
            <m:ctrlPr>
              <w:rPr>
                <w:rFonts w:hint="default" w:ascii="Cambria Math" w:hAnsi="Cambria Math" w:eastAsia="宋体" w:cs="Times New Roman"/>
                <w:color w:val="000000"/>
                <w:kern w:val="0"/>
                <w:sz w:val="24"/>
                <w:szCs w:val="24"/>
                <w:lang w:val="en-US" w:eastAsia="zh-CN" w:bidi="ar"/>
              </w:rPr>
            </m:ctrlPr>
          </m:sub>
        </m:sSub>
      </m:oMath>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is the set of drugs recommended by the model for the i-th case;</w:t>
      </w:r>
    </w:p>
    <w:p w14:paraId="5904CA7A">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m:oMath>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T</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i</m:t>
            </m:r>
            <m:ctrlPr>
              <w:rPr>
                <w:rFonts w:hint="default" w:ascii="Cambria Math" w:hAnsi="Cambria Math" w:eastAsia="宋体" w:cs="Times New Roman"/>
                <w:color w:val="000000"/>
                <w:kern w:val="0"/>
                <w:sz w:val="24"/>
                <w:szCs w:val="24"/>
                <w:lang w:val="en-US" w:eastAsia="zh-CN" w:bidi="ar"/>
              </w:rPr>
            </m:ctrlPr>
          </m:sub>
        </m:sSub>
      </m:oMath>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is the set of drugs in the real prescription for the i-th case;</w:t>
      </w:r>
    </w:p>
    <w:p w14:paraId="64E2950D">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m:oMath>
        <m:r>
          <m:rPr>
            <m:sty m:val="p"/>
          </m:rPr>
          <w:rPr>
            <w:rFonts w:hint="default" w:ascii="Times New Roman" w:hAnsi="Times New Roman" w:eastAsia="宋体" w:cs="Times New Roman"/>
            <w:color w:val="000000"/>
            <w:kern w:val="0"/>
            <w:sz w:val="24"/>
            <w:szCs w:val="24"/>
            <w:lang w:val="en-US" w:eastAsia="zh-CN" w:bidi="ar"/>
          </w:rPr>
          <m:t>|</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R</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i</m:t>
            </m:r>
            <m:ctrlPr>
              <w:rPr>
                <w:rFonts w:hint="default" w:ascii="Cambria Math" w:hAnsi="Cambria Math" w:eastAsia="宋体" w:cs="Times New Roman"/>
                <w:color w:val="000000"/>
                <w:kern w:val="0"/>
                <w:sz w:val="24"/>
                <w:szCs w:val="24"/>
                <w:lang w:val="en-US" w:eastAsia="zh-CN" w:bidi="ar"/>
              </w:rPr>
            </m:ctrlPr>
          </m:sub>
        </m:sSub>
        <m:r>
          <m:rPr>
            <m:sty m:val="p"/>
          </m:rPr>
          <w:rPr>
            <w:rFonts w:hint="eastAsia" w:ascii="Times New Roman" w:hAnsi="Times New Roman" w:eastAsia="宋体" w:cs="Times New Roman"/>
            <w:color w:val="000000"/>
            <w:kern w:val="0"/>
            <w:sz w:val="24"/>
            <w:szCs w:val="24"/>
            <w:lang w:val="en-US" w:eastAsia="zh-CN" w:bidi="ar"/>
          </w:rPr>
          <m:t>⋂</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T</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i</m:t>
            </m:r>
            <m:ctrlPr>
              <w:rPr>
                <w:rFonts w:hint="default"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m:t>
        </m:r>
      </m:oMath>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is the number of elements in the intersection of the two sets, i.e., the number of drugs recommended by the model that are also present in the real prescription.</w:t>
      </w:r>
    </w:p>
    <w:p w14:paraId="15BB00E1">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4.Core prescription matching degree</w:t>
      </w:r>
    </w:p>
    <w:p w14:paraId="1DF1B67D">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Complex network analysis algorithms were used to extract the core prescriptions from MAC-TCMRx recommended prescriptions, the Baseline model recommended prescriptions, and the renowned practitioner's real prescriptions. The drug matching degree between the model-derived core prescription and the real core prescription was then calculated to measure how well the model reproduces the renowned practitioner's core experience. The calculation formula is:</w:t>
      </w:r>
    </w:p>
    <w:p w14:paraId="0692AB2C">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m:oMathPara>
        <m:oMath>
          <m:r>
            <m:rPr>
              <m:sty m:val="p"/>
            </m:rPr>
            <w:rPr>
              <w:rFonts w:hint="default" w:ascii="Times New Roman" w:hAnsi="Times New Roman" w:eastAsia="宋体" w:cs="Times New Roman"/>
              <w:color w:val="000000"/>
              <w:kern w:val="0"/>
              <w:sz w:val="24"/>
              <w:szCs w:val="24"/>
              <w:lang w:val="en-US" w:eastAsia="zh-CN" w:bidi="ar"/>
            </w:rPr>
            <m:t>Core prescription matching degree=</m:t>
          </m:r>
          <m:f>
            <m:fPr>
              <m:ctrlPr>
                <w:rPr>
                  <w:rFonts w:hint="default" w:ascii="Cambria Math" w:hAnsi="Cambria Math" w:eastAsia="宋体" w:cs="Times New Roman"/>
                  <w:color w:val="000000"/>
                  <w:kern w:val="0"/>
                  <w:sz w:val="24"/>
                  <w:szCs w:val="24"/>
                  <w:lang w:val="en-US" w:eastAsia="zh-CN" w:bidi="ar"/>
                </w:rPr>
              </m:ctrlPr>
            </m:fPr>
            <m:num>
              <m:r>
                <m:rPr>
                  <m:sty m:val="p"/>
                </m:rPr>
                <w:rPr>
                  <w:rFonts w:hint="default" w:ascii="Times New Roman" w:hAnsi="Times New Roman" w:eastAsia="宋体" w:cs="Times New Roman"/>
                  <w:color w:val="000000"/>
                  <w:kern w:val="0"/>
                  <w:sz w:val="24"/>
                  <w:szCs w:val="24"/>
                  <w:lang w:val="en-US" w:eastAsia="zh-CN" w:bidi="ar"/>
                </w:rPr>
                <m:t>|</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M</m:t>
                  </m:r>
                  <m:ctrlPr>
                    <w:rPr>
                      <w:rFonts w:hint="default" w:ascii="Cambria Math" w:hAnsi="Cambria Math" w:eastAsia="宋体" w:cs="Times New Roman"/>
                      <w:color w:val="000000"/>
                      <w:kern w:val="0"/>
                      <w:sz w:val="24"/>
                      <w:szCs w:val="24"/>
                      <w:lang w:val="en-US" w:eastAsia="zh-CN" w:bidi="ar"/>
                    </w:rPr>
                  </m:ctrlPr>
                </m:sub>
              </m:sSub>
              <m:r>
                <m:rPr>
                  <m:sty m:val="p"/>
                </m:rPr>
                <w:rPr>
                  <w:rFonts w:hint="eastAsia" w:ascii="Times New Roman" w:hAnsi="Times New Roman" w:eastAsia="宋体" w:cs="Times New Roman"/>
                  <w:color w:val="000000"/>
                  <w:kern w:val="0"/>
                  <w:sz w:val="24"/>
                  <w:szCs w:val="24"/>
                  <w:lang w:val="en-US" w:eastAsia="zh-CN" w:bidi="ar"/>
                </w:rPr>
                <m:t>∩</m:t>
              </m:r>
              <m:sSub>
                <m:sSubPr>
                  <m:ctrlPr>
                    <w:rPr>
                      <w:rFonts w:hint="eastAsia"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C</m:t>
                  </m:r>
                  <m:ctrlPr>
                    <w:rPr>
                      <w:rFonts w:hint="eastAsia"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t</m:t>
                  </m:r>
                  <m:ctrlPr>
                    <w:rPr>
                      <w:rFonts w:hint="eastAsia"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m:t>
              </m:r>
              <m:ctrlPr>
                <w:rPr>
                  <w:rFonts w:hint="default" w:ascii="Cambria Math" w:hAnsi="Cambria Math" w:eastAsia="宋体" w:cs="Times New Roman"/>
                  <w:color w:val="000000"/>
                  <w:kern w:val="0"/>
                  <w:sz w:val="24"/>
                  <w:szCs w:val="24"/>
                  <w:lang w:val="en-US" w:eastAsia="zh-CN" w:bidi="ar"/>
                </w:rPr>
              </m:ctrlPr>
            </m:num>
            <m:den>
              <m:r>
                <m:rPr>
                  <m:sty m:val="p"/>
                </m:rPr>
                <w:rPr>
                  <w:rFonts w:hint="default" w:ascii="Times New Roman" w:hAnsi="Times New Roman" w:eastAsia="宋体" w:cs="Times New Roman"/>
                  <w:color w:val="000000"/>
                  <w:kern w:val="0"/>
                  <w:sz w:val="24"/>
                  <w:szCs w:val="24"/>
                  <w:lang w:val="en-US" w:eastAsia="zh-CN" w:bidi="ar"/>
                </w:rPr>
                <m:t>|</m:t>
              </m:r>
              <m:sSub>
                <m:sSubPr>
                  <m:ctrlPr>
                    <w:rPr>
                      <w:rFonts w:hint="eastAsia"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C</m:t>
                  </m:r>
                  <m:ctrlPr>
                    <w:rPr>
                      <w:rFonts w:hint="eastAsia"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t</m:t>
                  </m:r>
                  <m:ctrlPr>
                    <w:rPr>
                      <w:rFonts w:hint="eastAsia"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m:t>
              </m:r>
              <m:ctrlPr>
                <w:rPr>
                  <w:rFonts w:hint="default" w:ascii="Cambria Math" w:hAnsi="Cambria Math" w:eastAsia="宋体" w:cs="Times New Roman"/>
                  <w:color w:val="000000"/>
                  <w:kern w:val="0"/>
                  <w:sz w:val="24"/>
                  <w:szCs w:val="24"/>
                  <w:lang w:val="en-US" w:eastAsia="zh-CN" w:bidi="ar"/>
                </w:rPr>
              </m:ctrlPr>
            </m:den>
          </m:f>
        </m:oMath>
      </m:oMathPara>
    </w:p>
    <w:p w14:paraId="4E6A0981">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m:oMath>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M</m:t>
            </m:r>
            <m:ctrlPr>
              <w:rPr>
                <w:rFonts w:hint="default" w:ascii="Cambria Math" w:hAnsi="Cambria Math" w:eastAsia="宋体" w:cs="Times New Roman"/>
                <w:color w:val="000000"/>
                <w:kern w:val="0"/>
                <w:sz w:val="24"/>
                <w:szCs w:val="24"/>
                <w:lang w:val="en-US" w:eastAsia="zh-CN" w:bidi="ar"/>
              </w:rPr>
            </m:ctrlPr>
          </m:sub>
        </m:sSub>
      </m:oMath>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 xml:space="preserve">is the set of core drugs extracted by complex network analysis from the model's recommended prescriptions (either </w:t>
      </w:r>
      <w:r>
        <w:rPr>
          <w:rFonts w:hint="eastAsia" w:ascii="Times New Roman" w:hAnsi="Times New Roman" w:eastAsia="宋体" w:cs="Times New Roman"/>
          <w:color w:val="000000"/>
          <w:kern w:val="0"/>
          <w:sz w:val="24"/>
          <w:szCs w:val="24"/>
          <w:lang w:val="en-US" w:eastAsia="zh-CN" w:bidi="ar"/>
        </w:rPr>
        <w:t>MAC-TCMRx</w:t>
      </w:r>
      <w:r>
        <w:rPr>
          <w:rFonts w:hint="default" w:ascii="Times New Roman" w:hAnsi="Times New Roman" w:eastAsia="宋体" w:cs="Times New Roman"/>
          <w:color w:val="000000"/>
          <w:kern w:val="0"/>
          <w:sz w:val="24"/>
          <w:szCs w:val="24"/>
          <w:lang w:val="en-US" w:eastAsia="zh-CN" w:bidi="ar"/>
        </w:rPr>
        <w:t xml:space="preserve"> or the </w:t>
      </w:r>
      <w:r>
        <w:rPr>
          <w:rFonts w:hint="eastAsia" w:ascii="Times New Roman" w:hAnsi="Times New Roman" w:eastAsia="宋体" w:cs="Times New Roman"/>
          <w:color w:val="000000"/>
          <w:kern w:val="0"/>
          <w:sz w:val="24"/>
          <w:szCs w:val="24"/>
          <w:lang w:val="en-US" w:eastAsia="zh-CN" w:bidi="ar"/>
        </w:rPr>
        <w:t>Baseline model</w:t>
      </w:r>
      <w:r>
        <w:rPr>
          <w:rFonts w:hint="default" w:ascii="Times New Roman" w:hAnsi="Times New Roman" w:eastAsia="宋体" w:cs="Times New Roman"/>
          <w:color w:val="000000"/>
          <w:kern w:val="0"/>
          <w:sz w:val="24"/>
          <w:szCs w:val="24"/>
          <w:lang w:val="en-US" w:eastAsia="zh-CN" w:bidi="ar"/>
        </w:rPr>
        <w:t>);</w:t>
      </w:r>
    </w:p>
    <w:p w14:paraId="07DCA7FC">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m:oMath>
        <m:sSub>
          <m:sSubPr>
            <m:ctrlPr>
              <w:rPr>
                <w:rFonts w:hint="eastAsia"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C</m:t>
            </m:r>
            <m:ctrlPr>
              <w:rPr>
                <w:rFonts w:hint="eastAsia"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t</m:t>
            </m:r>
            <m:ctrlPr>
              <w:rPr>
                <w:rFonts w:hint="eastAsia" w:ascii="Cambria Math" w:hAnsi="Cambria Math" w:eastAsia="宋体" w:cs="Times New Roman"/>
                <w:color w:val="000000"/>
                <w:kern w:val="0"/>
                <w:sz w:val="24"/>
                <w:szCs w:val="24"/>
                <w:lang w:val="en-US" w:eastAsia="zh-CN" w:bidi="ar"/>
              </w:rPr>
            </m:ctrlPr>
          </m:sub>
        </m:sSub>
      </m:oMath>
      <w:r>
        <w:rPr>
          <w:rFonts w:hint="eastAsia" w:ascii="Times New Roman" w:hAnsi="Times New Roman" w:eastAsia="宋体" w:cs="Times New Roman"/>
          <w:color w:val="000000"/>
          <w:kern w:val="0"/>
          <w:sz w:val="24"/>
          <w:szCs w:val="24"/>
          <w:lang w:val="en-US" w:eastAsia="zh-CN" w:bidi="ar"/>
        </w:rPr>
        <w:t xml:space="preserve"> is the number of drugs in the intersection of the two sets;</w:t>
      </w:r>
    </w:p>
    <w:p w14:paraId="07A7940B">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m:oMath>
        <m:r>
          <m:rPr>
            <m:sty m:val="p"/>
          </m:rPr>
          <w:rPr>
            <w:rFonts w:hint="default" w:ascii="Times New Roman" w:hAnsi="Times New Roman" w:eastAsia="宋体" w:cs="Times New Roman"/>
            <w:color w:val="000000"/>
            <w:kern w:val="0"/>
            <w:sz w:val="24"/>
            <w:szCs w:val="24"/>
            <w:lang w:val="en-US" w:eastAsia="zh-CN" w:bidi="ar"/>
          </w:rPr>
          <m:t>|</m:t>
        </m:r>
        <m:sSub>
          <m:sSubPr>
            <m:ctrlPr>
              <w:rPr>
                <w:rFonts w:hint="default"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C</m:t>
            </m:r>
            <m:ctrlPr>
              <w:rPr>
                <w:rFonts w:hint="default"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M</m:t>
            </m:r>
            <m:ctrlPr>
              <w:rPr>
                <w:rFonts w:hint="default" w:ascii="Cambria Math" w:hAnsi="Cambria Math" w:eastAsia="宋体" w:cs="Times New Roman"/>
                <w:color w:val="000000"/>
                <w:kern w:val="0"/>
                <w:sz w:val="24"/>
                <w:szCs w:val="24"/>
                <w:lang w:val="en-US" w:eastAsia="zh-CN" w:bidi="ar"/>
              </w:rPr>
            </m:ctrlPr>
          </m:sub>
        </m:sSub>
        <m:r>
          <m:rPr>
            <m:sty m:val="p"/>
          </m:rPr>
          <w:rPr>
            <w:rFonts w:hint="eastAsia" w:ascii="Times New Roman" w:hAnsi="Times New Roman" w:eastAsia="宋体" w:cs="Times New Roman"/>
            <w:color w:val="000000"/>
            <w:kern w:val="0"/>
            <w:sz w:val="24"/>
            <w:szCs w:val="24"/>
            <w:lang w:val="en-US" w:eastAsia="zh-CN" w:bidi="ar"/>
          </w:rPr>
          <m:t>∩</m:t>
        </m:r>
        <m:sSub>
          <m:sSubPr>
            <m:ctrlPr>
              <w:rPr>
                <w:rFonts w:hint="eastAsia" w:ascii="Cambria Math" w:hAnsi="Cambria Math" w:eastAsia="宋体" w:cs="Times New Roman"/>
                <w:color w:val="000000"/>
                <w:kern w:val="0"/>
                <w:sz w:val="24"/>
                <w:szCs w:val="24"/>
                <w:lang w:val="en-US" w:eastAsia="zh-CN" w:bidi="ar"/>
              </w:rPr>
            </m:ctrlPr>
          </m:sSubPr>
          <m:e>
            <m:r>
              <m:rPr>
                <m:sty m:val="p"/>
              </m:rPr>
              <w:rPr>
                <w:rFonts w:hint="default" w:ascii="Times New Roman" w:hAnsi="Times New Roman" w:eastAsia="宋体" w:cs="Times New Roman"/>
                <w:color w:val="000000"/>
                <w:kern w:val="0"/>
                <w:sz w:val="24"/>
                <w:szCs w:val="24"/>
                <w:lang w:val="en-US" w:eastAsia="zh-CN" w:bidi="ar"/>
              </w:rPr>
              <m:t>C</m:t>
            </m:r>
            <m:ctrlPr>
              <w:rPr>
                <w:rFonts w:hint="eastAsia" w:ascii="Cambria Math" w:hAnsi="Cambria Math" w:eastAsia="宋体" w:cs="Times New Roman"/>
                <w:color w:val="000000"/>
                <w:kern w:val="0"/>
                <w:sz w:val="24"/>
                <w:szCs w:val="24"/>
                <w:lang w:val="en-US" w:eastAsia="zh-CN" w:bidi="ar"/>
              </w:rPr>
            </m:ctrlPr>
          </m:e>
          <m:sub>
            <m:r>
              <m:rPr>
                <m:sty m:val="p"/>
              </m:rPr>
              <w:rPr>
                <w:rFonts w:hint="default" w:ascii="Times New Roman" w:hAnsi="Times New Roman" w:eastAsia="宋体" w:cs="Times New Roman"/>
                <w:color w:val="000000"/>
                <w:kern w:val="0"/>
                <w:sz w:val="24"/>
                <w:szCs w:val="24"/>
                <w:lang w:val="en-US" w:eastAsia="zh-CN" w:bidi="ar"/>
              </w:rPr>
              <m:t>t</m:t>
            </m:r>
            <m:ctrlPr>
              <w:rPr>
                <w:rFonts w:hint="eastAsia" w:ascii="Cambria Math" w:hAnsi="Cambria Math" w:eastAsia="宋体" w:cs="Times New Roman"/>
                <w:color w:val="000000"/>
                <w:kern w:val="0"/>
                <w:sz w:val="24"/>
                <w:szCs w:val="24"/>
                <w:lang w:val="en-US" w:eastAsia="zh-CN" w:bidi="ar"/>
              </w:rPr>
            </m:ctrlPr>
          </m:sub>
        </m:sSub>
        <m:r>
          <m:rPr>
            <m:sty m:val="p"/>
          </m:rPr>
          <w:rPr>
            <w:rFonts w:hint="default" w:ascii="Times New Roman" w:hAnsi="Times New Roman" w:eastAsia="宋体" w:cs="Times New Roman"/>
            <w:color w:val="000000"/>
            <w:kern w:val="0"/>
            <w:sz w:val="24"/>
            <w:szCs w:val="24"/>
            <w:lang w:val="en-US" w:eastAsia="zh-CN" w:bidi="ar"/>
          </w:rPr>
          <m:t>|</m:t>
        </m:r>
      </m:oMath>
      <w:r>
        <w:rPr>
          <w:rFonts w:hint="default" w:ascii="Times New Roman" w:hAnsi="Times New Roman" w:eastAsia="宋体" w:cs="Times New Roman"/>
          <w:color w:val="000000"/>
          <w:kern w:val="0"/>
          <w:sz w:val="24"/>
          <w:szCs w:val="24"/>
          <w:lang w:val="en-US" w:eastAsia="zh-CN" w:bidi="ar"/>
        </w:rPr>
        <w:t xml:space="preserve"> is the number of drugs in the real core prescription.</w:t>
      </w:r>
    </w:p>
    <w:p w14:paraId="024E9962">
      <w:pPr>
        <w:widowControl w:val="0"/>
        <w:bidi w:val="0"/>
        <w:spacing w:before="0" w:beforeAutospacing="1" w:after="0" w:afterAutospacing="1" w:line="480" w:lineRule="auto"/>
        <w:jc w:val="left"/>
        <w:rPr>
          <w:rStyle w:val="14"/>
          <w:rFonts w:hint="default" w:ascii="Segoe UI" w:hAnsi="Segoe UI" w:eastAsia="Segoe UI" w:cs="Segoe UI"/>
          <w:bCs/>
          <w:i w:val="0"/>
          <w:iCs w:val="0"/>
          <w:caps w:val="0"/>
          <w:color w:val="0F1115"/>
          <w:spacing w:val="0"/>
          <w:kern w:val="0"/>
          <w:sz w:val="24"/>
          <w:szCs w:val="24"/>
          <w:shd w:val="clear" w:fill="FFFFFF"/>
          <w:lang w:val="en-US" w:eastAsia="zh-CN" w:bidi="ar"/>
        </w:rPr>
      </w:pPr>
      <w:r>
        <w:rPr>
          <w:rStyle w:val="14"/>
          <w:rFonts w:hint="default" w:ascii="Segoe UI" w:hAnsi="Segoe UI" w:eastAsia="Segoe UI" w:cs="Segoe UI"/>
          <w:bCs/>
          <w:i w:val="0"/>
          <w:iCs w:val="0"/>
          <w:caps w:val="0"/>
          <w:color w:val="0F1115"/>
          <w:spacing w:val="0"/>
          <w:kern w:val="0"/>
          <w:sz w:val="24"/>
          <w:szCs w:val="24"/>
          <w:shd w:val="clear" w:fill="FFFFFF"/>
          <w:lang w:val="en-US" w:eastAsia="zh-CN" w:bidi="ar"/>
        </w:rPr>
        <w:t>Qualitative Evaluation Experiment</w:t>
      </w:r>
    </w:p>
    <w:p w14:paraId="34B8211A">
      <w:pPr>
        <w:widowControl w:val="0"/>
        <w:spacing w:line="480" w:lineRule="auto"/>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Evaluation setup: Ten clinical records were randomly selected from those that passed the inclusion/exclusion screening. For each record, the prescription outputs and visual decision pathway diagrams corresponding to the four-examination information were obtained from both </w:t>
      </w:r>
      <w:r>
        <w:rPr>
          <w:rFonts w:hint="eastAsia" w:ascii="Times New Roman" w:hAnsi="Times New Roman" w:eastAsia="宋体" w:cs="Times New Roman"/>
          <w:color w:val="000000"/>
          <w:kern w:val="0"/>
          <w:sz w:val="24"/>
          <w:szCs w:val="24"/>
          <w:lang w:val="en-US" w:eastAsia="zh-CN" w:bidi="ar"/>
        </w:rPr>
        <w:t>MAC-TCMRx</w:t>
      </w:r>
      <w:r>
        <w:rPr>
          <w:rFonts w:hint="default" w:ascii="Times New Roman" w:hAnsi="Times New Roman" w:eastAsia="宋体" w:cs="Times New Roman"/>
          <w:color w:val="000000"/>
          <w:kern w:val="0"/>
          <w:sz w:val="24"/>
          <w:szCs w:val="24"/>
          <w:lang w:val="en-US" w:eastAsia="zh-CN" w:bidi="ar"/>
        </w:rPr>
        <w:t xml:space="preserve"> and the </w:t>
      </w:r>
      <w:r>
        <w:rPr>
          <w:rFonts w:hint="eastAsia" w:ascii="Times New Roman" w:hAnsi="Times New Roman" w:eastAsia="宋体" w:cs="Times New Roman"/>
          <w:color w:val="000000"/>
          <w:kern w:val="0"/>
          <w:sz w:val="24"/>
          <w:szCs w:val="24"/>
          <w:lang w:val="en-US" w:eastAsia="zh-CN" w:bidi="ar"/>
        </w:rPr>
        <w:t>Baseline model</w:t>
      </w:r>
      <w:r>
        <w:rPr>
          <w:rFonts w:hint="default" w:ascii="Times New Roman" w:hAnsi="Times New Roman" w:eastAsia="宋体" w:cs="Times New Roman"/>
          <w:color w:val="000000"/>
          <w:kern w:val="0"/>
          <w:sz w:val="24"/>
          <w:szCs w:val="24"/>
          <w:lang w:val="en-US" w:eastAsia="zh-CN" w:bidi="ar"/>
        </w:rPr>
        <w:t xml:space="preserve">. The visualization materials for </w:t>
      </w:r>
      <w:r>
        <w:rPr>
          <w:rFonts w:hint="eastAsia" w:ascii="Times New Roman" w:hAnsi="Times New Roman" w:eastAsia="宋体" w:cs="Times New Roman"/>
          <w:color w:val="000000"/>
          <w:kern w:val="0"/>
          <w:sz w:val="24"/>
          <w:szCs w:val="24"/>
          <w:lang w:val="en-US" w:eastAsia="zh-CN" w:bidi="ar"/>
        </w:rPr>
        <w:t>MAC-TCMRx</w:t>
      </w:r>
      <w:r>
        <w:rPr>
          <w:rFonts w:hint="default" w:ascii="Times New Roman" w:hAnsi="Times New Roman" w:eastAsia="宋体" w:cs="Times New Roman"/>
          <w:color w:val="000000"/>
          <w:kern w:val="0"/>
          <w:sz w:val="24"/>
          <w:szCs w:val="24"/>
          <w:lang w:val="en-US" w:eastAsia="zh-CN" w:bidi="ar"/>
        </w:rPr>
        <w:t xml:space="preserve"> were generated by its built-in VTA module. For the </w:t>
      </w:r>
      <w:r>
        <w:rPr>
          <w:rFonts w:hint="eastAsia" w:ascii="Times New Roman" w:hAnsi="Times New Roman" w:eastAsia="宋体" w:cs="Times New Roman"/>
          <w:color w:val="000000"/>
          <w:kern w:val="0"/>
          <w:sz w:val="24"/>
          <w:szCs w:val="24"/>
          <w:lang w:val="en-US" w:eastAsia="zh-CN" w:bidi="ar"/>
        </w:rPr>
        <w:t>Baseline model</w:t>
      </w:r>
      <w:r>
        <w:rPr>
          <w:rFonts w:hint="default" w:ascii="Times New Roman" w:hAnsi="Times New Roman" w:eastAsia="宋体" w:cs="Times New Roman"/>
          <w:color w:val="000000"/>
          <w:kern w:val="0"/>
          <w:sz w:val="24"/>
          <w:szCs w:val="24"/>
          <w:lang w:val="en-US" w:eastAsia="zh-CN" w:bidi="ar"/>
        </w:rPr>
        <w:t>, a general prompt template (with the reasoning clues based on the dynamic context prompt mechanism removed from the VTA module) was used to generate the visualization materials. The visualization materials, together with the patient's four-examination information and prescription information, were then randomly coded and the model source was concealed. Ten disciples of Professor Wu Zhongchao (attending physicians or above) were invited as evaluators to independently score each set of materials in a blinded manner.</w:t>
      </w:r>
    </w:p>
    <w:p w14:paraId="128F844B">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Evaluation metrics:</w:t>
      </w:r>
    </w:p>
    <w:p w14:paraId="7D5F7F0D">
      <w:pPr>
        <w:widowControl w:val="0"/>
        <w:numPr>
          <w:ilvl w:val="0"/>
          <w:numId w:val="7"/>
        </w:numPr>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Reproducibility of the pattern differentiation and treatment process: Whether the decision pathway of the pattern differentiation and treatment process is fully reproduced and whether the comprehensive decision-making process is reflected (1–5 points).</w:t>
      </w:r>
    </w:p>
    <w:p w14:paraId="764BE894">
      <w:pPr>
        <w:widowControl w:val="0"/>
        <w:numPr>
          <w:ilvl w:val="0"/>
          <w:numId w:val="7"/>
        </w:numPr>
        <w:spacing w:line="480" w:lineRule="auto"/>
        <w:ind w:left="0" w:leftChars="0"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Logical clarity: Whether the logical relationships are clear and coherent, and whether they help to understand the entire reasoning process (1–5 points).</w:t>
      </w:r>
    </w:p>
    <w:p w14:paraId="52110BE0">
      <w:pPr>
        <w:widowControl w:val="0"/>
        <w:numPr>
          <w:ilvl w:val="0"/>
          <w:numId w:val="7"/>
        </w:numPr>
        <w:spacing w:line="480" w:lineRule="auto"/>
        <w:ind w:left="0" w:leftChars="0"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Learning acceptability: Whether the visualization materials are easy to understand and whether they help learners grasp the renowned TCM practitioner pattern differentiation and treatment thinking (1–5 points).</w:t>
      </w:r>
    </w:p>
    <w:p w14:paraId="247FB546">
      <w:pPr>
        <w:widowControl w:val="0"/>
        <w:spacing w:line="480" w:lineRule="auto"/>
        <w:ind w:firstLine="240" w:firstLineChars="100"/>
        <w:jc w:val="both"/>
        <w:rPr>
          <w:rFonts w:hint="eastAsia" w:ascii="宋体" w:hAnsi="宋体" w:eastAsia="宋体" w:cs="宋体"/>
          <w:b/>
          <w:bCs/>
          <w:color w:val="000000" w:themeColor="text1"/>
          <w:kern w:val="2"/>
          <w:sz w:val="24"/>
          <w:szCs w:val="24"/>
          <w:lang w:val="en-US" w:eastAsia="zh-CN" w:bidi="ar-SA"/>
          <w14:textFill>
            <w14:solidFill>
              <w14:schemeClr w14:val="tx1"/>
            </w14:solidFill>
          </w14:textFill>
        </w:rPr>
      </w:pPr>
      <w:r>
        <w:rPr>
          <w:rFonts w:hint="default" w:ascii="Times New Roman" w:hAnsi="Times New Roman" w:eastAsia="宋体" w:cs="Times New Roman"/>
          <w:color w:val="000000"/>
          <w:kern w:val="0"/>
          <w:sz w:val="24"/>
          <w:szCs w:val="24"/>
          <w:lang w:val="en-US" w:eastAsia="zh-CN" w:bidi="ar"/>
        </w:rPr>
        <w:t xml:space="preserve">Statistical analysis: The scoring results are described as mean ± </w:t>
      </w:r>
      <w:r>
        <w:rPr>
          <w:rFonts w:hint="eastAsia" w:ascii="Times New Roman" w:hAnsi="Times New Roman" w:eastAsia="宋体" w:cs="Times New Roman"/>
          <w:color w:val="000000"/>
          <w:kern w:val="0"/>
          <w:sz w:val="24"/>
          <w:szCs w:val="24"/>
          <w:lang w:val="en-US" w:eastAsia="zh-CN" w:bidi="ar"/>
        </w:rPr>
        <w:t>SD</w:t>
      </w:r>
      <w:r>
        <w:rPr>
          <w:rFonts w:hint="default" w:ascii="Times New Roman" w:hAnsi="Times New Roman" w:eastAsia="宋体" w:cs="Times New Roman"/>
          <w:color w:val="000000"/>
          <w:kern w:val="0"/>
          <w:sz w:val="24"/>
          <w:szCs w:val="24"/>
          <w:lang w:val="en-US" w:eastAsia="zh-CN" w:bidi="ar"/>
        </w:rPr>
        <w:t>.</w:t>
      </w:r>
    </w:p>
    <w:p w14:paraId="56EC3164">
      <w:pPr>
        <w:spacing w:line="480" w:lineRule="auto"/>
        <w:rPr>
          <w:rStyle w:val="14"/>
          <w:rFonts w:hint="eastAsia" w:ascii="Segoe UI" w:hAnsi="Segoe UI" w:eastAsia="Segoe UI" w:cs="Segoe UI"/>
          <w:bCs/>
          <w:i w:val="0"/>
          <w:iCs w:val="0"/>
          <w:caps w:val="0"/>
          <w:color w:val="0F1115"/>
          <w:spacing w:val="0"/>
          <w:kern w:val="0"/>
          <w:sz w:val="24"/>
          <w:szCs w:val="24"/>
          <w:shd w:val="clear" w:fill="FFFFFF"/>
          <w:lang w:val="en-US" w:eastAsia="zh-CN" w:bidi="ar"/>
        </w:rPr>
      </w:pPr>
      <w:r>
        <w:rPr>
          <w:rStyle w:val="14"/>
          <w:rFonts w:hint="eastAsia" w:ascii="Segoe UI" w:hAnsi="Segoe UI" w:eastAsia="Segoe UI" w:cs="Segoe UI"/>
          <w:bCs/>
          <w:i w:val="0"/>
          <w:iCs w:val="0"/>
          <w:caps w:val="0"/>
          <w:color w:val="0F1115"/>
          <w:spacing w:val="0"/>
          <w:kern w:val="0"/>
          <w:sz w:val="24"/>
          <w:szCs w:val="24"/>
          <w:shd w:val="clear" w:fill="FFFFFF"/>
          <w:lang w:val="en-US" w:eastAsia="zh-CN" w:bidi="ar"/>
        </w:rPr>
        <w:t>Results and Discussion</w:t>
      </w:r>
    </w:p>
    <w:p w14:paraId="32548665">
      <w:pPr>
        <w:spacing w:line="480" w:lineRule="auto"/>
        <w:rPr>
          <w:rStyle w:val="14"/>
          <w:rFonts w:hint="eastAsia" w:ascii="Segoe UI" w:hAnsi="Segoe UI" w:eastAsia="Segoe UI" w:cs="Segoe UI"/>
          <w:bCs/>
          <w:i w:val="0"/>
          <w:iCs w:val="0"/>
          <w:caps w:val="0"/>
          <w:color w:val="0F1115"/>
          <w:spacing w:val="0"/>
          <w:kern w:val="0"/>
          <w:sz w:val="24"/>
          <w:szCs w:val="24"/>
          <w:shd w:val="clear" w:fill="FFFFFF"/>
          <w:lang w:val="en-US" w:eastAsia="zh-CN" w:bidi="ar"/>
        </w:rPr>
      </w:pPr>
      <w:r>
        <w:rPr>
          <w:rStyle w:val="14"/>
          <w:rFonts w:hint="eastAsia" w:ascii="Segoe UI" w:hAnsi="Segoe UI" w:eastAsia="Segoe UI" w:cs="Segoe UI"/>
          <w:bCs/>
          <w:i w:val="0"/>
          <w:iCs w:val="0"/>
          <w:caps w:val="0"/>
          <w:color w:val="0F1115"/>
          <w:spacing w:val="0"/>
          <w:kern w:val="0"/>
          <w:sz w:val="24"/>
          <w:szCs w:val="24"/>
          <w:shd w:val="clear" w:fill="FFFFFF"/>
          <w:lang w:val="en-US" w:eastAsia="zh-CN" w:bidi="ar"/>
        </w:rPr>
        <w:t>Quantitative Comparison Experiment</w:t>
      </w:r>
    </w:p>
    <w:p w14:paraId="33D50356">
      <w:pPr>
        <w:widowControl w:val="0"/>
        <w:spacing w:line="480" w:lineRule="auto"/>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After inclusion and exclusion, a total of 127 clinical records were obtained. The four-examination information from these records was input into both MAC-TCMRx and the Baseline model to generate corresponding prescriptions.</w:t>
      </w:r>
    </w:p>
    <w:p w14:paraId="27E752BA">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The Jaccard similarity coefficient and Dice coefficient between the prescriptions generated by each model and Professor Wu's real prescriptions were calculated. The results are shown in Table 1 and Figure 3.</w:t>
      </w:r>
    </w:p>
    <w:p w14:paraId="1C0A889D">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Table 1. Descriptive statistics of similarity between the two models' prescriptions and real prescriptions</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90"/>
        <w:gridCol w:w="1621"/>
        <w:gridCol w:w="799"/>
        <w:gridCol w:w="793"/>
        <w:gridCol w:w="793"/>
        <w:gridCol w:w="793"/>
        <w:gridCol w:w="962"/>
        <w:gridCol w:w="793"/>
        <w:gridCol w:w="705"/>
      </w:tblGrid>
      <w:tr w14:paraId="3EAF6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jc w:val="center"/>
        </w:trPr>
        <w:tc>
          <w:tcPr>
            <w:tcW w:w="659" w:type="dxa"/>
            <w:tcBorders>
              <w:top w:val="single" w:color="auto" w:sz="4" w:space="0"/>
              <w:bottom w:val="single" w:color="auto" w:sz="4" w:space="0"/>
            </w:tcBorders>
            <w:shd w:val="clear" w:color="auto" w:fill="auto"/>
            <w:tcMar>
              <w:top w:w="100" w:type="dxa"/>
              <w:left w:w="0" w:type="dxa"/>
              <w:bottom w:w="100" w:type="dxa"/>
              <w:right w:w="160" w:type="dxa"/>
            </w:tcMar>
            <w:vAlign w:val="center"/>
          </w:tcPr>
          <w:p w14:paraId="7205131C">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Metric</w:t>
            </w:r>
          </w:p>
        </w:tc>
        <w:tc>
          <w:tcPr>
            <w:tcW w:w="1621" w:type="dxa"/>
            <w:tcBorders>
              <w:top w:val="single" w:color="auto" w:sz="4" w:space="0"/>
              <w:bottom w:val="single" w:color="auto" w:sz="4" w:space="0"/>
            </w:tcBorders>
            <w:shd w:val="clear" w:color="auto" w:fill="auto"/>
            <w:tcMar>
              <w:top w:w="100" w:type="dxa"/>
              <w:left w:w="160" w:type="dxa"/>
              <w:bottom w:w="100" w:type="dxa"/>
              <w:right w:w="160" w:type="dxa"/>
            </w:tcMar>
            <w:vAlign w:val="center"/>
          </w:tcPr>
          <w:p w14:paraId="0F9F56CF">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Model</w:t>
            </w:r>
          </w:p>
        </w:tc>
        <w:tc>
          <w:tcPr>
            <w:tcW w:w="799" w:type="dxa"/>
            <w:tcBorders>
              <w:top w:val="single" w:color="auto" w:sz="4" w:space="0"/>
              <w:bottom w:val="single" w:color="auto" w:sz="4" w:space="0"/>
            </w:tcBorders>
            <w:shd w:val="clear" w:color="auto" w:fill="auto"/>
            <w:tcMar>
              <w:top w:w="100" w:type="dxa"/>
              <w:left w:w="160" w:type="dxa"/>
              <w:bottom w:w="100" w:type="dxa"/>
              <w:right w:w="160" w:type="dxa"/>
            </w:tcMar>
            <w:vAlign w:val="center"/>
          </w:tcPr>
          <w:p w14:paraId="205AB6B3">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Mean</w:t>
            </w:r>
          </w:p>
        </w:tc>
        <w:tc>
          <w:tcPr>
            <w:tcW w:w="793" w:type="dxa"/>
            <w:tcBorders>
              <w:top w:val="single" w:color="auto" w:sz="4" w:space="0"/>
              <w:bottom w:val="single" w:color="auto" w:sz="4" w:space="0"/>
            </w:tcBorders>
            <w:shd w:val="clear" w:color="auto" w:fill="auto"/>
            <w:tcMar>
              <w:top w:w="100" w:type="dxa"/>
              <w:left w:w="160" w:type="dxa"/>
              <w:bottom w:w="100" w:type="dxa"/>
              <w:right w:w="160" w:type="dxa"/>
            </w:tcMar>
            <w:vAlign w:val="center"/>
          </w:tcPr>
          <w:p w14:paraId="6EF26BAD">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Std</w:t>
            </w:r>
          </w:p>
        </w:tc>
        <w:tc>
          <w:tcPr>
            <w:tcW w:w="793" w:type="dxa"/>
            <w:tcBorders>
              <w:top w:val="single" w:color="auto" w:sz="4" w:space="0"/>
              <w:bottom w:val="single" w:color="auto" w:sz="4" w:space="0"/>
            </w:tcBorders>
            <w:shd w:val="clear" w:color="auto" w:fill="auto"/>
            <w:tcMar>
              <w:top w:w="100" w:type="dxa"/>
              <w:left w:w="160" w:type="dxa"/>
              <w:bottom w:w="100" w:type="dxa"/>
              <w:right w:w="160" w:type="dxa"/>
            </w:tcMar>
            <w:vAlign w:val="center"/>
          </w:tcPr>
          <w:p w14:paraId="28B94258">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Min</w:t>
            </w:r>
          </w:p>
        </w:tc>
        <w:tc>
          <w:tcPr>
            <w:tcW w:w="793" w:type="dxa"/>
            <w:tcBorders>
              <w:top w:val="single" w:color="auto" w:sz="4" w:space="0"/>
              <w:bottom w:val="single" w:color="auto" w:sz="4" w:space="0"/>
            </w:tcBorders>
            <w:shd w:val="clear" w:color="auto" w:fill="auto"/>
            <w:tcMar>
              <w:top w:w="100" w:type="dxa"/>
              <w:left w:w="160" w:type="dxa"/>
              <w:bottom w:w="100" w:type="dxa"/>
              <w:right w:w="160" w:type="dxa"/>
            </w:tcMar>
            <w:vAlign w:val="center"/>
          </w:tcPr>
          <w:p w14:paraId="56CFE53E">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25%</w:t>
            </w:r>
          </w:p>
        </w:tc>
        <w:tc>
          <w:tcPr>
            <w:tcW w:w="962" w:type="dxa"/>
            <w:tcBorders>
              <w:top w:val="single" w:color="auto" w:sz="4" w:space="0"/>
              <w:bottom w:val="single" w:color="auto" w:sz="4" w:space="0"/>
            </w:tcBorders>
            <w:shd w:val="clear" w:color="auto" w:fill="auto"/>
            <w:tcMar>
              <w:top w:w="100" w:type="dxa"/>
              <w:left w:w="160" w:type="dxa"/>
              <w:bottom w:w="100" w:type="dxa"/>
              <w:right w:w="160" w:type="dxa"/>
            </w:tcMar>
            <w:vAlign w:val="center"/>
          </w:tcPr>
          <w:p w14:paraId="0BA7E7C9">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Median</w:t>
            </w:r>
          </w:p>
        </w:tc>
        <w:tc>
          <w:tcPr>
            <w:tcW w:w="793" w:type="dxa"/>
            <w:tcBorders>
              <w:top w:val="single" w:color="auto" w:sz="4" w:space="0"/>
              <w:bottom w:val="single" w:color="auto" w:sz="4" w:space="0"/>
            </w:tcBorders>
            <w:shd w:val="clear" w:color="auto" w:fill="auto"/>
            <w:tcMar>
              <w:top w:w="100" w:type="dxa"/>
              <w:left w:w="160" w:type="dxa"/>
              <w:bottom w:w="100" w:type="dxa"/>
              <w:right w:w="160" w:type="dxa"/>
            </w:tcMar>
            <w:vAlign w:val="center"/>
          </w:tcPr>
          <w:p w14:paraId="16B13605">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75%</w:t>
            </w:r>
          </w:p>
        </w:tc>
        <w:tc>
          <w:tcPr>
            <w:tcW w:w="705" w:type="dxa"/>
            <w:tcBorders>
              <w:top w:val="single" w:color="auto" w:sz="4" w:space="0"/>
              <w:bottom w:val="single" w:color="auto" w:sz="4" w:space="0"/>
            </w:tcBorders>
            <w:shd w:val="clear" w:color="auto" w:fill="auto"/>
            <w:tcMar>
              <w:top w:w="100" w:type="dxa"/>
              <w:left w:w="160" w:type="dxa"/>
              <w:bottom w:w="100" w:type="dxa"/>
              <w:right w:w="160" w:type="dxa"/>
            </w:tcMar>
            <w:vAlign w:val="center"/>
          </w:tcPr>
          <w:p w14:paraId="535D5937">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Max</w:t>
            </w:r>
          </w:p>
        </w:tc>
      </w:tr>
      <w:tr w14:paraId="2840A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659" w:type="dxa"/>
            <w:tcBorders>
              <w:top w:val="single" w:color="auto" w:sz="4" w:space="0"/>
            </w:tcBorders>
            <w:shd w:val="clear" w:color="auto" w:fill="auto"/>
            <w:tcMar>
              <w:top w:w="100" w:type="dxa"/>
              <w:left w:w="0" w:type="dxa"/>
              <w:bottom w:w="100" w:type="dxa"/>
              <w:right w:w="160" w:type="dxa"/>
            </w:tcMar>
            <w:vAlign w:val="center"/>
          </w:tcPr>
          <w:p w14:paraId="6C385BC7">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Jaccard</w:t>
            </w:r>
          </w:p>
        </w:tc>
        <w:tc>
          <w:tcPr>
            <w:tcW w:w="1621" w:type="dxa"/>
            <w:tcBorders>
              <w:top w:val="single" w:color="auto" w:sz="4" w:space="0"/>
            </w:tcBorders>
            <w:shd w:val="clear" w:color="auto" w:fill="auto"/>
            <w:tcMar>
              <w:top w:w="100" w:type="dxa"/>
              <w:left w:w="160" w:type="dxa"/>
              <w:bottom w:w="100" w:type="dxa"/>
              <w:right w:w="160" w:type="dxa"/>
            </w:tcMar>
            <w:vAlign w:val="center"/>
          </w:tcPr>
          <w:p w14:paraId="50B39912">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eastAsia" w:ascii="Times New Roman" w:hAnsi="Times New Roman" w:cs="Times New Roman"/>
                <w:lang w:val="en-US" w:eastAsia="zh-CN"/>
              </w:rPr>
              <w:t>MAC-TCMRx</w:t>
            </w:r>
          </w:p>
        </w:tc>
        <w:tc>
          <w:tcPr>
            <w:tcW w:w="799" w:type="dxa"/>
            <w:tcBorders>
              <w:top w:val="single" w:color="auto" w:sz="4" w:space="0"/>
            </w:tcBorders>
            <w:shd w:val="clear" w:color="auto" w:fill="auto"/>
            <w:tcMar>
              <w:top w:w="100" w:type="dxa"/>
              <w:left w:w="160" w:type="dxa"/>
              <w:bottom w:w="100" w:type="dxa"/>
              <w:right w:w="160" w:type="dxa"/>
            </w:tcMar>
            <w:vAlign w:val="center"/>
          </w:tcPr>
          <w:p w14:paraId="5EE1D06C">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0.272</w:t>
            </w:r>
          </w:p>
        </w:tc>
        <w:tc>
          <w:tcPr>
            <w:tcW w:w="793" w:type="dxa"/>
            <w:tcBorders>
              <w:top w:val="single" w:color="auto" w:sz="4" w:space="0"/>
            </w:tcBorders>
            <w:shd w:val="clear" w:color="auto" w:fill="auto"/>
            <w:tcMar>
              <w:top w:w="100" w:type="dxa"/>
              <w:left w:w="160" w:type="dxa"/>
              <w:bottom w:w="100" w:type="dxa"/>
              <w:right w:w="160" w:type="dxa"/>
            </w:tcMar>
            <w:vAlign w:val="center"/>
          </w:tcPr>
          <w:p w14:paraId="30449BA7">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0.089</w:t>
            </w:r>
          </w:p>
        </w:tc>
        <w:tc>
          <w:tcPr>
            <w:tcW w:w="793" w:type="dxa"/>
            <w:tcBorders>
              <w:top w:val="single" w:color="auto" w:sz="4" w:space="0"/>
            </w:tcBorders>
            <w:shd w:val="clear" w:color="auto" w:fill="auto"/>
            <w:tcMar>
              <w:top w:w="100" w:type="dxa"/>
              <w:left w:w="160" w:type="dxa"/>
              <w:bottom w:w="100" w:type="dxa"/>
              <w:right w:w="160" w:type="dxa"/>
            </w:tcMar>
            <w:vAlign w:val="center"/>
          </w:tcPr>
          <w:p w14:paraId="56EB59C4">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0.049</w:t>
            </w:r>
          </w:p>
        </w:tc>
        <w:tc>
          <w:tcPr>
            <w:tcW w:w="793" w:type="dxa"/>
            <w:tcBorders>
              <w:top w:val="single" w:color="auto" w:sz="4" w:space="0"/>
            </w:tcBorders>
            <w:shd w:val="clear" w:color="auto" w:fill="auto"/>
            <w:tcMar>
              <w:top w:w="100" w:type="dxa"/>
              <w:left w:w="160" w:type="dxa"/>
              <w:bottom w:w="100" w:type="dxa"/>
              <w:right w:w="160" w:type="dxa"/>
            </w:tcMar>
            <w:vAlign w:val="center"/>
          </w:tcPr>
          <w:p w14:paraId="2041C553">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0.208</w:t>
            </w:r>
          </w:p>
        </w:tc>
        <w:tc>
          <w:tcPr>
            <w:tcW w:w="962" w:type="dxa"/>
            <w:tcBorders>
              <w:top w:val="single" w:color="auto" w:sz="4" w:space="0"/>
            </w:tcBorders>
            <w:shd w:val="clear" w:color="auto" w:fill="auto"/>
            <w:tcMar>
              <w:top w:w="100" w:type="dxa"/>
              <w:left w:w="160" w:type="dxa"/>
              <w:bottom w:w="100" w:type="dxa"/>
              <w:right w:w="160" w:type="dxa"/>
            </w:tcMar>
            <w:vAlign w:val="center"/>
          </w:tcPr>
          <w:p w14:paraId="6108B769">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0.270</w:t>
            </w:r>
          </w:p>
        </w:tc>
        <w:tc>
          <w:tcPr>
            <w:tcW w:w="793" w:type="dxa"/>
            <w:tcBorders>
              <w:top w:val="single" w:color="auto" w:sz="4" w:space="0"/>
            </w:tcBorders>
            <w:shd w:val="clear" w:color="auto" w:fill="auto"/>
            <w:tcMar>
              <w:top w:w="100" w:type="dxa"/>
              <w:left w:w="160" w:type="dxa"/>
              <w:bottom w:w="100" w:type="dxa"/>
              <w:right w:w="160" w:type="dxa"/>
            </w:tcMar>
            <w:vAlign w:val="center"/>
          </w:tcPr>
          <w:p w14:paraId="7DBD9056">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0.336</w:t>
            </w:r>
          </w:p>
        </w:tc>
        <w:tc>
          <w:tcPr>
            <w:tcW w:w="705" w:type="dxa"/>
            <w:tcBorders>
              <w:top w:val="single" w:color="auto" w:sz="4" w:space="0"/>
            </w:tcBorders>
            <w:shd w:val="clear" w:color="auto" w:fill="auto"/>
            <w:tcMar>
              <w:top w:w="100" w:type="dxa"/>
              <w:left w:w="160" w:type="dxa"/>
              <w:bottom w:w="100" w:type="dxa"/>
              <w:right w:w="0" w:type="dxa"/>
            </w:tcMar>
            <w:vAlign w:val="center"/>
          </w:tcPr>
          <w:p w14:paraId="3A92A249">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0.485</w:t>
            </w:r>
          </w:p>
        </w:tc>
      </w:tr>
      <w:tr w14:paraId="5F452E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659" w:type="dxa"/>
            <w:shd w:val="clear" w:color="auto" w:fill="auto"/>
            <w:tcMar>
              <w:top w:w="100" w:type="dxa"/>
              <w:left w:w="0" w:type="dxa"/>
              <w:bottom w:w="100" w:type="dxa"/>
              <w:right w:w="160" w:type="dxa"/>
            </w:tcMar>
            <w:vAlign w:val="center"/>
          </w:tcPr>
          <w:p w14:paraId="347FF41F">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Jaccard</w:t>
            </w:r>
          </w:p>
        </w:tc>
        <w:tc>
          <w:tcPr>
            <w:tcW w:w="1621" w:type="dxa"/>
            <w:shd w:val="clear" w:color="auto" w:fill="auto"/>
            <w:tcMar>
              <w:top w:w="100" w:type="dxa"/>
              <w:left w:w="160" w:type="dxa"/>
              <w:bottom w:w="100" w:type="dxa"/>
              <w:right w:w="160" w:type="dxa"/>
            </w:tcMar>
            <w:vAlign w:val="center"/>
          </w:tcPr>
          <w:p w14:paraId="1F45A82A">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eastAsia" w:ascii="Times New Roman" w:hAnsi="Times New Roman" w:cs="Times New Roman"/>
                <w:lang w:val="en-US" w:eastAsia="zh-CN"/>
              </w:rPr>
              <w:t>Baseline model</w:t>
            </w:r>
          </w:p>
        </w:tc>
        <w:tc>
          <w:tcPr>
            <w:tcW w:w="799" w:type="dxa"/>
            <w:shd w:val="clear" w:color="auto" w:fill="auto"/>
            <w:tcMar>
              <w:top w:w="100" w:type="dxa"/>
              <w:left w:w="160" w:type="dxa"/>
              <w:bottom w:w="100" w:type="dxa"/>
              <w:right w:w="160" w:type="dxa"/>
            </w:tcMar>
            <w:vAlign w:val="center"/>
          </w:tcPr>
          <w:p w14:paraId="723A041D">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0.130</w:t>
            </w:r>
          </w:p>
        </w:tc>
        <w:tc>
          <w:tcPr>
            <w:tcW w:w="793" w:type="dxa"/>
            <w:shd w:val="clear" w:color="auto" w:fill="auto"/>
            <w:tcMar>
              <w:top w:w="100" w:type="dxa"/>
              <w:left w:w="160" w:type="dxa"/>
              <w:bottom w:w="100" w:type="dxa"/>
              <w:right w:w="160" w:type="dxa"/>
            </w:tcMar>
            <w:vAlign w:val="center"/>
          </w:tcPr>
          <w:p w14:paraId="2FCCB73A">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0.072</w:t>
            </w:r>
          </w:p>
        </w:tc>
        <w:tc>
          <w:tcPr>
            <w:tcW w:w="793" w:type="dxa"/>
            <w:shd w:val="clear" w:color="auto" w:fill="auto"/>
            <w:tcMar>
              <w:top w:w="100" w:type="dxa"/>
              <w:left w:w="160" w:type="dxa"/>
              <w:bottom w:w="100" w:type="dxa"/>
              <w:right w:w="160" w:type="dxa"/>
            </w:tcMar>
            <w:vAlign w:val="center"/>
          </w:tcPr>
          <w:p w14:paraId="42CD361F">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0.000</w:t>
            </w:r>
          </w:p>
        </w:tc>
        <w:tc>
          <w:tcPr>
            <w:tcW w:w="793" w:type="dxa"/>
            <w:shd w:val="clear" w:color="auto" w:fill="auto"/>
            <w:tcMar>
              <w:top w:w="100" w:type="dxa"/>
              <w:left w:w="160" w:type="dxa"/>
              <w:bottom w:w="100" w:type="dxa"/>
              <w:right w:w="160" w:type="dxa"/>
            </w:tcMar>
            <w:vAlign w:val="center"/>
          </w:tcPr>
          <w:p w14:paraId="6A87BA38">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0.078</w:t>
            </w:r>
          </w:p>
        </w:tc>
        <w:tc>
          <w:tcPr>
            <w:tcW w:w="962" w:type="dxa"/>
            <w:shd w:val="clear" w:color="auto" w:fill="auto"/>
            <w:tcMar>
              <w:top w:w="100" w:type="dxa"/>
              <w:left w:w="160" w:type="dxa"/>
              <w:bottom w:w="100" w:type="dxa"/>
              <w:right w:w="160" w:type="dxa"/>
            </w:tcMar>
            <w:vAlign w:val="center"/>
          </w:tcPr>
          <w:p w14:paraId="6B6F6535">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0.121</w:t>
            </w:r>
          </w:p>
        </w:tc>
        <w:tc>
          <w:tcPr>
            <w:tcW w:w="793" w:type="dxa"/>
            <w:shd w:val="clear" w:color="auto" w:fill="auto"/>
            <w:tcMar>
              <w:top w:w="100" w:type="dxa"/>
              <w:left w:w="160" w:type="dxa"/>
              <w:bottom w:w="100" w:type="dxa"/>
              <w:right w:w="160" w:type="dxa"/>
            </w:tcMar>
            <w:vAlign w:val="center"/>
          </w:tcPr>
          <w:p w14:paraId="57558652">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0.172</w:t>
            </w:r>
          </w:p>
        </w:tc>
        <w:tc>
          <w:tcPr>
            <w:tcW w:w="705" w:type="dxa"/>
            <w:shd w:val="clear" w:color="auto" w:fill="auto"/>
            <w:tcMar>
              <w:top w:w="100" w:type="dxa"/>
              <w:left w:w="160" w:type="dxa"/>
              <w:bottom w:w="100" w:type="dxa"/>
              <w:right w:w="0" w:type="dxa"/>
            </w:tcMar>
            <w:vAlign w:val="center"/>
          </w:tcPr>
          <w:p w14:paraId="58322579">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0.344</w:t>
            </w:r>
          </w:p>
        </w:tc>
      </w:tr>
      <w:tr w14:paraId="4F64E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659" w:type="dxa"/>
            <w:shd w:val="clear" w:color="auto" w:fill="auto"/>
            <w:tcMar>
              <w:top w:w="100" w:type="dxa"/>
              <w:left w:w="0" w:type="dxa"/>
              <w:bottom w:w="100" w:type="dxa"/>
              <w:right w:w="160" w:type="dxa"/>
            </w:tcMar>
            <w:vAlign w:val="center"/>
          </w:tcPr>
          <w:p w14:paraId="6A53C51A">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Dice</w:t>
            </w:r>
          </w:p>
        </w:tc>
        <w:tc>
          <w:tcPr>
            <w:tcW w:w="1621" w:type="dxa"/>
            <w:shd w:val="clear" w:color="auto" w:fill="auto"/>
            <w:tcMar>
              <w:top w:w="100" w:type="dxa"/>
              <w:left w:w="160" w:type="dxa"/>
              <w:bottom w:w="100" w:type="dxa"/>
              <w:right w:w="160" w:type="dxa"/>
            </w:tcMar>
            <w:vAlign w:val="center"/>
          </w:tcPr>
          <w:p w14:paraId="172171A3">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eastAsia" w:ascii="Times New Roman" w:hAnsi="Times New Roman" w:cs="Times New Roman"/>
                <w:lang w:val="en-US" w:eastAsia="zh-CN"/>
              </w:rPr>
              <w:t>MAC-TCMRx</w:t>
            </w:r>
          </w:p>
        </w:tc>
        <w:tc>
          <w:tcPr>
            <w:tcW w:w="799" w:type="dxa"/>
            <w:shd w:val="clear" w:color="auto" w:fill="auto"/>
            <w:tcMar>
              <w:top w:w="100" w:type="dxa"/>
              <w:left w:w="160" w:type="dxa"/>
              <w:bottom w:w="100" w:type="dxa"/>
              <w:right w:w="160" w:type="dxa"/>
            </w:tcMar>
            <w:vAlign w:val="center"/>
          </w:tcPr>
          <w:p w14:paraId="7AC49477">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0.421</w:t>
            </w:r>
          </w:p>
        </w:tc>
        <w:tc>
          <w:tcPr>
            <w:tcW w:w="793" w:type="dxa"/>
            <w:shd w:val="clear" w:color="auto" w:fill="auto"/>
            <w:tcMar>
              <w:top w:w="100" w:type="dxa"/>
              <w:left w:w="160" w:type="dxa"/>
              <w:bottom w:w="100" w:type="dxa"/>
              <w:right w:w="160" w:type="dxa"/>
            </w:tcMar>
            <w:vAlign w:val="center"/>
          </w:tcPr>
          <w:p w14:paraId="3ED11A76">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0.102</w:t>
            </w:r>
          </w:p>
        </w:tc>
        <w:tc>
          <w:tcPr>
            <w:tcW w:w="793" w:type="dxa"/>
            <w:shd w:val="clear" w:color="auto" w:fill="auto"/>
            <w:tcMar>
              <w:top w:w="100" w:type="dxa"/>
              <w:left w:w="160" w:type="dxa"/>
              <w:bottom w:w="100" w:type="dxa"/>
              <w:right w:w="160" w:type="dxa"/>
            </w:tcMar>
            <w:vAlign w:val="center"/>
          </w:tcPr>
          <w:p w14:paraId="5CF4D0D3">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0.093</w:t>
            </w:r>
          </w:p>
        </w:tc>
        <w:tc>
          <w:tcPr>
            <w:tcW w:w="793" w:type="dxa"/>
            <w:shd w:val="clear" w:color="auto" w:fill="auto"/>
            <w:tcMar>
              <w:top w:w="100" w:type="dxa"/>
              <w:left w:w="160" w:type="dxa"/>
              <w:bottom w:w="100" w:type="dxa"/>
              <w:right w:w="160" w:type="dxa"/>
            </w:tcMar>
            <w:vAlign w:val="center"/>
          </w:tcPr>
          <w:p w14:paraId="7AA54CAA">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0.345</w:t>
            </w:r>
          </w:p>
        </w:tc>
        <w:tc>
          <w:tcPr>
            <w:tcW w:w="962" w:type="dxa"/>
            <w:shd w:val="clear" w:color="auto" w:fill="auto"/>
            <w:tcMar>
              <w:top w:w="100" w:type="dxa"/>
              <w:left w:w="160" w:type="dxa"/>
              <w:bottom w:w="100" w:type="dxa"/>
              <w:right w:w="160" w:type="dxa"/>
            </w:tcMar>
            <w:vAlign w:val="center"/>
          </w:tcPr>
          <w:p w14:paraId="7A19D5E4">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0.425</w:t>
            </w:r>
          </w:p>
        </w:tc>
        <w:tc>
          <w:tcPr>
            <w:tcW w:w="793" w:type="dxa"/>
            <w:shd w:val="clear" w:color="auto" w:fill="auto"/>
            <w:tcMar>
              <w:top w:w="100" w:type="dxa"/>
              <w:left w:w="160" w:type="dxa"/>
              <w:bottom w:w="100" w:type="dxa"/>
              <w:right w:w="160" w:type="dxa"/>
            </w:tcMar>
            <w:vAlign w:val="center"/>
          </w:tcPr>
          <w:p w14:paraId="690A8C46">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0.498</w:t>
            </w:r>
          </w:p>
        </w:tc>
        <w:tc>
          <w:tcPr>
            <w:tcW w:w="705" w:type="dxa"/>
            <w:shd w:val="clear" w:color="auto" w:fill="auto"/>
            <w:tcMar>
              <w:top w:w="100" w:type="dxa"/>
              <w:left w:w="160" w:type="dxa"/>
              <w:bottom w:w="100" w:type="dxa"/>
              <w:right w:w="0" w:type="dxa"/>
            </w:tcMar>
            <w:vAlign w:val="center"/>
          </w:tcPr>
          <w:p w14:paraId="39E065E1">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0.652</w:t>
            </w:r>
          </w:p>
        </w:tc>
      </w:tr>
      <w:tr w14:paraId="2313A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659" w:type="dxa"/>
            <w:tcBorders>
              <w:bottom w:val="single" w:color="auto" w:sz="4" w:space="0"/>
            </w:tcBorders>
            <w:shd w:val="clear" w:color="auto" w:fill="auto"/>
            <w:tcMar>
              <w:top w:w="100" w:type="dxa"/>
              <w:left w:w="0" w:type="dxa"/>
              <w:bottom w:w="100" w:type="dxa"/>
              <w:right w:w="160" w:type="dxa"/>
            </w:tcMar>
            <w:vAlign w:val="center"/>
          </w:tcPr>
          <w:p w14:paraId="3D6E77D9">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Dice</w:t>
            </w:r>
          </w:p>
        </w:tc>
        <w:tc>
          <w:tcPr>
            <w:tcW w:w="1621" w:type="dxa"/>
            <w:tcBorders>
              <w:bottom w:val="single" w:color="auto" w:sz="4" w:space="0"/>
            </w:tcBorders>
            <w:shd w:val="clear" w:color="auto" w:fill="auto"/>
            <w:tcMar>
              <w:top w:w="100" w:type="dxa"/>
              <w:left w:w="160" w:type="dxa"/>
              <w:bottom w:w="100" w:type="dxa"/>
              <w:right w:w="160" w:type="dxa"/>
            </w:tcMar>
            <w:vAlign w:val="center"/>
          </w:tcPr>
          <w:p w14:paraId="42C11420">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eastAsia" w:ascii="Times New Roman" w:hAnsi="Times New Roman" w:cs="Times New Roman"/>
                <w:lang w:val="en-US" w:eastAsia="zh-CN"/>
              </w:rPr>
              <w:t>Baseline model</w:t>
            </w:r>
          </w:p>
        </w:tc>
        <w:tc>
          <w:tcPr>
            <w:tcW w:w="799" w:type="dxa"/>
            <w:tcBorders>
              <w:bottom w:val="single" w:color="auto" w:sz="4" w:space="0"/>
            </w:tcBorders>
            <w:shd w:val="clear" w:color="auto" w:fill="auto"/>
            <w:tcMar>
              <w:top w:w="100" w:type="dxa"/>
              <w:left w:w="160" w:type="dxa"/>
              <w:bottom w:w="100" w:type="dxa"/>
              <w:right w:w="160" w:type="dxa"/>
            </w:tcMar>
            <w:vAlign w:val="center"/>
          </w:tcPr>
          <w:p w14:paraId="770360F8">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0.224</w:t>
            </w:r>
          </w:p>
        </w:tc>
        <w:tc>
          <w:tcPr>
            <w:tcW w:w="793" w:type="dxa"/>
            <w:tcBorders>
              <w:bottom w:val="single" w:color="auto" w:sz="4" w:space="0"/>
            </w:tcBorders>
            <w:shd w:val="clear" w:color="auto" w:fill="auto"/>
            <w:tcMar>
              <w:top w:w="100" w:type="dxa"/>
              <w:left w:w="160" w:type="dxa"/>
              <w:bottom w:w="100" w:type="dxa"/>
              <w:right w:w="160" w:type="dxa"/>
            </w:tcMar>
            <w:vAlign w:val="center"/>
          </w:tcPr>
          <w:p w14:paraId="468D6E40">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0.108</w:t>
            </w:r>
          </w:p>
        </w:tc>
        <w:tc>
          <w:tcPr>
            <w:tcW w:w="793" w:type="dxa"/>
            <w:tcBorders>
              <w:bottom w:val="single" w:color="auto" w:sz="4" w:space="0"/>
            </w:tcBorders>
            <w:shd w:val="clear" w:color="auto" w:fill="auto"/>
            <w:tcMar>
              <w:top w:w="100" w:type="dxa"/>
              <w:left w:w="160" w:type="dxa"/>
              <w:bottom w:w="100" w:type="dxa"/>
              <w:right w:w="160" w:type="dxa"/>
            </w:tcMar>
            <w:vAlign w:val="center"/>
          </w:tcPr>
          <w:p w14:paraId="2E61B754">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0.000</w:t>
            </w:r>
          </w:p>
        </w:tc>
        <w:tc>
          <w:tcPr>
            <w:tcW w:w="793" w:type="dxa"/>
            <w:tcBorders>
              <w:bottom w:val="single" w:color="auto" w:sz="4" w:space="0"/>
            </w:tcBorders>
            <w:shd w:val="clear" w:color="auto" w:fill="auto"/>
            <w:tcMar>
              <w:top w:w="100" w:type="dxa"/>
              <w:left w:w="160" w:type="dxa"/>
              <w:bottom w:w="100" w:type="dxa"/>
              <w:right w:w="160" w:type="dxa"/>
            </w:tcMar>
            <w:vAlign w:val="center"/>
          </w:tcPr>
          <w:p w14:paraId="538A77F8">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0.145</w:t>
            </w:r>
          </w:p>
        </w:tc>
        <w:tc>
          <w:tcPr>
            <w:tcW w:w="962" w:type="dxa"/>
            <w:tcBorders>
              <w:bottom w:val="single" w:color="auto" w:sz="4" w:space="0"/>
            </w:tcBorders>
            <w:shd w:val="clear" w:color="auto" w:fill="auto"/>
            <w:tcMar>
              <w:top w:w="100" w:type="dxa"/>
              <w:left w:w="160" w:type="dxa"/>
              <w:bottom w:w="100" w:type="dxa"/>
              <w:right w:w="160" w:type="dxa"/>
            </w:tcMar>
            <w:vAlign w:val="center"/>
          </w:tcPr>
          <w:p w14:paraId="6B62F5E8">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0.215</w:t>
            </w:r>
          </w:p>
        </w:tc>
        <w:tc>
          <w:tcPr>
            <w:tcW w:w="793" w:type="dxa"/>
            <w:tcBorders>
              <w:bottom w:val="single" w:color="auto" w:sz="4" w:space="0"/>
            </w:tcBorders>
            <w:shd w:val="clear" w:color="auto" w:fill="auto"/>
            <w:tcMar>
              <w:top w:w="100" w:type="dxa"/>
              <w:left w:w="160" w:type="dxa"/>
              <w:bottom w:w="100" w:type="dxa"/>
              <w:right w:w="160" w:type="dxa"/>
            </w:tcMar>
            <w:vAlign w:val="center"/>
          </w:tcPr>
          <w:p w14:paraId="4195888E">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0.293</w:t>
            </w:r>
          </w:p>
        </w:tc>
        <w:tc>
          <w:tcPr>
            <w:tcW w:w="705" w:type="dxa"/>
            <w:tcBorders>
              <w:bottom w:val="single" w:color="auto" w:sz="4" w:space="0"/>
            </w:tcBorders>
            <w:shd w:val="clear" w:color="auto" w:fill="auto"/>
            <w:tcMar>
              <w:top w:w="100" w:type="dxa"/>
              <w:left w:w="160" w:type="dxa"/>
              <w:bottom w:w="100" w:type="dxa"/>
              <w:right w:w="0" w:type="dxa"/>
            </w:tcMar>
            <w:vAlign w:val="center"/>
          </w:tcPr>
          <w:p w14:paraId="057E6730">
            <w:pPr>
              <w:keepNext w:val="0"/>
              <w:keepLines w:val="0"/>
              <w:suppressLineNumbers w:val="0"/>
              <w:spacing w:before="0" w:beforeAutospacing="0" w:after="160" w:afterAutospacing="0" w:line="480" w:lineRule="auto"/>
              <w:ind w:left="0" w:right="0"/>
              <w:jc w:val="center"/>
              <w:rPr>
                <w:rFonts w:hint="default" w:ascii="Times New Roman" w:hAnsi="Times New Roman" w:cs="Times New Roman"/>
                <w:lang w:val="en-US" w:eastAsia="zh-CN"/>
              </w:rPr>
            </w:pPr>
            <w:r>
              <w:rPr>
                <w:rFonts w:hint="default" w:ascii="Times New Roman" w:hAnsi="Times New Roman" w:cs="Times New Roman"/>
                <w:lang w:val="en-US" w:eastAsia="zh-CN"/>
              </w:rPr>
              <w:t>0.512</w:t>
            </w:r>
          </w:p>
        </w:tc>
      </w:tr>
    </w:tbl>
    <w:p w14:paraId="4E717138">
      <w:pPr>
        <w:widowControl w:val="0"/>
        <w:bidi w:val="0"/>
        <w:spacing w:before="0" w:beforeAutospacing="1" w:after="0" w:afterAutospacing="1" w:line="480" w:lineRule="auto"/>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drawing>
          <wp:inline distT="0" distB="0" distL="114300" distR="114300">
            <wp:extent cx="5273040" cy="3427095"/>
            <wp:effectExtent l="0" t="0" r="0" b="1905"/>
            <wp:docPr id="7" name="图片 7" descr="boxplot-light-velo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oxplot-light-velocity"/>
                    <pic:cNvPicPr>
                      <a:picLocks noChangeAspect="1"/>
                    </pic:cNvPicPr>
                  </pic:nvPicPr>
                  <pic:blipFill>
                    <a:blip r:embed="rId8"/>
                    <a:stretch>
                      <a:fillRect/>
                    </a:stretch>
                  </pic:blipFill>
                  <pic:spPr>
                    <a:xfrm>
                      <a:off x="0" y="0"/>
                      <a:ext cx="5273040" cy="3427095"/>
                    </a:xfrm>
                    <a:prstGeom prst="rect">
                      <a:avLst/>
                    </a:prstGeom>
                  </pic:spPr>
                </pic:pic>
              </a:graphicData>
            </a:graphic>
          </wp:inline>
        </w:drawing>
      </w:r>
    </w:p>
    <w:p w14:paraId="4751013A">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Figure 3. Boxplots of the Jaccard and Dice coefficients for the two models (horizontal axis: model group; vertical axis: similarity coefficients; showing the distribution of the two datasets).</w:t>
      </w:r>
    </w:p>
    <w:p w14:paraId="3D1CB1F4">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The mean Jaccard similarity coefficient between MAC-TCMRx prescriptions and real prescriptions was 0.272, while that of the Baseline model was only 0.130 – MAC-TCMRx outperformed the baseline by a factor of 2.09. A significant difference was also observed in the medians (0.270 vs. 0.121). This indicates that MAC-TCMRx is significantly better than the Baseline model in terms of overall overlap of drug sets. Notably, the minimum Jaccard value of the Baseline model was 0.000, meaning that for some cases the Baseline model recommended drugs that had no overlap with the real prescription, reflecting that general-purpose LLM may produce recommendations that severely deviate from the actual clinical practice of renowned TCM practitioners. Regarding the distribution, the 25th percentile of MAC-TCMRx (0.208) was already close to the median of the Baseline model (0.121), and the 75th percentile of MAC-TCMRx (0.336) was significantly higher than that of the Baseline model (0.172). This demonstrates that the performance advantage of MAC-TCMRx is consistent and stable, not driven only by a few exceptional cases.</w:t>
      </w:r>
    </w:p>
    <w:p w14:paraId="484E14B6">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The mean Dice coefficient between MAC-TCMRx prescriptions and real prescriptions was 0.421, while that of the Baseline model was 0.224 – MAC-TCMRx outperformed the baseline by a factor of 1.88. At all percentiles (25%, 50%, 75%), MAC-TCMRx was consistently better. Compared with the Jaccard coefficient, the Dice coefficient gives higher weight to the intersection and thus more sensitively reflects the matching of core drugs. Considering that TCM prescriptions often contain multiple herbs and that there is overlap and substitutability among different herbs (e.g., </w:t>
      </w:r>
      <w:r>
        <w:rPr>
          <w:rFonts w:hint="eastAsia" w:ascii="Times New Roman" w:hAnsi="Times New Roman" w:eastAsia="宋体" w:cs="Times New Roman"/>
          <w:i/>
          <w:iCs/>
          <w:color w:val="000000"/>
          <w:kern w:val="0"/>
          <w:sz w:val="24"/>
          <w:szCs w:val="24"/>
          <w:lang w:val="en-US" w:eastAsia="zh-CN" w:bidi="ar"/>
        </w:rPr>
        <w:t>Angelica sinensis</w:t>
      </w:r>
      <w:r>
        <w:rPr>
          <w:rFonts w:hint="eastAsia" w:ascii="Times New Roman" w:hAnsi="Times New Roman" w:eastAsia="宋体" w:cs="Times New Roman"/>
          <w:color w:val="000000"/>
          <w:kern w:val="0"/>
          <w:sz w:val="24"/>
          <w:szCs w:val="24"/>
          <w:lang w:val="en-US" w:eastAsia="zh-CN" w:bidi="ar"/>
        </w:rPr>
        <w:t> (Danggui), </w:t>
      </w:r>
      <w:r>
        <w:rPr>
          <w:rFonts w:hint="eastAsia" w:ascii="Times New Roman" w:hAnsi="Times New Roman" w:eastAsia="宋体" w:cs="Times New Roman"/>
          <w:i/>
          <w:iCs/>
          <w:color w:val="000000"/>
          <w:kern w:val="0"/>
          <w:sz w:val="24"/>
          <w:szCs w:val="24"/>
          <w:lang w:val="en-US" w:eastAsia="zh-CN" w:bidi="ar"/>
        </w:rPr>
        <w:t>Ligusticum chuanxiong</w:t>
      </w:r>
      <w:r>
        <w:rPr>
          <w:rFonts w:hint="eastAsia" w:ascii="Times New Roman" w:hAnsi="Times New Roman" w:eastAsia="宋体" w:cs="Times New Roman"/>
          <w:color w:val="000000"/>
          <w:kern w:val="0"/>
          <w:sz w:val="24"/>
          <w:szCs w:val="24"/>
          <w:lang w:val="en-US" w:eastAsia="zh-CN" w:bidi="ar"/>
        </w:rPr>
        <w:t> (Chuanxiong), and </w:t>
      </w:r>
      <w:r>
        <w:rPr>
          <w:rFonts w:hint="eastAsia" w:ascii="Times New Roman" w:hAnsi="Times New Roman" w:eastAsia="宋体" w:cs="Times New Roman"/>
          <w:i/>
          <w:iCs/>
          <w:color w:val="000000"/>
          <w:kern w:val="0"/>
          <w:sz w:val="24"/>
          <w:szCs w:val="24"/>
          <w:lang w:val="en-US" w:eastAsia="zh-CN" w:bidi="ar"/>
        </w:rPr>
        <w:t>Salvia miltiorrhiza</w:t>
      </w:r>
      <w:r>
        <w:rPr>
          <w:rFonts w:hint="eastAsia" w:ascii="Times New Roman" w:hAnsi="Times New Roman" w:eastAsia="宋体" w:cs="Times New Roman"/>
          <w:color w:val="000000"/>
          <w:kern w:val="0"/>
          <w:sz w:val="24"/>
          <w:szCs w:val="24"/>
          <w:lang w:val="en-US" w:eastAsia="zh-CN" w:bidi="ar"/>
        </w:rPr>
        <w:t> (Danshen) all have blood-invigorating and blood-enriching effects; they can be substituted for each other depending on the specific pathogenesis, so perfect agreement between the model's recommendation and the real prescription is impossible), reasonable differences in medication for the same patient are to be expected. Thus, a Dice coefficient of 0.421 is clinically acceptable. The mean Dice coefficient of the Baseline model was only 0.224, and its standard deviation (0.108) was larger than that of MAC-TCMRx (0.102), indicating that the Baseline model not only had a low matching rate but also exhibited high variability, suggesting that the relatively higher matching in some cases might be coincidental rather than reflecting a genuine mastery of the renowned practitioner's medication rules. The maximum Dice coefficient of MAC-TCMRx reached 0.652, indicating that for certain typical cases the model can highly reproduce Professor Wu's medication patterns. This result validates the ability of the multi-agent collaborative architecture to deeply encode the individualized medication experience of renowned TCM practitioners.</w:t>
      </w:r>
    </w:p>
    <w:p w14:paraId="253405F9">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Number of overlapping herbal drugs (average hit count): For MAC-TCMRx it was 9.66, for the Baseline model it was 4.05. The average number of herbs hit per prescription by MAC-TCMRx exceeded that of the baseline by 5.61. From a clinical perspective, an average hit count of 9.66 means that the recommendations of MAC-TCMRx already have considerable clinical reference value and can well fit the individualized medication experience of renowned TCM practitioners. The Baseline model hit only about 4 herbs, indicating that general-purpose LLM have a low degree of prescription overlap. It should be noted that the hit count metric only focuses on quantity and does not distinguish the primary versus secondary status of herbs in a prescription; therefore, it should be interpreted together with the core prescription matching degree.</w:t>
      </w:r>
    </w:p>
    <w:p w14:paraId="7D736504">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Core prescription matching degree is a key indicator of how well a model reproduces the core academic experience of renowned TCM practitioner. The matching degree of MAC-TCMRx reached 0.778, meaning that the set of core drugs extracted from the model's recommendations overlapped with the real core prescription by nearly 80%, while that of the Baseline model was only 0.333. Table 2 presents the core prescriptions extracted from MAC-TCMRx, the baseline model, and the real prescriptions via complex network analysis. A detailed analysis of the core drug composition is as follows: The core prescription of MAC-TCMRx included </w:t>
      </w:r>
      <w:r>
        <w:rPr>
          <w:rFonts w:hint="eastAsia" w:ascii="Times New Roman" w:hAnsi="Times New Roman" w:eastAsia="宋体" w:cs="Times New Roman"/>
          <w:i/>
          <w:iCs/>
          <w:color w:val="000000"/>
          <w:kern w:val="0"/>
          <w:sz w:val="24"/>
          <w:szCs w:val="24"/>
          <w:lang w:val="en-US" w:eastAsia="zh-CN" w:bidi="ar"/>
        </w:rPr>
        <w:t>Spatholobi Caulis</w:t>
      </w:r>
      <w:r>
        <w:rPr>
          <w:rFonts w:hint="eastAsia" w:ascii="Times New Roman" w:hAnsi="Times New Roman" w:eastAsia="宋体" w:cs="Times New Roman"/>
          <w:color w:val="000000"/>
          <w:kern w:val="0"/>
          <w:sz w:val="24"/>
          <w:szCs w:val="24"/>
          <w:lang w:val="en-US" w:eastAsia="zh-CN" w:bidi="ar"/>
        </w:rPr>
        <w:t> (Jixueteng), </w:t>
      </w:r>
      <w:r>
        <w:rPr>
          <w:rFonts w:hint="eastAsia" w:ascii="Times New Roman" w:hAnsi="Times New Roman" w:eastAsia="宋体" w:cs="Times New Roman"/>
          <w:i/>
          <w:iCs/>
          <w:color w:val="000000"/>
          <w:kern w:val="0"/>
          <w:sz w:val="24"/>
          <w:szCs w:val="24"/>
          <w:lang w:val="en-US" w:eastAsia="zh-CN" w:bidi="ar"/>
        </w:rPr>
        <w:t>Trachelospermi Caulis</w:t>
      </w:r>
      <w:r>
        <w:rPr>
          <w:rFonts w:hint="eastAsia" w:ascii="Times New Roman" w:hAnsi="Times New Roman" w:eastAsia="宋体" w:cs="Times New Roman"/>
          <w:color w:val="000000"/>
          <w:kern w:val="0"/>
          <w:sz w:val="24"/>
          <w:szCs w:val="24"/>
          <w:lang w:val="en-US" w:eastAsia="zh-CN" w:bidi="ar"/>
        </w:rPr>
        <w:t> (Luoshiteng), </w:t>
      </w:r>
      <w:r>
        <w:rPr>
          <w:rFonts w:hint="eastAsia" w:ascii="Times New Roman" w:hAnsi="Times New Roman" w:eastAsia="宋体" w:cs="Times New Roman"/>
          <w:i/>
          <w:iCs/>
          <w:color w:val="000000"/>
          <w:kern w:val="0"/>
          <w:sz w:val="24"/>
          <w:szCs w:val="24"/>
          <w:lang w:val="en-US" w:eastAsia="zh-CN" w:bidi="ar"/>
        </w:rPr>
        <w:t>Scorpio</w:t>
      </w:r>
      <w:r>
        <w:rPr>
          <w:rFonts w:hint="eastAsia" w:ascii="Times New Roman" w:hAnsi="Times New Roman" w:eastAsia="宋体" w:cs="Times New Roman"/>
          <w:color w:val="000000"/>
          <w:kern w:val="0"/>
          <w:sz w:val="24"/>
          <w:szCs w:val="24"/>
          <w:lang w:val="en-US" w:eastAsia="zh-CN" w:bidi="ar"/>
        </w:rPr>
        <w:t> (Quanxie), </w:t>
      </w:r>
      <w:r>
        <w:rPr>
          <w:rFonts w:hint="eastAsia" w:ascii="Times New Roman" w:hAnsi="Times New Roman" w:eastAsia="宋体" w:cs="Times New Roman"/>
          <w:i/>
          <w:iCs/>
          <w:color w:val="000000"/>
          <w:kern w:val="0"/>
          <w:sz w:val="24"/>
          <w:szCs w:val="24"/>
          <w:lang w:val="en-US" w:eastAsia="zh-CN" w:bidi="ar"/>
        </w:rPr>
        <w:t>Clematidis Radix</w:t>
      </w:r>
      <w:r>
        <w:rPr>
          <w:rFonts w:hint="eastAsia" w:ascii="Times New Roman" w:hAnsi="Times New Roman" w:eastAsia="宋体" w:cs="Times New Roman"/>
          <w:color w:val="000000"/>
          <w:kern w:val="0"/>
          <w:sz w:val="24"/>
          <w:szCs w:val="24"/>
          <w:lang w:val="en-US" w:eastAsia="zh-CN" w:bidi="ar"/>
        </w:rPr>
        <w:t> (Weilingxian), </w:t>
      </w:r>
      <w:r>
        <w:rPr>
          <w:rFonts w:hint="eastAsia" w:ascii="Times New Roman" w:hAnsi="Times New Roman" w:eastAsia="宋体" w:cs="Times New Roman"/>
          <w:i/>
          <w:iCs/>
          <w:color w:val="000000"/>
          <w:kern w:val="0"/>
          <w:sz w:val="24"/>
          <w:szCs w:val="24"/>
          <w:lang w:val="en-US" w:eastAsia="zh-CN" w:bidi="ar"/>
        </w:rPr>
        <w:t>Bombyx Batryticatus</w:t>
      </w:r>
      <w:r>
        <w:rPr>
          <w:rFonts w:hint="eastAsia" w:ascii="Times New Roman" w:hAnsi="Times New Roman" w:eastAsia="宋体" w:cs="Times New Roman"/>
          <w:color w:val="000000"/>
          <w:kern w:val="0"/>
          <w:sz w:val="24"/>
          <w:szCs w:val="24"/>
          <w:lang w:val="en-US" w:eastAsia="zh-CN" w:bidi="ar"/>
        </w:rPr>
        <w:t> (Chaojiangcan), </w:t>
      </w:r>
      <w:r>
        <w:rPr>
          <w:rFonts w:hint="eastAsia" w:ascii="Times New Roman" w:hAnsi="Times New Roman" w:eastAsia="宋体" w:cs="Times New Roman"/>
          <w:i/>
          <w:iCs/>
          <w:color w:val="000000"/>
          <w:kern w:val="0"/>
          <w:sz w:val="24"/>
          <w:szCs w:val="24"/>
          <w:lang w:val="en-US" w:eastAsia="zh-CN" w:bidi="ar"/>
        </w:rPr>
        <w:t>Angelicae Sinensis Radix</w:t>
      </w:r>
      <w:r>
        <w:rPr>
          <w:rFonts w:hint="eastAsia" w:ascii="Times New Roman" w:hAnsi="Times New Roman" w:eastAsia="宋体" w:cs="Times New Roman"/>
          <w:color w:val="000000"/>
          <w:kern w:val="0"/>
          <w:sz w:val="24"/>
          <w:szCs w:val="24"/>
          <w:lang w:val="en-US" w:eastAsia="zh-CN" w:bidi="ar"/>
        </w:rPr>
        <w:t> (Danggui), and </w:t>
      </w:r>
      <w:r>
        <w:rPr>
          <w:rFonts w:hint="eastAsia" w:ascii="Times New Roman" w:hAnsi="Times New Roman" w:eastAsia="宋体" w:cs="Times New Roman"/>
          <w:i/>
          <w:iCs/>
          <w:color w:val="000000"/>
          <w:kern w:val="0"/>
          <w:sz w:val="24"/>
          <w:szCs w:val="24"/>
          <w:lang w:val="en-US" w:eastAsia="zh-CN" w:bidi="ar"/>
        </w:rPr>
        <w:t>Chuanxiong Rhizoma</w:t>
      </w:r>
      <w:r>
        <w:rPr>
          <w:rFonts w:hint="eastAsia" w:ascii="Times New Roman" w:hAnsi="Times New Roman" w:eastAsia="宋体" w:cs="Times New Roman"/>
          <w:color w:val="000000"/>
          <w:kern w:val="0"/>
          <w:sz w:val="24"/>
          <w:szCs w:val="24"/>
          <w:lang w:val="en-US" w:eastAsia="zh-CN" w:bidi="ar"/>
        </w:rPr>
        <w:t> (Chuanxiong). These are precisely the commonly used herb pairs of Professor Wu Zhongchao for treating Bi syndrome (e.g., vine herbs for unblocking collaterals, insect herbs for dispelling wind, and blood-nourishing and blood-activating herbs for regulating the nutrient aspect). MAC-TCMRx successfully identified the core compatibility structure of "vine herbs + insect herbs + blood-aspect herbs." In contrast, the core prescription of the Baseline model mainly consisted of general herbs for treating Bi syndrome. Although it also conformed to the basic principles of TCM treatment for Bi syndrome, it failed to capture Professor Wu's unique diagnostic and therapeutic experience. MAC-TCMRx additionally included insect herbs such as Bombyx Batryticatus and Scorpio, as well as vine herbs like </w:t>
      </w:r>
      <w:r>
        <w:rPr>
          <w:rFonts w:hint="eastAsia" w:ascii="Times New Roman" w:hAnsi="Times New Roman" w:eastAsia="宋体" w:cs="Times New Roman"/>
          <w:i/>
          <w:iCs/>
          <w:color w:val="000000"/>
          <w:kern w:val="0"/>
          <w:sz w:val="24"/>
          <w:szCs w:val="24"/>
          <w:lang w:val="en-US" w:eastAsia="zh-CN" w:bidi="ar"/>
        </w:rPr>
        <w:t>Lonicerae Japonicae Caulis</w:t>
      </w:r>
      <w:r>
        <w:rPr>
          <w:rFonts w:hint="eastAsia" w:ascii="Times New Roman" w:hAnsi="Times New Roman" w:eastAsia="宋体" w:cs="Times New Roman"/>
          <w:color w:val="000000"/>
          <w:kern w:val="0"/>
          <w:sz w:val="24"/>
          <w:szCs w:val="24"/>
          <w:lang w:val="en-US" w:eastAsia="zh-CN" w:bidi="ar"/>
        </w:rPr>
        <w:t> (Rendongteng) and </w:t>
      </w:r>
      <w:r>
        <w:rPr>
          <w:rFonts w:hint="eastAsia" w:ascii="Times New Roman" w:hAnsi="Times New Roman" w:eastAsia="宋体" w:cs="Times New Roman"/>
          <w:i/>
          <w:iCs/>
          <w:color w:val="000000"/>
          <w:kern w:val="0"/>
          <w:sz w:val="24"/>
          <w:szCs w:val="24"/>
          <w:lang w:val="en-US" w:eastAsia="zh-CN" w:bidi="ar"/>
        </w:rPr>
        <w:t>Trachelospermi Caulis</w:t>
      </w:r>
      <w:r>
        <w:rPr>
          <w:rFonts w:hint="eastAsia" w:ascii="Times New Roman" w:hAnsi="Times New Roman" w:eastAsia="宋体" w:cs="Times New Roman"/>
          <w:color w:val="000000"/>
          <w:kern w:val="0"/>
          <w:sz w:val="24"/>
          <w:szCs w:val="24"/>
          <w:lang w:val="en-US" w:eastAsia="zh-CN" w:bidi="ar"/>
        </w:rPr>
        <w:t>, which are signature elements of Professor Wu's experience in differentiating and treating Bi syndrome. Moreover, the MAC-TCMRx core prescription contained </w:t>
      </w:r>
      <w:r>
        <w:rPr>
          <w:rFonts w:hint="eastAsia" w:ascii="Times New Roman" w:hAnsi="Times New Roman" w:eastAsia="宋体" w:cs="Times New Roman"/>
          <w:i/>
          <w:iCs/>
          <w:color w:val="000000"/>
          <w:kern w:val="0"/>
          <w:sz w:val="24"/>
          <w:szCs w:val="24"/>
          <w:lang w:val="en-US" w:eastAsia="zh-CN" w:bidi="ar"/>
        </w:rPr>
        <w:t>Pinelliae Rhizoma Praeparatum</w:t>
      </w:r>
      <w:r>
        <w:rPr>
          <w:rFonts w:hint="eastAsia" w:ascii="Times New Roman" w:hAnsi="Times New Roman" w:eastAsia="宋体" w:cs="Times New Roman"/>
          <w:color w:val="000000"/>
          <w:kern w:val="0"/>
          <w:sz w:val="24"/>
          <w:szCs w:val="24"/>
          <w:lang w:val="en-US" w:eastAsia="zh-CN" w:bidi="ar"/>
        </w:rPr>
        <w:t> (Fabanxia) and </w:t>
      </w:r>
      <w:r>
        <w:rPr>
          <w:rFonts w:hint="eastAsia" w:ascii="Times New Roman" w:hAnsi="Times New Roman" w:eastAsia="宋体" w:cs="Times New Roman"/>
          <w:i/>
          <w:iCs/>
          <w:color w:val="000000"/>
          <w:kern w:val="0"/>
          <w:sz w:val="24"/>
          <w:szCs w:val="24"/>
          <w:lang w:val="en-US" w:eastAsia="zh-CN" w:bidi="ar"/>
        </w:rPr>
        <w:t>Citri Reticulatae Pericarpium</w:t>
      </w:r>
      <w:r>
        <w:rPr>
          <w:rFonts w:hint="eastAsia" w:ascii="Times New Roman" w:hAnsi="Times New Roman" w:eastAsia="宋体" w:cs="Times New Roman"/>
          <w:color w:val="000000"/>
          <w:kern w:val="0"/>
          <w:sz w:val="24"/>
          <w:szCs w:val="24"/>
          <w:lang w:val="en-US" w:eastAsia="zh-CN" w:bidi="ar"/>
        </w:rPr>
        <w:t> (Chenpi) – herbs that regulate qi and resolve phlegm – reflecting Professor Wu's emphasis on the pathogenesis of "intermingled phlegm and blood stasis." Notably, the MAC-TCMRx core prescription also included </w:t>
      </w:r>
      <w:r>
        <w:rPr>
          <w:rFonts w:hint="eastAsia" w:ascii="Times New Roman" w:hAnsi="Times New Roman" w:eastAsia="宋体" w:cs="Times New Roman"/>
          <w:i/>
          <w:iCs/>
          <w:color w:val="000000"/>
          <w:kern w:val="0"/>
          <w:sz w:val="24"/>
          <w:szCs w:val="24"/>
          <w:lang w:val="en-US" w:eastAsia="zh-CN" w:bidi="ar"/>
        </w:rPr>
        <w:t>Poria</w:t>
      </w:r>
      <w:r>
        <w:rPr>
          <w:rFonts w:hint="eastAsia" w:ascii="Times New Roman" w:hAnsi="Times New Roman" w:eastAsia="宋体" w:cs="Times New Roman"/>
          <w:color w:val="000000"/>
          <w:kern w:val="0"/>
          <w:sz w:val="24"/>
          <w:szCs w:val="24"/>
          <w:lang w:val="en-US" w:eastAsia="zh-CN" w:bidi="ar"/>
        </w:rPr>
        <w:t> (Fuling) and </w:t>
      </w:r>
      <w:r>
        <w:rPr>
          <w:rFonts w:hint="eastAsia" w:ascii="Times New Roman" w:hAnsi="Times New Roman" w:eastAsia="宋体" w:cs="Times New Roman"/>
          <w:i/>
          <w:iCs/>
          <w:color w:val="000000"/>
          <w:kern w:val="0"/>
          <w:sz w:val="24"/>
          <w:szCs w:val="24"/>
          <w:lang w:val="en-US" w:eastAsia="zh-CN" w:bidi="ar"/>
        </w:rPr>
        <w:t>Paeoniae Alba Radix</w:t>
      </w:r>
      <w:r>
        <w:rPr>
          <w:rFonts w:hint="eastAsia" w:ascii="Times New Roman" w:hAnsi="Times New Roman" w:eastAsia="宋体" w:cs="Times New Roman"/>
          <w:color w:val="000000"/>
          <w:kern w:val="0"/>
          <w:sz w:val="24"/>
          <w:szCs w:val="24"/>
          <w:lang w:val="en-US" w:eastAsia="zh-CN" w:bidi="ar"/>
        </w:rPr>
        <w:t> (Baishao), which strengthen the spleen and soothe the liver, embodying the holistic concept of "treating Bi without forgetting the spleen and stomach." All of these represent Professor Wu's unique clinical experience. By contrast, the Baseline model's core prescription lacked insect herbs and characteristic vine herbs; its compatibility structure was closer to a general formula for Bi syndrome and failed to adequately reproduce the personalized medication experience of the renowned practitioner. Figure 4 illustrates the Venn diagram of the core prescription overlap among MAC-TCMRx, the baseline model, and the real prescriptions, clearly showing the intersection and unique components of each group. The significant difference in core prescription matching degree directly demonstrates the effectiveness of the multi-agent collaborative architecture and the RAG-enhanced modules proposed in this study for reproducing the core academic experience of renowned TCM practitioners. At the same time, the MAC-TCMRx core prescription contained 13 herbs, whereas the real core prescription contained 9 herbs. The additional herbs (e.g., </w:t>
      </w:r>
      <w:r>
        <w:rPr>
          <w:rFonts w:hint="eastAsia" w:ascii="Times New Roman" w:hAnsi="Times New Roman" w:eastAsia="宋体" w:cs="Times New Roman"/>
          <w:i/>
          <w:iCs/>
          <w:color w:val="000000"/>
          <w:kern w:val="0"/>
          <w:sz w:val="24"/>
          <w:szCs w:val="24"/>
          <w:lang w:val="en-US" w:eastAsia="zh-CN" w:bidi="ar"/>
        </w:rPr>
        <w:t>Poria, Citri Reticulatae Pericarpium, Pinelliae Rhizoma Praeparatum, Cinnamomi Ramulus</w:t>
      </w:r>
      <w:r>
        <w:rPr>
          <w:rFonts w:hint="eastAsia" w:ascii="Times New Roman" w:hAnsi="Times New Roman" w:eastAsia="宋体" w:cs="Times New Roman"/>
          <w:color w:val="000000"/>
          <w:kern w:val="0"/>
          <w:sz w:val="24"/>
          <w:szCs w:val="24"/>
          <w:lang w:val="en-US" w:eastAsia="zh-CN" w:bidi="ar"/>
        </w:rPr>
        <w:t> (Guizhi), </w:t>
      </w:r>
      <w:r>
        <w:rPr>
          <w:rFonts w:hint="eastAsia" w:ascii="Times New Roman" w:hAnsi="Times New Roman" w:eastAsia="宋体" w:cs="Times New Roman"/>
          <w:i/>
          <w:iCs/>
          <w:color w:val="000000"/>
          <w:kern w:val="0"/>
          <w:sz w:val="24"/>
          <w:szCs w:val="24"/>
          <w:lang w:val="en-US" w:eastAsia="zh-CN" w:bidi="ar"/>
        </w:rPr>
        <w:t>Paeoniae Alba Radix</w:t>
      </w:r>
      <w:r>
        <w:rPr>
          <w:rFonts w:hint="eastAsia" w:ascii="Times New Roman" w:hAnsi="Times New Roman" w:eastAsia="宋体" w:cs="Times New Roman"/>
          <w:color w:val="000000"/>
          <w:kern w:val="0"/>
          <w:sz w:val="24"/>
          <w:szCs w:val="24"/>
          <w:lang w:val="en-US" w:eastAsia="zh-CN" w:bidi="ar"/>
        </w:rPr>
        <w:t>) reflect reasonable auxiliary compatibility or symptom-based modification rules captured by the model beyond the core prescription. These herbs are indeed commonly used as modifications in Professor Wu's clinical practice, suggesting that the model may have a certain capacity for experience generalization.</w:t>
      </w:r>
    </w:p>
    <w:p w14:paraId="7F0EF208">
      <w:pPr>
        <w:widowControl w:val="0"/>
        <w:spacing w:line="480" w:lineRule="auto"/>
        <w:ind w:firstLine="240" w:firstLineChars="100"/>
        <w:jc w:val="center"/>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Table 2. Results of complex network analysis</w:t>
      </w:r>
    </w:p>
    <w:tbl>
      <w:tblPr>
        <w:tblStyle w:val="11"/>
        <w:tblW w:w="833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160"/>
        <w:gridCol w:w="6175"/>
      </w:tblGrid>
      <w:tr w14:paraId="1816F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79" w:hRule="atLeast"/>
          <w:tblHeader/>
        </w:trPr>
        <w:tc>
          <w:tcPr>
            <w:tcW w:w="0" w:type="auto"/>
            <w:tcBorders>
              <w:top w:val="single" w:color="auto" w:sz="4" w:space="0"/>
              <w:bottom w:val="single" w:color="auto" w:sz="4" w:space="0"/>
            </w:tcBorders>
            <w:shd w:val="clear" w:color="auto" w:fill="FFFFFF"/>
            <w:tcMar>
              <w:top w:w="100" w:type="dxa"/>
              <w:left w:w="0" w:type="dxa"/>
              <w:bottom w:w="100" w:type="dxa"/>
              <w:right w:w="160" w:type="dxa"/>
            </w:tcMar>
            <w:vAlign w:val="center"/>
          </w:tcPr>
          <w:p w14:paraId="7AC79A9F">
            <w:pPr>
              <w:keepNext w:val="0"/>
              <w:keepLines w:val="0"/>
              <w:widowControl/>
              <w:suppressLineNumbers w:val="0"/>
              <w:spacing w:before="0" w:beforeAutospacing="0" w:after="160" w:afterAutospacing="0" w:line="480" w:lineRule="auto"/>
              <w:ind w:left="0" w:right="0"/>
              <w:jc w:val="center"/>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Type</w:t>
            </w:r>
          </w:p>
        </w:tc>
        <w:tc>
          <w:tcPr>
            <w:tcW w:w="6175" w:type="dxa"/>
            <w:tcBorders>
              <w:top w:val="single" w:color="auto" w:sz="4" w:space="0"/>
              <w:bottom w:val="single" w:color="auto" w:sz="4" w:space="0"/>
            </w:tcBorders>
            <w:shd w:val="clear" w:color="auto" w:fill="FFFFFF"/>
            <w:tcMar>
              <w:top w:w="100" w:type="dxa"/>
              <w:left w:w="160" w:type="dxa"/>
              <w:bottom w:w="100" w:type="dxa"/>
              <w:right w:w="160" w:type="dxa"/>
            </w:tcMar>
            <w:vAlign w:val="center"/>
          </w:tcPr>
          <w:p w14:paraId="21D301B1">
            <w:pPr>
              <w:keepNext w:val="0"/>
              <w:keepLines w:val="0"/>
              <w:widowControl/>
              <w:suppressLineNumbers w:val="0"/>
              <w:spacing w:before="0" w:beforeAutospacing="0" w:after="160" w:afterAutospacing="0" w:line="480" w:lineRule="auto"/>
              <w:ind w:left="0" w:right="0"/>
              <w:jc w:val="center"/>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Core prescription (herbs)</w:t>
            </w:r>
          </w:p>
        </w:tc>
      </w:tr>
      <w:tr w14:paraId="60D89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tcBorders>
            <w:shd w:val="clear" w:color="auto" w:fill="FFFFFF"/>
            <w:tcMar>
              <w:top w:w="100" w:type="dxa"/>
              <w:left w:w="0" w:type="dxa"/>
              <w:bottom w:w="100" w:type="dxa"/>
              <w:right w:w="160" w:type="dxa"/>
            </w:tcMar>
            <w:vAlign w:val="center"/>
          </w:tcPr>
          <w:p w14:paraId="1D0E2AED">
            <w:pPr>
              <w:keepNext w:val="0"/>
              <w:keepLines w:val="0"/>
              <w:widowControl/>
              <w:suppressLineNumbers w:val="0"/>
              <w:spacing w:before="0" w:beforeAutospacing="0" w:after="160" w:afterAutospacing="0" w:line="480" w:lineRule="auto"/>
              <w:ind w:left="0" w:right="0"/>
              <w:jc w:val="center"/>
              <w:rPr>
                <w:rFonts w:hint="default" w:ascii="Times New Roman" w:hAnsi="Times New Roman" w:eastAsia="Segoe UI" w:cs="Times New Roman"/>
                <w:i w:val="0"/>
                <w:iCs w:val="0"/>
                <w:caps w:val="0"/>
                <w:color w:val="0F1115"/>
                <w:spacing w:val="0"/>
                <w:sz w:val="24"/>
                <w:szCs w:val="24"/>
              </w:rPr>
            </w:pPr>
            <w:r>
              <w:rPr>
                <w:rFonts w:hint="eastAsia" w:ascii="Times New Roman" w:hAnsi="Times New Roman" w:eastAsia="Segoe UI" w:cs="Times New Roman"/>
                <w:i w:val="0"/>
                <w:iCs w:val="0"/>
                <w:caps w:val="0"/>
                <w:color w:val="0F1115"/>
                <w:spacing w:val="0"/>
                <w:kern w:val="0"/>
                <w:sz w:val="24"/>
                <w:szCs w:val="24"/>
                <w:lang w:val="en-US" w:eastAsia="zh-CN" w:bidi="ar"/>
              </w:rPr>
              <w:t>MAC-TCMRx</w:t>
            </w:r>
          </w:p>
        </w:tc>
        <w:tc>
          <w:tcPr>
            <w:tcW w:w="6175" w:type="dxa"/>
            <w:tcBorders>
              <w:top w:val="single" w:color="auto" w:sz="4" w:space="0"/>
            </w:tcBorders>
            <w:shd w:val="clear" w:color="auto" w:fill="FFFFFF"/>
            <w:tcMar>
              <w:top w:w="100" w:type="dxa"/>
              <w:left w:w="160" w:type="dxa"/>
              <w:bottom w:w="100" w:type="dxa"/>
              <w:right w:w="0" w:type="dxa"/>
            </w:tcMar>
            <w:vAlign w:val="center"/>
          </w:tcPr>
          <w:p w14:paraId="60CAEC8C">
            <w:pPr>
              <w:keepNext w:val="0"/>
              <w:keepLines w:val="0"/>
              <w:widowControl/>
              <w:suppressLineNumbers w:val="0"/>
              <w:spacing w:before="0" w:beforeAutospacing="0" w:after="160" w:afterAutospacing="0" w:line="480" w:lineRule="auto"/>
              <w:ind w:left="0" w:right="0"/>
              <w:jc w:val="center"/>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Jixueteng, Luoshiteng, Quanxie, Fuling, Weilingxian, Baishao, Danggui, Rendongteng, Chaojiangcan, Chenpi, Chuanxiong, Fabanxia, Guizhi</w:t>
            </w:r>
          </w:p>
        </w:tc>
      </w:tr>
      <w:tr w14:paraId="09891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00" w:type="dxa"/>
              <w:left w:w="0" w:type="dxa"/>
              <w:bottom w:w="100" w:type="dxa"/>
              <w:right w:w="160" w:type="dxa"/>
            </w:tcMar>
            <w:vAlign w:val="center"/>
          </w:tcPr>
          <w:p w14:paraId="76B139A9">
            <w:pPr>
              <w:keepNext w:val="0"/>
              <w:keepLines w:val="0"/>
              <w:widowControl/>
              <w:suppressLineNumbers w:val="0"/>
              <w:spacing w:before="0" w:beforeAutospacing="0" w:after="160" w:afterAutospacing="0" w:line="480" w:lineRule="auto"/>
              <w:ind w:left="0" w:right="0"/>
              <w:jc w:val="center"/>
              <w:rPr>
                <w:rFonts w:hint="default" w:ascii="Times New Roman" w:hAnsi="Times New Roman" w:eastAsia="Segoe UI" w:cs="Times New Roman"/>
                <w:i w:val="0"/>
                <w:iCs w:val="0"/>
                <w:caps w:val="0"/>
                <w:color w:val="0F1115"/>
                <w:spacing w:val="0"/>
                <w:sz w:val="24"/>
                <w:szCs w:val="24"/>
              </w:rPr>
            </w:pPr>
            <w:r>
              <w:rPr>
                <w:rFonts w:hint="eastAsia" w:ascii="Times New Roman" w:hAnsi="Times New Roman" w:eastAsia="Segoe UI" w:cs="Times New Roman"/>
                <w:i w:val="0"/>
                <w:iCs w:val="0"/>
                <w:caps w:val="0"/>
                <w:color w:val="0F1115"/>
                <w:spacing w:val="0"/>
                <w:kern w:val="0"/>
                <w:sz w:val="24"/>
                <w:szCs w:val="24"/>
                <w:lang w:val="en-US" w:eastAsia="zh-CN" w:bidi="ar"/>
              </w:rPr>
              <w:t>Baseline model</w:t>
            </w:r>
          </w:p>
        </w:tc>
        <w:tc>
          <w:tcPr>
            <w:tcW w:w="6175" w:type="dxa"/>
            <w:shd w:val="clear" w:color="auto" w:fill="FFFFFF"/>
            <w:tcMar>
              <w:top w:w="100" w:type="dxa"/>
              <w:left w:w="160" w:type="dxa"/>
              <w:bottom w:w="100" w:type="dxa"/>
              <w:right w:w="0" w:type="dxa"/>
            </w:tcMar>
            <w:vAlign w:val="center"/>
          </w:tcPr>
          <w:p w14:paraId="48E5E52B">
            <w:pPr>
              <w:keepNext w:val="0"/>
              <w:keepLines w:val="0"/>
              <w:widowControl/>
              <w:suppressLineNumbers w:val="0"/>
              <w:spacing w:before="0" w:beforeAutospacing="0" w:after="160" w:afterAutospacing="0" w:line="480" w:lineRule="auto"/>
              <w:ind w:left="0" w:right="0"/>
              <w:jc w:val="center"/>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Danggui, Chuanxiong, Niuxi, Gancao, Chishao, Baishao, Fuling, Duzhong, Sangjisheng</w:t>
            </w:r>
          </w:p>
        </w:tc>
      </w:tr>
      <w:tr w14:paraId="014F5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single" w:color="auto" w:sz="4" w:space="0"/>
            </w:tcBorders>
            <w:shd w:val="clear" w:color="auto" w:fill="FFFFFF"/>
            <w:tcMar>
              <w:top w:w="100" w:type="dxa"/>
              <w:left w:w="0" w:type="dxa"/>
              <w:bottom w:w="100" w:type="dxa"/>
              <w:right w:w="160" w:type="dxa"/>
            </w:tcMar>
            <w:vAlign w:val="center"/>
          </w:tcPr>
          <w:p w14:paraId="52D8AAAE">
            <w:pPr>
              <w:keepNext w:val="0"/>
              <w:keepLines w:val="0"/>
              <w:widowControl/>
              <w:suppressLineNumbers w:val="0"/>
              <w:spacing w:before="0" w:beforeAutospacing="0" w:after="160" w:afterAutospacing="0" w:line="480" w:lineRule="auto"/>
              <w:ind w:left="0" w:right="0"/>
              <w:jc w:val="center"/>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Real prescription (Professor Wu)</w:t>
            </w:r>
          </w:p>
        </w:tc>
        <w:tc>
          <w:tcPr>
            <w:tcW w:w="6175" w:type="dxa"/>
            <w:tcBorders>
              <w:bottom w:val="single" w:color="auto" w:sz="4" w:space="0"/>
            </w:tcBorders>
            <w:shd w:val="clear" w:color="auto" w:fill="FFFFFF"/>
            <w:tcMar>
              <w:top w:w="100" w:type="dxa"/>
              <w:left w:w="160" w:type="dxa"/>
              <w:bottom w:w="100" w:type="dxa"/>
              <w:right w:w="0" w:type="dxa"/>
            </w:tcMar>
            <w:vAlign w:val="center"/>
          </w:tcPr>
          <w:p w14:paraId="759BB88D">
            <w:pPr>
              <w:keepNext w:val="0"/>
              <w:keepLines w:val="0"/>
              <w:widowControl/>
              <w:suppressLineNumbers w:val="0"/>
              <w:spacing w:before="0" w:beforeAutospacing="0" w:after="160" w:afterAutospacing="0" w:line="480" w:lineRule="auto"/>
              <w:ind w:left="0" w:right="0"/>
              <w:jc w:val="center"/>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lang w:val="en-US" w:eastAsia="zh-CN" w:bidi="ar"/>
              </w:rPr>
              <w:t>Chaojiangcan, Quanxie, Jixueteng, Luoshiteng, Weilingxian, Danggui, Tianma, Chuanxiong, Gancao</w:t>
            </w:r>
          </w:p>
        </w:tc>
      </w:tr>
    </w:tbl>
    <w:p w14:paraId="3BE17D68">
      <w:pPr>
        <w:spacing w:line="480" w:lineRule="auto"/>
        <w:jc w:val="center"/>
        <w:rPr>
          <w:rFonts w:hint="eastAsia"/>
          <w:lang w:val="en-US" w:eastAsia="zh-CN"/>
        </w:rPr>
      </w:pPr>
      <w:r>
        <w:rPr>
          <w:rFonts w:hint="eastAsia"/>
          <w:lang w:val="en-US" w:eastAsia="zh-CN"/>
        </w:rPr>
        <w:drawing>
          <wp:inline distT="0" distB="0" distL="114300" distR="114300">
            <wp:extent cx="3321050" cy="2984500"/>
            <wp:effectExtent l="0" t="0" r="6350" b="0"/>
            <wp:docPr id="8" name="图片 8" descr="venn_core_pr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venn_core_prescription"/>
                    <pic:cNvPicPr>
                      <a:picLocks noChangeAspect="1"/>
                    </pic:cNvPicPr>
                  </pic:nvPicPr>
                  <pic:blipFill>
                    <a:blip r:embed="rId9"/>
                    <a:stretch>
                      <a:fillRect/>
                    </a:stretch>
                  </pic:blipFill>
                  <pic:spPr>
                    <a:xfrm>
                      <a:off x="0" y="0"/>
                      <a:ext cx="3321050" cy="2984500"/>
                    </a:xfrm>
                    <a:prstGeom prst="rect">
                      <a:avLst/>
                    </a:prstGeom>
                  </pic:spPr>
                </pic:pic>
              </a:graphicData>
            </a:graphic>
          </wp:inline>
        </w:drawing>
      </w:r>
    </w:p>
    <w:p w14:paraId="5DF0151D">
      <w:pPr>
        <w:widowControl w:val="0"/>
        <w:spacing w:line="480" w:lineRule="auto"/>
        <w:ind w:firstLine="240" w:firstLineChars="100"/>
        <w:jc w:val="both"/>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Figure 4 Venn diagram of the core prescription overlap among MAC-TCMRx, Baseline model, and Professor Wu's real prescription (each circle represents a herbal drugs set; the numbers indicate the count of shared or unique herbal drugs; showing the intersection and difference relationships among the three groups).</w:t>
      </w:r>
    </w:p>
    <w:p w14:paraId="1FA02495">
      <w:pPr>
        <w:spacing w:line="480" w:lineRule="auto"/>
        <w:rPr>
          <w:rStyle w:val="14"/>
          <w:rFonts w:hint="default" w:ascii="Segoe UI" w:hAnsi="Segoe UI" w:eastAsia="Segoe UI" w:cs="Segoe UI"/>
          <w:bCs/>
          <w:i w:val="0"/>
          <w:iCs w:val="0"/>
          <w:caps w:val="0"/>
          <w:color w:val="0F1115"/>
          <w:spacing w:val="0"/>
          <w:kern w:val="0"/>
          <w:sz w:val="24"/>
          <w:szCs w:val="24"/>
          <w:shd w:val="clear" w:fill="FFFFFF"/>
          <w:lang w:val="en-US" w:eastAsia="zh-CN" w:bidi="ar"/>
        </w:rPr>
      </w:pPr>
      <w:r>
        <w:rPr>
          <w:rStyle w:val="14"/>
          <w:rFonts w:hint="default" w:ascii="Segoe UI" w:hAnsi="Segoe UI" w:eastAsia="Segoe UI" w:cs="Segoe UI"/>
          <w:bCs/>
          <w:i w:val="0"/>
          <w:iCs w:val="0"/>
          <w:caps w:val="0"/>
          <w:color w:val="0F1115"/>
          <w:spacing w:val="0"/>
          <w:kern w:val="0"/>
          <w:sz w:val="24"/>
          <w:szCs w:val="24"/>
          <w:shd w:val="clear" w:fill="FFFFFF"/>
          <w:lang w:val="en-US" w:eastAsia="zh-CN" w:bidi="ar"/>
        </w:rPr>
        <w:t>Qualitative Evaluation Experiment</w:t>
      </w:r>
    </w:p>
    <w:p w14:paraId="31CC16C7">
      <w:pPr>
        <w:widowControl w:val="0"/>
        <w:spacing w:line="480" w:lineRule="auto"/>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Ten evaluators independently scored the visual decision pathway diagrams and explanatory reports generated by the renowned practitioner model. The results are shown in Table 3.</w:t>
      </w:r>
    </w:p>
    <w:p w14:paraId="4499CC0E">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Table 3</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Comparison of visual pathway scores between the two models (mean ± SD, points)</w:t>
      </w:r>
    </w:p>
    <w:tbl>
      <w:tblPr>
        <w:tblStyle w:val="11"/>
        <w:tblW w:w="752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779"/>
        <w:gridCol w:w="1905"/>
        <w:gridCol w:w="1836"/>
      </w:tblGrid>
      <w:tr w14:paraId="2D60C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jc w:val="center"/>
        </w:trPr>
        <w:tc>
          <w:tcPr>
            <w:tcW w:w="3779" w:type="dxa"/>
            <w:tcBorders>
              <w:top w:val="single" w:color="auto" w:sz="4" w:space="0"/>
              <w:bottom w:val="single" w:color="auto" w:sz="4" w:space="0"/>
            </w:tcBorders>
            <w:shd w:val="clear" w:color="auto" w:fill="FFFFFF"/>
            <w:tcMar>
              <w:top w:w="100" w:type="dxa"/>
              <w:left w:w="0" w:type="dxa"/>
              <w:bottom w:w="100" w:type="dxa"/>
              <w:right w:w="160" w:type="dxa"/>
            </w:tcMar>
            <w:vAlign w:val="center"/>
          </w:tcPr>
          <w:p w14:paraId="2A8333F4">
            <w:pPr>
              <w:keepNext w:val="0"/>
              <w:keepLines w:val="0"/>
              <w:widowControl/>
              <w:suppressLineNumbers w:val="0"/>
              <w:spacing w:before="0" w:beforeAutospacing="0" w:after="160" w:afterAutospacing="0" w:line="480" w:lineRule="auto"/>
              <w:ind w:left="0" w:right="0"/>
              <w:jc w:val="center"/>
              <w:rPr>
                <w:rFonts w:hint="default" w:ascii="Times New Roman" w:hAnsi="Times New Roman" w:eastAsia="Segoe UI" w:cs="Times New Roman"/>
                <w:i w:val="0"/>
                <w:iCs w:val="0"/>
                <w:caps w:val="0"/>
                <w:color w:val="0F1115"/>
                <w:spacing w:val="0"/>
                <w:kern w:val="0"/>
                <w:sz w:val="24"/>
                <w:szCs w:val="24"/>
                <w:lang w:val="en-US" w:eastAsia="zh-CN" w:bidi="ar"/>
              </w:rPr>
            </w:pPr>
            <w:r>
              <w:rPr>
                <w:rFonts w:hint="default" w:ascii="Times New Roman" w:hAnsi="Times New Roman" w:eastAsia="Segoe UI" w:cs="Times New Roman"/>
                <w:i w:val="0"/>
                <w:iCs w:val="0"/>
                <w:caps w:val="0"/>
                <w:color w:val="0F1115"/>
                <w:spacing w:val="0"/>
                <w:kern w:val="0"/>
                <w:sz w:val="24"/>
                <w:szCs w:val="24"/>
                <w:lang w:val="en-US" w:eastAsia="zh-CN" w:bidi="ar"/>
              </w:rPr>
              <w:t>Evaluation Metric</w:t>
            </w:r>
          </w:p>
        </w:tc>
        <w:tc>
          <w:tcPr>
            <w:tcW w:w="1905" w:type="dxa"/>
            <w:tcBorders>
              <w:top w:val="single" w:color="auto" w:sz="4" w:space="0"/>
              <w:bottom w:val="single" w:color="auto" w:sz="4" w:space="0"/>
            </w:tcBorders>
            <w:shd w:val="clear" w:color="auto" w:fill="FFFFFF"/>
            <w:tcMar>
              <w:top w:w="100" w:type="dxa"/>
              <w:left w:w="160" w:type="dxa"/>
              <w:bottom w:w="100" w:type="dxa"/>
              <w:right w:w="160" w:type="dxa"/>
            </w:tcMar>
            <w:vAlign w:val="center"/>
          </w:tcPr>
          <w:p w14:paraId="1FC7D6C9">
            <w:pPr>
              <w:keepNext w:val="0"/>
              <w:keepLines w:val="0"/>
              <w:widowControl/>
              <w:suppressLineNumbers w:val="0"/>
              <w:spacing w:before="0" w:beforeAutospacing="0" w:after="160" w:afterAutospacing="0" w:line="480" w:lineRule="auto"/>
              <w:ind w:left="0" w:right="0"/>
              <w:jc w:val="center"/>
              <w:rPr>
                <w:rFonts w:hint="default" w:ascii="Times New Roman" w:hAnsi="Times New Roman" w:eastAsia="Segoe UI" w:cs="Times New Roman"/>
                <w:i w:val="0"/>
                <w:iCs w:val="0"/>
                <w:caps w:val="0"/>
                <w:color w:val="0F1115"/>
                <w:spacing w:val="0"/>
                <w:kern w:val="0"/>
                <w:sz w:val="24"/>
                <w:szCs w:val="24"/>
                <w:lang w:val="en-US" w:eastAsia="zh-CN" w:bidi="ar"/>
              </w:rPr>
            </w:pPr>
            <w:r>
              <w:rPr>
                <w:rFonts w:hint="eastAsia" w:ascii="Times New Roman" w:hAnsi="Times New Roman" w:eastAsia="Segoe UI" w:cs="Times New Roman"/>
                <w:i w:val="0"/>
                <w:iCs w:val="0"/>
                <w:caps w:val="0"/>
                <w:color w:val="0F1115"/>
                <w:spacing w:val="0"/>
                <w:kern w:val="0"/>
                <w:sz w:val="24"/>
                <w:szCs w:val="24"/>
                <w:lang w:val="en-US" w:eastAsia="zh-CN" w:bidi="ar"/>
              </w:rPr>
              <w:t>MAC-TCMRx</w:t>
            </w:r>
            <w:r>
              <w:rPr>
                <w:rFonts w:hint="default" w:ascii="Times New Roman" w:hAnsi="Times New Roman" w:eastAsia="Segoe UI" w:cs="Times New Roman"/>
                <w:i w:val="0"/>
                <w:iCs w:val="0"/>
                <w:caps w:val="0"/>
                <w:color w:val="0F1115"/>
                <w:spacing w:val="0"/>
                <w:kern w:val="0"/>
                <w:sz w:val="24"/>
                <w:szCs w:val="24"/>
                <w:lang w:val="en-US" w:eastAsia="zh-CN" w:bidi="ar"/>
              </w:rPr>
              <w:t xml:space="preserve"> </w:t>
            </w:r>
          </w:p>
        </w:tc>
        <w:tc>
          <w:tcPr>
            <w:tcW w:w="1836" w:type="dxa"/>
            <w:tcBorders>
              <w:top w:val="single" w:color="auto" w:sz="4" w:space="0"/>
              <w:bottom w:val="single" w:color="auto" w:sz="4" w:space="0"/>
            </w:tcBorders>
            <w:shd w:val="clear" w:color="auto" w:fill="FFFFFF"/>
            <w:tcMar>
              <w:top w:w="100" w:type="dxa"/>
              <w:left w:w="160" w:type="dxa"/>
              <w:bottom w:w="100" w:type="dxa"/>
              <w:right w:w="160" w:type="dxa"/>
            </w:tcMar>
            <w:vAlign w:val="center"/>
          </w:tcPr>
          <w:p w14:paraId="4C449402">
            <w:pPr>
              <w:keepNext w:val="0"/>
              <w:keepLines w:val="0"/>
              <w:widowControl/>
              <w:suppressLineNumbers w:val="0"/>
              <w:spacing w:before="0" w:beforeAutospacing="0" w:after="160" w:afterAutospacing="0" w:line="480" w:lineRule="auto"/>
              <w:ind w:left="0" w:right="0"/>
              <w:jc w:val="center"/>
              <w:rPr>
                <w:rFonts w:hint="default" w:ascii="Times New Roman" w:hAnsi="Times New Roman" w:eastAsia="Segoe UI" w:cs="Times New Roman"/>
                <w:i w:val="0"/>
                <w:iCs w:val="0"/>
                <w:caps w:val="0"/>
                <w:color w:val="0F1115"/>
                <w:spacing w:val="0"/>
                <w:kern w:val="0"/>
                <w:sz w:val="24"/>
                <w:szCs w:val="24"/>
                <w:lang w:val="en-US" w:eastAsia="zh-CN" w:bidi="ar"/>
              </w:rPr>
            </w:pPr>
            <w:r>
              <w:rPr>
                <w:rFonts w:hint="eastAsia" w:ascii="Times New Roman" w:hAnsi="Times New Roman" w:eastAsia="Segoe UI" w:cs="Times New Roman"/>
                <w:i w:val="0"/>
                <w:iCs w:val="0"/>
                <w:caps w:val="0"/>
                <w:color w:val="0F1115"/>
                <w:spacing w:val="0"/>
                <w:kern w:val="0"/>
                <w:sz w:val="24"/>
                <w:szCs w:val="24"/>
                <w:lang w:val="en-US" w:eastAsia="zh-CN" w:bidi="ar"/>
              </w:rPr>
              <w:t>Baseline model</w:t>
            </w:r>
          </w:p>
        </w:tc>
      </w:tr>
      <w:tr w14:paraId="0A90F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3779" w:type="dxa"/>
            <w:tcBorders>
              <w:top w:val="single" w:color="auto" w:sz="4" w:space="0"/>
            </w:tcBorders>
            <w:shd w:val="clear" w:color="auto" w:fill="FFFFFF"/>
            <w:tcMar>
              <w:top w:w="100" w:type="dxa"/>
              <w:left w:w="0" w:type="dxa"/>
              <w:bottom w:w="100" w:type="dxa"/>
              <w:right w:w="160" w:type="dxa"/>
            </w:tcMar>
            <w:vAlign w:val="center"/>
          </w:tcPr>
          <w:p w14:paraId="5A6B5E52">
            <w:pPr>
              <w:keepNext w:val="0"/>
              <w:keepLines w:val="0"/>
              <w:widowControl/>
              <w:suppressLineNumbers w:val="0"/>
              <w:spacing w:before="0" w:beforeAutospacing="0" w:after="160" w:afterAutospacing="0" w:line="480" w:lineRule="auto"/>
              <w:ind w:left="0" w:right="0"/>
              <w:jc w:val="center"/>
              <w:rPr>
                <w:rFonts w:hint="default" w:ascii="Times New Roman" w:hAnsi="Times New Roman" w:eastAsia="Segoe UI" w:cs="Times New Roman"/>
                <w:i w:val="0"/>
                <w:iCs w:val="0"/>
                <w:caps w:val="0"/>
                <w:color w:val="0F1115"/>
                <w:spacing w:val="0"/>
                <w:kern w:val="0"/>
                <w:sz w:val="24"/>
                <w:szCs w:val="24"/>
                <w:lang w:val="en-US" w:eastAsia="zh-CN" w:bidi="ar"/>
              </w:rPr>
            </w:pPr>
            <w:r>
              <w:rPr>
                <w:rFonts w:hint="default" w:ascii="Times New Roman" w:hAnsi="Times New Roman" w:eastAsia="Segoe UI" w:cs="Times New Roman"/>
                <w:i w:val="0"/>
                <w:iCs w:val="0"/>
                <w:caps w:val="0"/>
                <w:color w:val="0F1115"/>
                <w:spacing w:val="0"/>
                <w:kern w:val="0"/>
                <w:sz w:val="24"/>
                <w:szCs w:val="24"/>
                <w:lang w:val="en-US" w:eastAsia="zh-CN" w:bidi="ar"/>
              </w:rPr>
              <w:t>Reproducibility of the pattern differentiation and treatment process</w:t>
            </w:r>
          </w:p>
        </w:tc>
        <w:tc>
          <w:tcPr>
            <w:tcW w:w="1905" w:type="dxa"/>
            <w:tcBorders>
              <w:top w:val="single" w:color="auto" w:sz="4" w:space="0"/>
            </w:tcBorders>
            <w:shd w:val="clear" w:color="auto" w:fill="FFFFFF"/>
            <w:tcMar>
              <w:top w:w="100" w:type="dxa"/>
              <w:left w:w="160" w:type="dxa"/>
              <w:bottom w:w="100" w:type="dxa"/>
              <w:right w:w="160" w:type="dxa"/>
            </w:tcMar>
            <w:vAlign w:val="center"/>
          </w:tcPr>
          <w:p w14:paraId="7F97E596">
            <w:pPr>
              <w:keepNext w:val="0"/>
              <w:keepLines w:val="0"/>
              <w:widowControl/>
              <w:suppressLineNumbers w:val="0"/>
              <w:spacing w:before="0" w:beforeAutospacing="0" w:after="160" w:afterAutospacing="0" w:line="480" w:lineRule="auto"/>
              <w:ind w:left="0" w:right="0"/>
              <w:jc w:val="center"/>
              <w:rPr>
                <w:rFonts w:hint="default" w:ascii="Times New Roman" w:hAnsi="Times New Roman" w:eastAsia="Segoe UI" w:cs="Times New Roman"/>
                <w:i w:val="0"/>
                <w:iCs w:val="0"/>
                <w:caps w:val="0"/>
                <w:color w:val="0F1115"/>
                <w:spacing w:val="0"/>
                <w:kern w:val="0"/>
                <w:sz w:val="24"/>
                <w:szCs w:val="24"/>
                <w:lang w:val="en-US" w:eastAsia="zh-CN" w:bidi="ar"/>
              </w:rPr>
            </w:pPr>
            <w:r>
              <w:rPr>
                <w:rFonts w:hint="default" w:ascii="Times New Roman" w:hAnsi="Times New Roman" w:eastAsia="Segoe UI" w:cs="Times New Roman"/>
                <w:i w:val="0"/>
                <w:iCs w:val="0"/>
                <w:caps w:val="0"/>
                <w:color w:val="0F1115"/>
                <w:spacing w:val="0"/>
                <w:kern w:val="0"/>
                <w:sz w:val="24"/>
                <w:szCs w:val="24"/>
                <w:lang w:val="en-US" w:eastAsia="zh-CN" w:bidi="ar"/>
              </w:rPr>
              <w:t>4.38 ± 0.725</w:t>
            </w:r>
          </w:p>
        </w:tc>
        <w:tc>
          <w:tcPr>
            <w:tcW w:w="1836" w:type="dxa"/>
            <w:tcBorders>
              <w:top w:val="single" w:color="auto" w:sz="4" w:space="0"/>
            </w:tcBorders>
            <w:shd w:val="clear" w:color="auto" w:fill="FFFFFF"/>
            <w:tcMar>
              <w:top w:w="100" w:type="dxa"/>
              <w:left w:w="160" w:type="dxa"/>
              <w:bottom w:w="100" w:type="dxa"/>
              <w:right w:w="0" w:type="dxa"/>
            </w:tcMar>
            <w:vAlign w:val="center"/>
          </w:tcPr>
          <w:p w14:paraId="7324AA44">
            <w:pPr>
              <w:keepNext w:val="0"/>
              <w:keepLines w:val="0"/>
              <w:widowControl/>
              <w:suppressLineNumbers w:val="0"/>
              <w:spacing w:before="0" w:beforeAutospacing="0" w:after="160" w:afterAutospacing="0" w:line="480" w:lineRule="auto"/>
              <w:ind w:left="0" w:right="0"/>
              <w:jc w:val="center"/>
              <w:rPr>
                <w:rFonts w:hint="default" w:ascii="Times New Roman" w:hAnsi="Times New Roman" w:eastAsia="Segoe UI" w:cs="Times New Roman"/>
                <w:i w:val="0"/>
                <w:iCs w:val="0"/>
                <w:caps w:val="0"/>
                <w:color w:val="0F1115"/>
                <w:spacing w:val="0"/>
                <w:kern w:val="0"/>
                <w:sz w:val="24"/>
                <w:szCs w:val="24"/>
                <w:lang w:val="en-US" w:eastAsia="zh-CN" w:bidi="ar"/>
              </w:rPr>
            </w:pPr>
            <w:r>
              <w:rPr>
                <w:rFonts w:hint="default" w:ascii="Times New Roman" w:hAnsi="Times New Roman" w:eastAsia="Segoe UI" w:cs="Times New Roman"/>
                <w:i w:val="0"/>
                <w:iCs w:val="0"/>
                <w:caps w:val="0"/>
                <w:color w:val="0F1115"/>
                <w:spacing w:val="0"/>
                <w:kern w:val="0"/>
                <w:sz w:val="24"/>
                <w:szCs w:val="24"/>
                <w:lang w:val="en-US" w:eastAsia="zh-CN" w:bidi="ar"/>
              </w:rPr>
              <w:t>3.58 ± 1.032</w:t>
            </w:r>
          </w:p>
        </w:tc>
      </w:tr>
      <w:tr w14:paraId="47F1D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3779" w:type="dxa"/>
            <w:shd w:val="clear" w:color="auto" w:fill="FFFFFF"/>
            <w:tcMar>
              <w:top w:w="100" w:type="dxa"/>
              <w:left w:w="0" w:type="dxa"/>
              <w:bottom w:w="100" w:type="dxa"/>
              <w:right w:w="160" w:type="dxa"/>
            </w:tcMar>
            <w:vAlign w:val="center"/>
          </w:tcPr>
          <w:p w14:paraId="10E2F523">
            <w:pPr>
              <w:keepNext w:val="0"/>
              <w:keepLines w:val="0"/>
              <w:widowControl/>
              <w:suppressLineNumbers w:val="0"/>
              <w:spacing w:before="0" w:beforeAutospacing="0" w:after="160" w:afterAutospacing="0" w:line="480" w:lineRule="auto"/>
              <w:ind w:left="0" w:right="0"/>
              <w:jc w:val="center"/>
              <w:rPr>
                <w:rFonts w:hint="default" w:ascii="Times New Roman" w:hAnsi="Times New Roman" w:eastAsia="Segoe UI" w:cs="Times New Roman"/>
                <w:i w:val="0"/>
                <w:iCs w:val="0"/>
                <w:caps w:val="0"/>
                <w:color w:val="0F1115"/>
                <w:spacing w:val="0"/>
                <w:kern w:val="0"/>
                <w:sz w:val="24"/>
                <w:szCs w:val="24"/>
                <w:lang w:val="en-US" w:eastAsia="zh-CN" w:bidi="ar"/>
              </w:rPr>
            </w:pPr>
            <w:r>
              <w:rPr>
                <w:rFonts w:hint="default" w:ascii="Times New Roman" w:hAnsi="Times New Roman" w:eastAsia="Segoe UI" w:cs="Times New Roman"/>
                <w:i w:val="0"/>
                <w:iCs w:val="0"/>
                <w:caps w:val="0"/>
                <w:color w:val="0F1115"/>
                <w:spacing w:val="0"/>
                <w:kern w:val="0"/>
                <w:sz w:val="24"/>
                <w:szCs w:val="24"/>
                <w:lang w:val="en-US" w:eastAsia="zh-CN" w:bidi="ar"/>
              </w:rPr>
              <w:t>Logical clarity</w:t>
            </w:r>
          </w:p>
        </w:tc>
        <w:tc>
          <w:tcPr>
            <w:tcW w:w="1905" w:type="dxa"/>
            <w:shd w:val="clear" w:color="auto" w:fill="FFFFFF"/>
            <w:tcMar>
              <w:top w:w="100" w:type="dxa"/>
              <w:left w:w="160" w:type="dxa"/>
              <w:bottom w:w="100" w:type="dxa"/>
              <w:right w:w="160" w:type="dxa"/>
            </w:tcMar>
            <w:vAlign w:val="center"/>
          </w:tcPr>
          <w:p w14:paraId="69F7C479">
            <w:pPr>
              <w:keepNext w:val="0"/>
              <w:keepLines w:val="0"/>
              <w:widowControl/>
              <w:suppressLineNumbers w:val="0"/>
              <w:spacing w:before="0" w:beforeAutospacing="0" w:after="160" w:afterAutospacing="0" w:line="480" w:lineRule="auto"/>
              <w:ind w:left="0" w:right="0"/>
              <w:jc w:val="center"/>
              <w:rPr>
                <w:rFonts w:hint="default" w:ascii="Times New Roman" w:hAnsi="Times New Roman" w:eastAsia="Segoe UI" w:cs="Times New Roman"/>
                <w:i w:val="0"/>
                <w:iCs w:val="0"/>
                <w:caps w:val="0"/>
                <w:color w:val="0F1115"/>
                <w:spacing w:val="0"/>
                <w:kern w:val="0"/>
                <w:sz w:val="24"/>
                <w:szCs w:val="24"/>
                <w:lang w:val="en-US" w:eastAsia="zh-CN" w:bidi="ar"/>
              </w:rPr>
            </w:pPr>
            <w:r>
              <w:rPr>
                <w:rFonts w:hint="default" w:ascii="Times New Roman" w:hAnsi="Times New Roman" w:eastAsia="Segoe UI" w:cs="Times New Roman"/>
                <w:i w:val="0"/>
                <w:iCs w:val="0"/>
                <w:caps w:val="0"/>
                <w:color w:val="0F1115"/>
                <w:spacing w:val="0"/>
                <w:kern w:val="0"/>
                <w:sz w:val="24"/>
                <w:szCs w:val="24"/>
                <w:lang w:val="en-US" w:eastAsia="zh-CN" w:bidi="ar"/>
              </w:rPr>
              <w:t>4.24 ± 0.916</w:t>
            </w:r>
          </w:p>
        </w:tc>
        <w:tc>
          <w:tcPr>
            <w:tcW w:w="1836" w:type="dxa"/>
            <w:shd w:val="clear" w:color="auto" w:fill="FFFFFF"/>
            <w:tcMar>
              <w:top w:w="100" w:type="dxa"/>
              <w:left w:w="160" w:type="dxa"/>
              <w:bottom w:w="100" w:type="dxa"/>
              <w:right w:w="0" w:type="dxa"/>
            </w:tcMar>
            <w:vAlign w:val="center"/>
          </w:tcPr>
          <w:p w14:paraId="1471AB9B">
            <w:pPr>
              <w:keepNext w:val="0"/>
              <w:keepLines w:val="0"/>
              <w:widowControl/>
              <w:suppressLineNumbers w:val="0"/>
              <w:spacing w:before="0" w:beforeAutospacing="0" w:after="160" w:afterAutospacing="0" w:line="480" w:lineRule="auto"/>
              <w:ind w:left="0" w:right="0"/>
              <w:jc w:val="center"/>
              <w:rPr>
                <w:rFonts w:hint="default" w:ascii="Times New Roman" w:hAnsi="Times New Roman" w:eastAsia="Segoe UI" w:cs="Times New Roman"/>
                <w:i w:val="0"/>
                <w:iCs w:val="0"/>
                <w:caps w:val="0"/>
                <w:color w:val="0F1115"/>
                <w:spacing w:val="0"/>
                <w:kern w:val="0"/>
                <w:sz w:val="24"/>
                <w:szCs w:val="24"/>
                <w:lang w:val="en-US" w:eastAsia="zh-CN" w:bidi="ar"/>
              </w:rPr>
            </w:pPr>
            <w:r>
              <w:rPr>
                <w:rFonts w:hint="default" w:ascii="Times New Roman" w:hAnsi="Times New Roman" w:eastAsia="Segoe UI" w:cs="Times New Roman"/>
                <w:i w:val="0"/>
                <w:iCs w:val="0"/>
                <w:caps w:val="0"/>
                <w:color w:val="0F1115"/>
                <w:spacing w:val="0"/>
                <w:kern w:val="0"/>
                <w:sz w:val="24"/>
                <w:szCs w:val="24"/>
                <w:lang w:val="en-US" w:eastAsia="zh-CN" w:bidi="ar"/>
              </w:rPr>
              <w:t>3.26 ± 0.965</w:t>
            </w:r>
          </w:p>
        </w:tc>
      </w:tr>
      <w:tr w14:paraId="2935F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3779" w:type="dxa"/>
            <w:tcBorders>
              <w:bottom w:val="single" w:color="auto" w:sz="4" w:space="0"/>
            </w:tcBorders>
            <w:shd w:val="clear" w:color="auto" w:fill="FFFFFF"/>
            <w:tcMar>
              <w:top w:w="100" w:type="dxa"/>
              <w:left w:w="0" w:type="dxa"/>
              <w:bottom w:w="100" w:type="dxa"/>
              <w:right w:w="160" w:type="dxa"/>
            </w:tcMar>
            <w:vAlign w:val="center"/>
          </w:tcPr>
          <w:p w14:paraId="49805621">
            <w:pPr>
              <w:keepNext w:val="0"/>
              <w:keepLines w:val="0"/>
              <w:widowControl/>
              <w:suppressLineNumbers w:val="0"/>
              <w:spacing w:before="0" w:beforeAutospacing="0" w:after="160" w:afterAutospacing="0" w:line="480" w:lineRule="auto"/>
              <w:ind w:left="0" w:right="0"/>
              <w:jc w:val="center"/>
              <w:rPr>
                <w:rFonts w:hint="default" w:ascii="Times New Roman" w:hAnsi="Times New Roman" w:eastAsia="Segoe UI" w:cs="Times New Roman"/>
                <w:i w:val="0"/>
                <w:iCs w:val="0"/>
                <w:caps w:val="0"/>
                <w:color w:val="0F1115"/>
                <w:spacing w:val="0"/>
                <w:kern w:val="0"/>
                <w:sz w:val="24"/>
                <w:szCs w:val="24"/>
                <w:lang w:val="en-US" w:eastAsia="zh-CN" w:bidi="ar"/>
              </w:rPr>
            </w:pPr>
            <w:r>
              <w:rPr>
                <w:rFonts w:hint="default" w:ascii="Times New Roman" w:hAnsi="Times New Roman" w:eastAsia="Segoe UI" w:cs="Times New Roman"/>
                <w:i w:val="0"/>
                <w:iCs w:val="0"/>
                <w:caps w:val="0"/>
                <w:color w:val="0F1115"/>
                <w:spacing w:val="0"/>
                <w:kern w:val="0"/>
                <w:sz w:val="24"/>
                <w:szCs w:val="24"/>
                <w:lang w:val="en-US" w:eastAsia="zh-CN" w:bidi="ar"/>
              </w:rPr>
              <w:t>Learning acceptability</w:t>
            </w:r>
          </w:p>
        </w:tc>
        <w:tc>
          <w:tcPr>
            <w:tcW w:w="1905" w:type="dxa"/>
            <w:tcBorders>
              <w:bottom w:val="single" w:color="auto" w:sz="4" w:space="0"/>
            </w:tcBorders>
            <w:shd w:val="clear" w:color="auto" w:fill="FFFFFF"/>
            <w:tcMar>
              <w:top w:w="100" w:type="dxa"/>
              <w:left w:w="160" w:type="dxa"/>
              <w:bottom w:w="100" w:type="dxa"/>
              <w:right w:w="160" w:type="dxa"/>
            </w:tcMar>
            <w:vAlign w:val="center"/>
          </w:tcPr>
          <w:p w14:paraId="7B553D23">
            <w:pPr>
              <w:keepNext w:val="0"/>
              <w:keepLines w:val="0"/>
              <w:widowControl/>
              <w:suppressLineNumbers w:val="0"/>
              <w:spacing w:before="0" w:beforeAutospacing="0" w:after="160" w:afterAutospacing="0" w:line="480" w:lineRule="auto"/>
              <w:ind w:left="0" w:right="0"/>
              <w:jc w:val="center"/>
              <w:rPr>
                <w:rFonts w:hint="default" w:ascii="Times New Roman" w:hAnsi="Times New Roman" w:eastAsia="Segoe UI" w:cs="Times New Roman"/>
                <w:i w:val="0"/>
                <w:iCs w:val="0"/>
                <w:caps w:val="0"/>
                <w:color w:val="0F1115"/>
                <w:spacing w:val="0"/>
                <w:kern w:val="0"/>
                <w:sz w:val="24"/>
                <w:szCs w:val="24"/>
                <w:lang w:val="en-US" w:eastAsia="zh-CN" w:bidi="ar"/>
              </w:rPr>
            </w:pPr>
            <w:r>
              <w:rPr>
                <w:rFonts w:hint="default" w:ascii="Times New Roman" w:hAnsi="Times New Roman" w:eastAsia="Segoe UI" w:cs="Times New Roman"/>
                <w:i w:val="0"/>
                <w:iCs w:val="0"/>
                <w:caps w:val="0"/>
                <w:color w:val="0F1115"/>
                <w:spacing w:val="0"/>
                <w:kern w:val="0"/>
                <w:sz w:val="24"/>
                <w:szCs w:val="24"/>
                <w:lang w:val="en-US" w:eastAsia="zh-CN" w:bidi="ar"/>
              </w:rPr>
              <w:t>4.32 ± 0.768</w:t>
            </w:r>
          </w:p>
        </w:tc>
        <w:tc>
          <w:tcPr>
            <w:tcW w:w="1836" w:type="dxa"/>
            <w:tcBorders>
              <w:bottom w:val="single" w:color="auto" w:sz="4" w:space="0"/>
            </w:tcBorders>
            <w:shd w:val="clear" w:color="auto" w:fill="FFFFFF"/>
            <w:tcMar>
              <w:top w:w="100" w:type="dxa"/>
              <w:left w:w="160" w:type="dxa"/>
              <w:bottom w:w="100" w:type="dxa"/>
              <w:right w:w="0" w:type="dxa"/>
            </w:tcMar>
            <w:vAlign w:val="center"/>
          </w:tcPr>
          <w:p w14:paraId="74F871EA">
            <w:pPr>
              <w:keepNext w:val="0"/>
              <w:keepLines w:val="0"/>
              <w:widowControl/>
              <w:suppressLineNumbers w:val="0"/>
              <w:spacing w:before="0" w:beforeAutospacing="0" w:after="160" w:afterAutospacing="0" w:line="480" w:lineRule="auto"/>
              <w:ind w:left="0" w:right="0"/>
              <w:jc w:val="center"/>
              <w:rPr>
                <w:rFonts w:hint="default" w:ascii="Times New Roman" w:hAnsi="Times New Roman" w:eastAsia="Segoe UI" w:cs="Times New Roman"/>
                <w:i w:val="0"/>
                <w:iCs w:val="0"/>
                <w:caps w:val="0"/>
                <w:color w:val="0F1115"/>
                <w:spacing w:val="0"/>
                <w:kern w:val="0"/>
                <w:sz w:val="24"/>
                <w:szCs w:val="24"/>
                <w:lang w:val="en-US" w:eastAsia="zh-CN" w:bidi="ar"/>
              </w:rPr>
            </w:pPr>
            <w:r>
              <w:rPr>
                <w:rFonts w:hint="default" w:ascii="Times New Roman" w:hAnsi="Times New Roman" w:eastAsia="Segoe UI" w:cs="Times New Roman"/>
                <w:i w:val="0"/>
                <w:iCs w:val="0"/>
                <w:caps w:val="0"/>
                <w:color w:val="0F1115"/>
                <w:spacing w:val="0"/>
                <w:kern w:val="0"/>
                <w:sz w:val="24"/>
                <w:szCs w:val="24"/>
                <w:lang w:val="en-US" w:eastAsia="zh-CN" w:bidi="ar"/>
              </w:rPr>
              <w:t>3.42 ± 0.992</w:t>
            </w:r>
          </w:p>
        </w:tc>
      </w:tr>
    </w:tbl>
    <w:p w14:paraId="0EA1E231">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Regarding reproducibility of the pattern differentiation and treatment process, </w:t>
      </w:r>
      <w:r>
        <w:rPr>
          <w:rFonts w:hint="eastAsia" w:ascii="Times New Roman" w:hAnsi="Times New Roman" w:eastAsia="宋体" w:cs="Times New Roman"/>
          <w:color w:val="000000"/>
          <w:kern w:val="0"/>
          <w:sz w:val="24"/>
          <w:szCs w:val="24"/>
          <w:lang w:val="en-US" w:eastAsia="zh-CN" w:bidi="ar"/>
        </w:rPr>
        <w:t>MAC-TCMRx</w:t>
      </w:r>
      <w:r>
        <w:rPr>
          <w:rFonts w:hint="default" w:ascii="Times New Roman" w:hAnsi="Times New Roman" w:eastAsia="宋体" w:cs="Times New Roman"/>
          <w:color w:val="000000"/>
          <w:kern w:val="0"/>
          <w:sz w:val="24"/>
          <w:szCs w:val="24"/>
          <w:lang w:val="en-US" w:eastAsia="zh-CN" w:bidi="ar"/>
        </w:rPr>
        <w:t xml:space="preserve"> scored 4.38±0.725 (out of 5), approaching an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excellent</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level, while the </w:t>
      </w:r>
      <w:r>
        <w:rPr>
          <w:rFonts w:hint="eastAsia" w:ascii="Times New Roman" w:hAnsi="Times New Roman" w:eastAsia="宋体" w:cs="Times New Roman"/>
          <w:color w:val="000000"/>
          <w:kern w:val="0"/>
          <w:sz w:val="24"/>
          <w:szCs w:val="24"/>
          <w:lang w:val="en-US" w:eastAsia="zh-CN" w:bidi="ar"/>
        </w:rPr>
        <w:t>Baseline model</w:t>
      </w:r>
      <w:r>
        <w:rPr>
          <w:rFonts w:hint="default" w:ascii="Times New Roman" w:hAnsi="Times New Roman" w:eastAsia="宋体" w:cs="Times New Roman"/>
          <w:color w:val="000000"/>
          <w:kern w:val="0"/>
          <w:sz w:val="24"/>
          <w:szCs w:val="24"/>
          <w:lang w:val="en-US" w:eastAsia="zh-CN" w:bidi="ar"/>
        </w:rPr>
        <w:t xml:space="preserve"> scored 3.58±1.032, a difference of 0.80 points. This gap indicates that the VTA module built into </w:t>
      </w:r>
      <w:r>
        <w:rPr>
          <w:rFonts w:hint="eastAsia" w:ascii="Times New Roman" w:hAnsi="Times New Roman" w:eastAsia="宋体" w:cs="Times New Roman"/>
          <w:color w:val="000000"/>
          <w:kern w:val="0"/>
          <w:sz w:val="24"/>
          <w:szCs w:val="24"/>
          <w:lang w:val="en-US" w:eastAsia="zh-CN" w:bidi="ar"/>
        </w:rPr>
        <w:t>MAC-TCMRx</w:t>
      </w:r>
      <w:r>
        <w:rPr>
          <w:rFonts w:hint="default" w:ascii="Times New Roman" w:hAnsi="Times New Roman" w:eastAsia="宋体" w:cs="Times New Roman"/>
          <w:color w:val="000000"/>
          <w:kern w:val="0"/>
          <w:sz w:val="24"/>
          <w:szCs w:val="24"/>
          <w:lang w:val="en-US" w:eastAsia="zh-CN" w:bidi="ar"/>
        </w:rPr>
        <w:t xml:space="preserve"> can systematically and completely reproduce Professor Wu Zhongchao</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s entire chain of pattern differentiation and treatment: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identifying the main pattern → analyzing the pathogenesis → determining the prescription.</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Evaluators generally reported that in the visual materials generated by </w:t>
      </w:r>
      <w:r>
        <w:rPr>
          <w:rFonts w:hint="eastAsia" w:ascii="Times New Roman" w:hAnsi="Times New Roman" w:eastAsia="宋体" w:cs="Times New Roman"/>
          <w:color w:val="000000"/>
          <w:kern w:val="0"/>
          <w:sz w:val="24"/>
          <w:szCs w:val="24"/>
          <w:lang w:val="en-US" w:eastAsia="zh-CN" w:bidi="ar"/>
        </w:rPr>
        <w:t>MAC-TCMRx</w:t>
      </w:r>
      <w:r>
        <w:rPr>
          <w:rFonts w:hint="default" w:ascii="Times New Roman" w:hAnsi="Times New Roman" w:eastAsia="宋体" w:cs="Times New Roman"/>
          <w:color w:val="000000"/>
          <w:kern w:val="0"/>
          <w:sz w:val="24"/>
          <w:szCs w:val="24"/>
          <w:lang w:val="en-US" w:eastAsia="zh-CN" w:bidi="ar"/>
        </w:rPr>
        <w:t>, from the structured extraction of the patient</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s four</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examination information (main symptom set </w:t>
      </w:r>
      <w:r>
        <w:rPr>
          <w:rFonts w:hint="default" w:ascii="Times New Roman" w:hAnsi="Times New Roman" w:eastAsia="宋体" w:cs="Times New Roman"/>
          <w:b w:val="0"/>
          <w:bCs w:val="0"/>
          <w:i/>
          <w:iCs/>
          <w:color w:val="000000"/>
          <w:kern w:val="0"/>
          <w:sz w:val="24"/>
          <w:szCs w:val="24"/>
          <w:lang w:val="en-US" w:eastAsia="zh-CN" w:bidi="ar"/>
        </w:rPr>
        <w:t>Cc</w:t>
      </w:r>
      <w:r>
        <w:rPr>
          <w:rFonts w:hint="default" w:ascii="Times New Roman" w:hAnsi="Times New Roman" w:eastAsia="宋体" w:cs="Times New Roman"/>
          <w:color w:val="000000"/>
          <w:kern w:val="0"/>
          <w:sz w:val="24"/>
          <w:szCs w:val="24"/>
          <w:lang w:val="en-US" w:eastAsia="zh-CN" w:bidi="ar"/>
        </w:rPr>
        <w:t xml:space="preserve">) to the sequential activation and reasoning of the eight reasoning nodes (differentiation of body constitution, five body constituents, meridians, disease dynamics, location, pattern elements, medical history, and pathology), and then to each step of prescription generation, every node was clearly presented and logically connected. It is particularly noteworthy that </w:t>
      </w:r>
      <w:r>
        <w:rPr>
          <w:rFonts w:hint="eastAsia" w:ascii="Times New Roman" w:hAnsi="Times New Roman" w:eastAsia="宋体" w:cs="Times New Roman"/>
          <w:color w:val="000000"/>
          <w:kern w:val="0"/>
          <w:sz w:val="24"/>
          <w:szCs w:val="24"/>
          <w:lang w:val="en-US" w:eastAsia="zh-CN" w:bidi="ar"/>
        </w:rPr>
        <w:t>MAC-TCMRx</w:t>
      </w:r>
      <w:r>
        <w:rPr>
          <w:rFonts w:hint="default" w:ascii="Times New Roman" w:hAnsi="Times New Roman" w:eastAsia="宋体" w:cs="Times New Roman"/>
          <w:color w:val="000000"/>
          <w:kern w:val="0"/>
          <w:sz w:val="24"/>
          <w:szCs w:val="24"/>
          <w:lang w:val="en-US" w:eastAsia="zh-CN" w:bidi="ar"/>
        </w:rPr>
        <w:t xml:space="preserve"> explicitly decomposes the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pathogenesis analysis</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step, which is often simplified in traditional medical records, allowing learners to intuitively see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why the conclusion of intermingled phlegm and blood stasis is derived from joint stiffness, a dark tongue, and a choppy pulse.</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In contrast, although the </w:t>
      </w:r>
      <w:r>
        <w:rPr>
          <w:rFonts w:hint="eastAsia" w:ascii="Times New Roman" w:hAnsi="Times New Roman" w:eastAsia="宋体" w:cs="Times New Roman"/>
          <w:color w:val="000000"/>
          <w:kern w:val="0"/>
          <w:sz w:val="24"/>
          <w:szCs w:val="24"/>
          <w:lang w:val="en-US" w:eastAsia="zh-CN" w:bidi="ar"/>
        </w:rPr>
        <w:t>Baseline model</w:t>
      </w:r>
      <w:r>
        <w:rPr>
          <w:rFonts w:hint="default" w:ascii="Times New Roman" w:hAnsi="Times New Roman" w:eastAsia="宋体" w:cs="Times New Roman"/>
          <w:color w:val="000000"/>
          <w:kern w:val="0"/>
          <w:sz w:val="24"/>
          <w:szCs w:val="24"/>
          <w:lang w:val="en-US" w:eastAsia="zh-CN" w:bidi="ar"/>
        </w:rPr>
        <w:t xml:space="preserve"> could present some differentiation steps under general prompts, its standard deviation (1.032) was significantly larger than that of </w:t>
      </w:r>
      <w:r>
        <w:rPr>
          <w:rFonts w:hint="eastAsia" w:ascii="Times New Roman" w:hAnsi="Times New Roman" w:eastAsia="宋体" w:cs="Times New Roman"/>
          <w:color w:val="000000"/>
          <w:kern w:val="0"/>
          <w:sz w:val="24"/>
          <w:szCs w:val="24"/>
          <w:lang w:val="en-US" w:eastAsia="zh-CN" w:bidi="ar"/>
        </w:rPr>
        <w:t>MAC-TCMRx</w:t>
      </w:r>
      <w:r>
        <w:rPr>
          <w:rFonts w:hint="default" w:ascii="Times New Roman" w:hAnsi="Times New Roman" w:eastAsia="宋体" w:cs="Times New Roman"/>
          <w:color w:val="000000"/>
          <w:kern w:val="0"/>
          <w:sz w:val="24"/>
          <w:szCs w:val="24"/>
          <w:lang w:val="en-US" w:eastAsia="zh-CN" w:bidi="ar"/>
        </w:rPr>
        <w:t xml:space="preserve"> (0.725), indicating highly unstable performance: it could barely reproduce the basic process in typical cases (e.g., wind</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cold</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dampness Bi), but in complex cases with intermingled deficiency and excess or multiple intertwined pathogeneses, it tended to confuse different diagnostic dimensions. This result directly validates the effectiveness of the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state</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driven information flow</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design: through explicit information transfer and data transmission, every subtask of pattern differentiation and treatment has clear input, output, and reasoning basis, thereby achieving a full</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chain replication of the renowned practitioner</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s clinical thinking. From the perspective of clinical inheritance, high reproducibility means that learners can trace the practitioner</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s decision</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making process and understand the mapping from symptoms to pathogenesis to herbs and formulas – something that traditional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apprenticeship copying of prescriptions</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cannot systematically achieve.</w:t>
      </w:r>
    </w:p>
    <w:p w14:paraId="50A880AC">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Regarding logical clarity, </w:t>
      </w:r>
      <w:r>
        <w:rPr>
          <w:rFonts w:hint="eastAsia" w:ascii="Times New Roman" w:hAnsi="Times New Roman" w:eastAsia="宋体" w:cs="Times New Roman"/>
          <w:color w:val="000000"/>
          <w:kern w:val="0"/>
          <w:sz w:val="24"/>
          <w:szCs w:val="24"/>
          <w:lang w:val="en-US" w:eastAsia="zh-CN" w:bidi="ar"/>
        </w:rPr>
        <w:t>MAC-TCMRx</w:t>
      </w:r>
      <w:r>
        <w:rPr>
          <w:rFonts w:hint="default" w:ascii="Times New Roman" w:hAnsi="Times New Roman" w:eastAsia="宋体" w:cs="Times New Roman"/>
          <w:color w:val="000000"/>
          <w:kern w:val="0"/>
          <w:sz w:val="24"/>
          <w:szCs w:val="24"/>
          <w:lang w:val="en-US" w:eastAsia="zh-CN" w:bidi="ar"/>
        </w:rPr>
        <w:t xml:space="preserve"> scored 4.24±0.916, while the </w:t>
      </w:r>
      <w:r>
        <w:rPr>
          <w:rFonts w:hint="eastAsia" w:ascii="Times New Roman" w:hAnsi="Times New Roman" w:eastAsia="宋体" w:cs="Times New Roman"/>
          <w:color w:val="000000"/>
          <w:kern w:val="0"/>
          <w:sz w:val="24"/>
          <w:szCs w:val="24"/>
          <w:lang w:val="en-US" w:eastAsia="zh-CN" w:bidi="ar"/>
        </w:rPr>
        <w:t>Baseline model</w:t>
      </w:r>
      <w:r>
        <w:rPr>
          <w:rFonts w:hint="default" w:ascii="Times New Roman" w:hAnsi="Times New Roman" w:eastAsia="宋体" w:cs="Times New Roman"/>
          <w:color w:val="000000"/>
          <w:kern w:val="0"/>
          <w:sz w:val="24"/>
          <w:szCs w:val="24"/>
          <w:lang w:val="en-US" w:eastAsia="zh-CN" w:bidi="ar"/>
        </w:rPr>
        <w:t xml:space="preserve"> scored 3.26±0.965, a lead of 0.98 points. Logical clarity assesses the causal relationships, sequential rationality, and explicitness of reasoning bases among nodes in the decision pathway diagram. Evaluators pointed out that the Mermaid flowcharts generated by </w:t>
      </w:r>
      <w:r>
        <w:rPr>
          <w:rFonts w:hint="eastAsia" w:ascii="Times New Roman" w:hAnsi="Times New Roman" w:eastAsia="宋体" w:cs="Times New Roman"/>
          <w:color w:val="000000"/>
          <w:kern w:val="0"/>
          <w:sz w:val="24"/>
          <w:szCs w:val="24"/>
          <w:lang w:val="en-US" w:eastAsia="zh-CN" w:bidi="ar"/>
        </w:rPr>
        <w:t>MAC-TCMRx</w:t>
      </w:r>
      <w:r>
        <w:rPr>
          <w:rFonts w:hint="default" w:ascii="Times New Roman" w:hAnsi="Times New Roman" w:eastAsia="宋体" w:cs="Times New Roman"/>
          <w:color w:val="000000"/>
          <w:kern w:val="0"/>
          <w:sz w:val="24"/>
          <w:szCs w:val="24"/>
          <w:lang w:val="en-US" w:eastAsia="zh-CN" w:bidi="ar"/>
        </w:rPr>
        <w:t xml:space="preserve"> have the following distinct features: First, the node arrangement strictly follows the inherent order of Professor Wu Zhongchao</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s clinical reasoning, forming a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progressive and tightly interlocking</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main line that learners can read sequentially without confusion. Second, the branching logic is clear: when multiple pathogeneses coexist, the model presents them as parallel nodes or conditional branches rather than as an unordered pile. The </w:t>
      </w:r>
      <w:r>
        <w:rPr>
          <w:rFonts w:hint="eastAsia" w:ascii="Times New Roman" w:hAnsi="Times New Roman" w:eastAsia="宋体" w:cs="Times New Roman"/>
          <w:color w:val="000000"/>
          <w:kern w:val="0"/>
          <w:sz w:val="24"/>
          <w:szCs w:val="24"/>
          <w:lang w:val="en-US" w:eastAsia="zh-CN" w:bidi="ar"/>
        </w:rPr>
        <w:t>Baseline model</w:t>
      </w:r>
      <w:r>
        <w:rPr>
          <w:rFonts w:hint="default" w:ascii="Times New Roman" w:hAnsi="Times New Roman" w:eastAsia="宋体" w:cs="Times New Roman"/>
          <w:color w:val="000000"/>
          <w:kern w:val="0"/>
          <w:sz w:val="24"/>
          <w:szCs w:val="24"/>
          <w:lang w:val="en-US" w:eastAsia="zh-CN" w:bidi="ar"/>
        </w:rPr>
        <w:t xml:space="preserve">, on the other hand, suffered from reversed reasoning order and relied on the final prescription to retrospectively deduce the preceding differentiation process. From the perspective of clinical trust, a logically clear decision pathway is a prerequisite for physicians to adopt model recommendations – a recommendation that is correct in drug composition but has a chaotic reasoning process is unlikely to gain the trust of clinicians. </w:t>
      </w:r>
      <w:r>
        <w:rPr>
          <w:rFonts w:hint="eastAsia" w:ascii="Times New Roman" w:hAnsi="Times New Roman" w:eastAsia="宋体" w:cs="Times New Roman"/>
          <w:color w:val="000000"/>
          <w:kern w:val="0"/>
          <w:sz w:val="24"/>
          <w:szCs w:val="24"/>
          <w:lang w:val="en-US" w:eastAsia="zh-CN" w:bidi="ar"/>
        </w:rPr>
        <w:t>MAC-TCMRx'</w:t>
      </w:r>
      <w:r>
        <w:rPr>
          <w:rFonts w:hint="default" w:ascii="Times New Roman" w:hAnsi="Times New Roman" w:eastAsia="宋体" w:cs="Times New Roman"/>
          <w:color w:val="000000"/>
          <w:kern w:val="0"/>
          <w:sz w:val="24"/>
          <w:szCs w:val="24"/>
          <w:lang w:val="en-US" w:eastAsia="zh-CN" w:bidi="ar"/>
        </w:rPr>
        <w:t>s advantage on this metric removes an important obstacle to its future integration into real clinical workflows.</w:t>
      </w:r>
    </w:p>
    <w:p w14:paraId="76F87B4A">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Regarding learning acceptability, </w:t>
      </w:r>
      <w:r>
        <w:rPr>
          <w:rFonts w:hint="eastAsia" w:ascii="Times New Roman" w:hAnsi="Times New Roman" w:eastAsia="宋体" w:cs="Times New Roman"/>
          <w:color w:val="000000"/>
          <w:kern w:val="0"/>
          <w:sz w:val="24"/>
          <w:szCs w:val="24"/>
          <w:lang w:val="en-US" w:eastAsia="zh-CN" w:bidi="ar"/>
        </w:rPr>
        <w:t>MAC-TCMRx</w:t>
      </w:r>
      <w:r>
        <w:rPr>
          <w:rFonts w:hint="default" w:ascii="Times New Roman" w:hAnsi="Times New Roman" w:eastAsia="宋体" w:cs="Times New Roman"/>
          <w:color w:val="000000"/>
          <w:kern w:val="0"/>
          <w:sz w:val="24"/>
          <w:szCs w:val="24"/>
          <w:lang w:val="en-US" w:eastAsia="zh-CN" w:bidi="ar"/>
        </w:rPr>
        <w:t xml:space="preserve"> scored 4.32±0.768, while the </w:t>
      </w:r>
      <w:r>
        <w:rPr>
          <w:rFonts w:hint="eastAsia" w:ascii="Times New Roman" w:hAnsi="Times New Roman" w:eastAsia="宋体" w:cs="Times New Roman"/>
          <w:color w:val="000000"/>
          <w:kern w:val="0"/>
          <w:sz w:val="24"/>
          <w:szCs w:val="24"/>
          <w:lang w:val="en-US" w:eastAsia="zh-CN" w:bidi="ar"/>
        </w:rPr>
        <w:t>Baseline model</w:t>
      </w:r>
      <w:r>
        <w:rPr>
          <w:rFonts w:hint="default" w:ascii="Times New Roman" w:hAnsi="Times New Roman" w:eastAsia="宋体" w:cs="Times New Roman"/>
          <w:color w:val="000000"/>
          <w:kern w:val="0"/>
          <w:sz w:val="24"/>
          <w:szCs w:val="24"/>
          <w:lang w:val="en-US" w:eastAsia="zh-CN" w:bidi="ar"/>
        </w:rPr>
        <w:t xml:space="preserve"> scored 3.42±0.992, a lead of 0.90 points. Learning acceptability measures how easily the visualization materials can be understood and whether they help learners (especially young physicians, primary</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care doctors, or medical students) grasp the renowned practitioner</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s pattern differentiation and treatment thinking. The open</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ended feedback from evaluators indicated that the visualization materials of </w:t>
      </w:r>
      <w:r>
        <w:rPr>
          <w:rFonts w:hint="eastAsia" w:ascii="Times New Roman" w:hAnsi="Times New Roman" w:eastAsia="宋体" w:cs="Times New Roman"/>
          <w:color w:val="000000"/>
          <w:kern w:val="0"/>
          <w:sz w:val="24"/>
          <w:szCs w:val="24"/>
          <w:lang w:val="en-US" w:eastAsia="zh-CN" w:bidi="ar"/>
        </w:rPr>
        <w:t>MAC-TCMRx</w:t>
      </w:r>
      <w:r>
        <w:rPr>
          <w:rFonts w:hint="default" w:ascii="Times New Roman" w:hAnsi="Times New Roman" w:eastAsia="宋体" w:cs="Times New Roman"/>
          <w:color w:val="000000"/>
          <w:kern w:val="0"/>
          <w:sz w:val="24"/>
          <w:szCs w:val="24"/>
          <w:lang w:val="en-US" w:eastAsia="zh-CN" w:bidi="ar"/>
        </w:rPr>
        <w:t xml:space="preserve"> were highly recognized in three aspects. First, integration of graphics and text: the Mermaid flowchart intuitively displays the overall structure of the decision pathway, while the VTA module simultaneously generates a natural</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language explanatory report that explains the basis for each decision node step by step. The two modalities complement each other, satisfying both visually</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oriented and text</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oriented learners. Second, traceability: each decision node can be clearly traced to upstream and downstream information. For example, the conclusion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the disease location is in the sinews (related to the liver)</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in the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differentiation of the five body constituents</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node is linked to specific symptoms such as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joint stiffness and limited extension</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flexion</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in the main symptom set, and to herbs such as </w:t>
      </w:r>
      <w:r>
        <w:rPr>
          <w:rFonts w:hint="default" w:ascii="Times New Roman" w:hAnsi="Times New Roman" w:eastAsia="宋体" w:cs="Times New Roman"/>
          <w:i/>
          <w:iCs/>
          <w:color w:val="000000"/>
          <w:kern w:val="0"/>
          <w:sz w:val="24"/>
          <w:szCs w:val="24"/>
          <w:lang w:val="en-US" w:eastAsia="zh-CN" w:bidi="ar"/>
        </w:rPr>
        <w:t>Paeoniae Alba Radix </w:t>
      </w:r>
      <w:r>
        <w:rPr>
          <w:rFonts w:hint="default" w:ascii="Times New Roman" w:hAnsi="Times New Roman" w:eastAsia="宋体" w:cs="Times New Roman"/>
          <w:color w:val="000000"/>
          <w:kern w:val="0"/>
          <w:sz w:val="24"/>
          <w:szCs w:val="24"/>
          <w:lang w:val="en-US" w:eastAsia="zh-CN" w:bidi="ar"/>
        </w:rPr>
        <w:t>(Baishao) and </w:t>
      </w:r>
      <w:r>
        <w:rPr>
          <w:rFonts w:hint="default" w:ascii="Times New Roman" w:hAnsi="Times New Roman" w:eastAsia="宋体" w:cs="Times New Roman"/>
          <w:i/>
          <w:iCs/>
          <w:color w:val="000000"/>
          <w:kern w:val="0"/>
          <w:sz w:val="24"/>
          <w:szCs w:val="24"/>
          <w:lang w:val="en-US" w:eastAsia="zh-CN" w:bidi="ar"/>
        </w:rPr>
        <w:t>Chaenomelis Fructus</w:t>
      </w:r>
      <w:r>
        <w:rPr>
          <w:rFonts w:hint="default" w:ascii="Times New Roman" w:hAnsi="Times New Roman" w:eastAsia="宋体" w:cs="Times New Roman"/>
          <w:color w:val="000000"/>
          <w:kern w:val="0"/>
          <w:sz w:val="24"/>
          <w:szCs w:val="24"/>
          <w:lang w:val="en-US" w:eastAsia="zh-CN" w:bidi="ar"/>
        </w:rPr>
        <w:t xml:space="preserve"> (Mugua) in the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herb selection</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node. This traceable chain of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symptom → pathogenesis → formula/herb</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allows learners to verify the model</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s reasoning at any step. Several evaluators explicitly stated that the visualization materials generated by </w:t>
      </w:r>
      <w:r>
        <w:rPr>
          <w:rFonts w:hint="eastAsia" w:ascii="Times New Roman" w:hAnsi="Times New Roman" w:eastAsia="宋体" w:cs="Times New Roman"/>
          <w:color w:val="000000"/>
          <w:kern w:val="0"/>
          <w:sz w:val="24"/>
          <w:szCs w:val="24"/>
          <w:lang w:val="en-US" w:eastAsia="zh-CN" w:bidi="ar"/>
        </w:rPr>
        <w:t>MAC-TCMRx</w:t>
      </w:r>
      <w:r>
        <w:rPr>
          <w:rFonts w:hint="default" w:ascii="Times New Roman" w:hAnsi="Times New Roman" w:eastAsia="宋体" w:cs="Times New Roman"/>
          <w:color w:val="000000"/>
          <w:kern w:val="0"/>
          <w:sz w:val="24"/>
          <w:szCs w:val="24"/>
          <w:lang w:val="en-US" w:eastAsia="zh-CN" w:bidi="ar"/>
        </w:rPr>
        <w:t xml:space="preserve"> could serve as a tool for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digital mentorship,</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helping primary</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care physicians who lack apprenticeship conditions to systematically learn Professor Wu</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s academic thinking. In contrast, the </w:t>
      </w:r>
      <w:r>
        <w:rPr>
          <w:rFonts w:hint="eastAsia" w:ascii="Times New Roman" w:hAnsi="Times New Roman" w:eastAsia="宋体" w:cs="Times New Roman"/>
          <w:color w:val="000000"/>
          <w:kern w:val="0"/>
          <w:sz w:val="24"/>
          <w:szCs w:val="24"/>
          <w:lang w:val="en-US" w:eastAsia="zh-CN" w:bidi="ar"/>
        </w:rPr>
        <w:t>Baseline model</w:t>
      </w:r>
      <w:r>
        <w:rPr>
          <w:rFonts w:hint="default" w:ascii="Times New Roman" w:hAnsi="Times New Roman" w:eastAsia="宋体" w:cs="Times New Roman"/>
          <w:color w:val="000000"/>
          <w:kern w:val="0"/>
          <w:sz w:val="24"/>
          <w:szCs w:val="24"/>
          <w:lang w:val="en-US" w:eastAsia="zh-CN" w:bidi="ar"/>
        </w:rPr>
        <w:t xml:space="preserve"> suffered from inconsistent node naming (sometimes using standard terms like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liver qi stagnation,</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sometimes using colloquial expressions like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emotional discomfort</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loose flowchart structure, and excessive, poorly</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organized branches. Learning acceptability is a core indicator of a model</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s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inheritance utility.</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The greatest difficulty in inheriting the experience of renowned TCM practitioners lies in making tacit knowledge explicit. By transforming implicit reasoning rules into visual, traceable, and modular decision pathways, </w:t>
      </w:r>
      <w:r>
        <w:rPr>
          <w:rFonts w:hint="eastAsia" w:ascii="Times New Roman" w:hAnsi="Times New Roman" w:eastAsia="宋体" w:cs="Times New Roman"/>
          <w:color w:val="000000"/>
          <w:kern w:val="0"/>
          <w:sz w:val="24"/>
          <w:szCs w:val="24"/>
          <w:lang w:val="en-US" w:eastAsia="zh-CN" w:bidi="ar"/>
        </w:rPr>
        <w:t>MAC-TCMRx</w:t>
      </w:r>
      <w:r>
        <w:rPr>
          <w:rFonts w:hint="default" w:ascii="Times New Roman" w:hAnsi="Times New Roman" w:eastAsia="宋体" w:cs="Times New Roman"/>
          <w:color w:val="000000"/>
          <w:kern w:val="0"/>
          <w:sz w:val="24"/>
          <w:szCs w:val="24"/>
          <w:lang w:val="en-US" w:eastAsia="zh-CN" w:bidi="ar"/>
        </w:rPr>
        <w:t xml:space="preserve"> has initially achieved the transition from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experience</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to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knowledge</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and then to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transmissible educational material.</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The high score of 4.32 suggests that the VTA module of this study already has the potential to become a digital tool for inheriting </w:t>
      </w:r>
      <w:r>
        <w:rPr>
          <w:rFonts w:hint="eastAsia" w:ascii="Times New Roman" w:hAnsi="Times New Roman" w:eastAsia="宋体" w:cs="Times New Roman"/>
          <w:color w:val="000000"/>
          <w:kern w:val="0"/>
          <w:sz w:val="24"/>
          <w:szCs w:val="24"/>
          <w:lang w:val="en-US" w:eastAsia="zh-CN" w:bidi="ar"/>
        </w:rPr>
        <w:t>renowned TCM practitioners'</w:t>
      </w:r>
      <w:r>
        <w:rPr>
          <w:rFonts w:hint="default" w:ascii="Times New Roman" w:hAnsi="Times New Roman" w:eastAsia="宋体" w:cs="Times New Roman"/>
          <w:color w:val="000000"/>
          <w:kern w:val="0"/>
          <w:sz w:val="24"/>
          <w:szCs w:val="24"/>
          <w:lang w:val="en-US" w:eastAsia="zh-CN" w:bidi="ar"/>
        </w:rPr>
        <w:t xml:space="preserve"> experience; future pre</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post controlled experiments could further validate its actual teaching effectiveness.</w:t>
      </w:r>
    </w:p>
    <w:p w14:paraId="79439B6E">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Overall assessment across the three evaluation metrics shows that </w:t>
      </w:r>
      <w:r>
        <w:rPr>
          <w:rFonts w:hint="eastAsia" w:ascii="Times New Roman" w:hAnsi="Times New Roman" w:eastAsia="宋体" w:cs="Times New Roman"/>
          <w:color w:val="000000"/>
          <w:kern w:val="0"/>
          <w:sz w:val="24"/>
          <w:szCs w:val="24"/>
          <w:lang w:val="en-US" w:eastAsia="zh-CN" w:bidi="ar"/>
        </w:rPr>
        <w:t>MAC-TCMRx</w:t>
      </w:r>
      <w:r>
        <w:rPr>
          <w:rFonts w:hint="default" w:ascii="Times New Roman" w:hAnsi="Times New Roman" w:eastAsia="宋体" w:cs="Times New Roman"/>
          <w:color w:val="000000"/>
          <w:kern w:val="0"/>
          <w:sz w:val="24"/>
          <w:szCs w:val="24"/>
          <w:lang w:val="en-US" w:eastAsia="zh-CN" w:bidi="ar"/>
        </w:rPr>
        <w:t xml:space="preserve"> is significantly superior to the </w:t>
      </w:r>
      <w:r>
        <w:rPr>
          <w:rFonts w:hint="eastAsia" w:ascii="Times New Roman" w:hAnsi="Times New Roman" w:eastAsia="宋体" w:cs="Times New Roman"/>
          <w:color w:val="000000"/>
          <w:kern w:val="0"/>
          <w:sz w:val="24"/>
          <w:szCs w:val="24"/>
          <w:lang w:val="en-US" w:eastAsia="zh-CN" w:bidi="ar"/>
        </w:rPr>
        <w:t>Baseline model</w:t>
      </w:r>
      <w:r>
        <w:rPr>
          <w:rFonts w:hint="default" w:ascii="Times New Roman" w:hAnsi="Times New Roman" w:eastAsia="宋体" w:cs="Times New Roman"/>
          <w:color w:val="000000"/>
          <w:kern w:val="0"/>
          <w:sz w:val="24"/>
          <w:szCs w:val="24"/>
          <w:lang w:val="en-US" w:eastAsia="zh-CN" w:bidi="ar"/>
        </w:rPr>
        <w:t xml:space="preserve"> in reproducibility of the pattern differentiation and treatment process, logical clarity, and learning acceptability. Moreover, the standard deviations of </w:t>
      </w:r>
      <w:r>
        <w:rPr>
          <w:rFonts w:hint="eastAsia" w:ascii="Times New Roman" w:hAnsi="Times New Roman" w:eastAsia="宋体" w:cs="Times New Roman"/>
          <w:color w:val="000000"/>
          <w:kern w:val="0"/>
          <w:sz w:val="24"/>
          <w:szCs w:val="24"/>
          <w:lang w:val="en-US" w:eastAsia="zh-CN" w:bidi="ar"/>
        </w:rPr>
        <w:t>MAC-TCMRx</w:t>
      </w:r>
      <w:r>
        <w:rPr>
          <w:rFonts w:hint="default" w:ascii="Times New Roman" w:hAnsi="Times New Roman" w:eastAsia="宋体" w:cs="Times New Roman"/>
          <w:color w:val="000000"/>
          <w:kern w:val="0"/>
          <w:sz w:val="24"/>
          <w:szCs w:val="24"/>
          <w:lang w:val="en-US" w:eastAsia="zh-CN" w:bidi="ar"/>
        </w:rPr>
        <w:t xml:space="preserve"> are generally smaller than those of the </w:t>
      </w:r>
      <w:r>
        <w:rPr>
          <w:rFonts w:hint="eastAsia" w:ascii="Times New Roman" w:hAnsi="Times New Roman" w:eastAsia="宋体" w:cs="Times New Roman"/>
          <w:color w:val="000000"/>
          <w:kern w:val="0"/>
          <w:sz w:val="24"/>
          <w:szCs w:val="24"/>
          <w:lang w:val="en-US" w:eastAsia="zh-CN" w:bidi="ar"/>
        </w:rPr>
        <w:t>Baseline model</w:t>
      </w:r>
      <w:r>
        <w:rPr>
          <w:rFonts w:hint="default" w:ascii="Times New Roman" w:hAnsi="Times New Roman" w:eastAsia="宋体" w:cs="Times New Roman"/>
          <w:color w:val="000000"/>
          <w:kern w:val="0"/>
          <w:sz w:val="24"/>
          <w:szCs w:val="24"/>
          <w:lang w:val="en-US" w:eastAsia="zh-CN" w:bidi="ar"/>
        </w:rPr>
        <w:t xml:space="preserve">, indicating that </w:t>
      </w:r>
      <w:r>
        <w:rPr>
          <w:rFonts w:hint="eastAsia" w:ascii="Times New Roman" w:hAnsi="Times New Roman" w:eastAsia="宋体" w:cs="Times New Roman"/>
          <w:color w:val="000000"/>
          <w:kern w:val="0"/>
          <w:sz w:val="24"/>
          <w:szCs w:val="24"/>
          <w:lang w:val="en-US" w:eastAsia="zh-CN" w:bidi="ar"/>
        </w:rPr>
        <w:t>MAC-TCMRx</w:t>
      </w:r>
      <w:r>
        <w:rPr>
          <w:rFonts w:hint="default" w:ascii="Times New Roman" w:hAnsi="Times New Roman" w:eastAsia="宋体" w:cs="Times New Roman"/>
          <w:color w:val="000000"/>
          <w:kern w:val="0"/>
          <w:sz w:val="24"/>
          <w:szCs w:val="24"/>
          <w:lang w:val="en-US" w:eastAsia="zh-CN" w:bidi="ar"/>
        </w:rPr>
        <w:t xml:space="preserve"> has more stable performance and higher consistency in evaluations across different cases and different evaluators. Among the metrics,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reproducibility of the pattern differentiation and treatment process</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scored the highest, indicating that </w:t>
      </w:r>
      <w:r>
        <w:rPr>
          <w:rFonts w:hint="eastAsia" w:ascii="Times New Roman" w:hAnsi="Times New Roman" w:eastAsia="宋体" w:cs="Times New Roman"/>
          <w:color w:val="000000"/>
          <w:kern w:val="0"/>
          <w:sz w:val="24"/>
          <w:szCs w:val="24"/>
          <w:lang w:val="en-US" w:eastAsia="zh-CN" w:bidi="ar"/>
        </w:rPr>
        <w:t>MAC-TCMRx</w:t>
      </w:r>
      <w:r>
        <w:rPr>
          <w:rFonts w:hint="default" w:ascii="Times New Roman" w:hAnsi="Times New Roman" w:eastAsia="宋体" w:cs="Times New Roman"/>
          <w:color w:val="000000"/>
          <w:kern w:val="0"/>
          <w:sz w:val="24"/>
          <w:szCs w:val="24"/>
          <w:lang w:val="en-US" w:eastAsia="zh-CN" w:bidi="ar"/>
        </w:rPr>
        <w:t xml:space="preserve"> most successfully simulates Professor Wu Zhongchao</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s clinical reasoning process – a direct benefit of the explicit modeling of the entire chain of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identifying the main pattern → analyzing the pathogenesis → determining the prescription</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by the multi</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agent collaborative framework (MSA → MDA → IPA → VTA).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Logical clarity</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scored relatively lowest (4.24), suggesting that future work could further optimize the chain</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of</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thought prompt template by reducing unnecessary branch nodes to make the pathway diagrams more concise and fluid.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Learning acceptability</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scored 4.32, indicating good application prospects for the model in teaching the inheritance of renowned practitioner experience. Overall, the qualitative evaluation results demonstrate that </w:t>
      </w:r>
      <w:r>
        <w:rPr>
          <w:rFonts w:hint="eastAsia" w:ascii="Times New Roman" w:hAnsi="Times New Roman" w:eastAsia="宋体" w:cs="Times New Roman"/>
          <w:color w:val="000000"/>
          <w:kern w:val="0"/>
          <w:sz w:val="24"/>
          <w:szCs w:val="24"/>
          <w:lang w:val="en-US" w:eastAsia="zh-CN" w:bidi="ar"/>
        </w:rPr>
        <w:t>MAC-TCMRx</w:t>
      </w:r>
      <w:r>
        <w:rPr>
          <w:rFonts w:hint="default" w:ascii="Times New Roman" w:hAnsi="Times New Roman" w:eastAsia="宋体" w:cs="Times New Roman"/>
          <w:color w:val="000000"/>
          <w:kern w:val="0"/>
          <w:sz w:val="24"/>
          <w:szCs w:val="24"/>
          <w:lang w:val="en-US" w:eastAsia="zh-CN" w:bidi="ar"/>
        </w:rPr>
        <w:t xml:space="preserve"> has a significant advantage in explainable prescription generation. A limitation of this study is that all evaluators were disciples of Professor Wu Zhongchao, and the scoring was based only on a single viewing of the visualization materials, without examining the actual learning outcomes after using the materials (e.g., improvement in pattern differentiation accuracy or prescription rationality). Future studies should include non</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apprentice TCM physicians and medical students as evaluators and design </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pre</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use vs. post</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use</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controlled experiments to more comprehensively and objectively assess the model</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s educational value and clinical promotion potential.</w:t>
      </w:r>
    </w:p>
    <w:p w14:paraId="69FA542B">
      <w:pPr>
        <w:spacing w:line="480" w:lineRule="auto"/>
        <w:rPr>
          <w:rFonts w:hint="default" w:ascii="Times New Roman" w:hAnsi="Times New Roman" w:eastAsia="宋体" w:cs="Times New Roman"/>
          <w:color w:val="000000"/>
          <w:kern w:val="0"/>
          <w:sz w:val="24"/>
          <w:szCs w:val="24"/>
          <w:lang w:val="en-US" w:eastAsia="zh-CN" w:bidi="ar"/>
        </w:rPr>
      </w:pPr>
      <w:r>
        <w:rPr>
          <w:rStyle w:val="14"/>
          <w:rFonts w:hint="default" w:ascii="Segoe UI" w:hAnsi="Segoe UI" w:eastAsia="Segoe UI" w:cs="Segoe UI"/>
          <w:bCs/>
          <w:i w:val="0"/>
          <w:iCs w:val="0"/>
          <w:caps w:val="0"/>
          <w:color w:val="0F1115"/>
          <w:spacing w:val="0"/>
          <w:kern w:val="0"/>
          <w:sz w:val="24"/>
          <w:szCs w:val="24"/>
          <w:shd w:val="clear" w:fill="FFFFFF"/>
          <w:lang w:val="en-US" w:eastAsia="zh-CN" w:bidi="ar"/>
        </w:rPr>
        <w:t>Conclusions</w:t>
      </w:r>
    </w:p>
    <w:p w14:paraId="668CB3EB">
      <w:pPr>
        <w:widowControl w:val="0"/>
        <w:spacing w:line="480" w:lineRule="auto"/>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This study addresses a key limitation of existing TCM prescription recommendation models—their inability to deeply embed expert knowledge and provide explainable reasoning. To overcome this, we propose MAC-TCMRx, an expert-aligned, multi-agent collaborative model for interpretable prescription generation. Quantitative and qualitative evaluations demonstrate that MAC-TCMRx significantly outperforms a baseline LLM in prescription matching accuracy, reasoning reproducibility, logical clarity, and learning acceptability.</w:t>
      </w:r>
    </w:p>
    <w:p w14:paraId="6529B048">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The model’s core innovations lie in its multi-agent collaborative architecture, which reproduces the full clinical decision chain of a renowned TCM practitioner, and its state-driven, RAG-enhanced design that transforms the “black‑box” reasoning into transparent, traceable, and explainable decision pathways. The resulting visual outputs provide clinicians with not only a prescription recommendation but also a clear rationale, addressing a major barrier to the adoption of AI‑based clinical decision support.</w:t>
      </w:r>
    </w:p>
    <w:p w14:paraId="2DBA8562">
      <w:pPr>
        <w:widowControl w:val="0"/>
        <w:spacing w:line="480" w:lineRule="auto"/>
        <w:ind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Limitations include a modest sample size (127 records) and a single‑practitioner, single‑disease focus (Professor Wu, Bi syndrome), which limit generalizability. The interactivity of the visual pathways also requires further optimization. Future work will extend the model to multiple practitioners and TCM‑dominant diseases, integrate multimodal data (e.g., tongue images, voice), and conduct pre‑vs.‑post controlled trials to evaluate its impact on clinical decision‑making and educational outcomes.</w:t>
      </w:r>
    </w:p>
    <w:p w14:paraId="1AD7BD86">
      <w:pPr>
        <w:spacing w:line="480" w:lineRule="auto"/>
        <w:rPr>
          <w:rStyle w:val="14"/>
          <w:rFonts w:hint="default" w:ascii="Segoe UI" w:hAnsi="Segoe UI" w:eastAsia="Segoe UI" w:cs="Segoe UI"/>
          <w:bCs/>
          <w:i w:val="0"/>
          <w:iCs w:val="0"/>
          <w:caps w:val="0"/>
          <w:color w:val="0F1115"/>
          <w:spacing w:val="0"/>
          <w:kern w:val="0"/>
          <w:sz w:val="24"/>
          <w:szCs w:val="24"/>
          <w:shd w:val="clear" w:fill="FFFFFF"/>
          <w:lang w:val="en-US" w:eastAsia="zh-CN" w:bidi="ar"/>
        </w:rPr>
      </w:pPr>
      <w:r>
        <w:rPr>
          <w:rStyle w:val="14"/>
          <w:rFonts w:hint="default" w:ascii="Segoe UI" w:hAnsi="Segoe UI" w:eastAsia="Segoe UI" w:cs="Segoe UI"/>
          <w:bCs/>
          <w:i w:val="0"/>
          <w:iCs w:val="0"/>
          <w:caps w:val="0"/>
          <w:color w:val="0F1115"/>
          <w:spacing w:val="0"/>
          <w:kern w:val="0"/>
          <w:sz w:val="24"/>
          <w:szCs w:val="24"/>
          <w:shd w:val="clear" w:fill="FFFFFF"/>
          <w:lang w:val="en-US" w:eastAsia="zh-CN" w:bidi="ar"/>
        </w:rPr>
        <w:t>Appendix</w:t>
      </w:r>
    </w:p>
    <w:p w14:paraId="7B6FDF55">
      <w:pPr>
        <w:spacing w:line="480" w:lineRule="auto"/>
        <w:rPr>
          <w:rStyle w:val="14"/>
          <w:rFonts w:hint="eastAsia" w:ascii="Segoe UI" w:hAnsi="Segoe UI" w:eastAsia="Segoe UI" w:cs="Segoe UI"/>
          <w:bCs/>
          <w:i w:val="0"/>
          <w:iCs w:val="0"/>
          <w:caps w:val="0"/>
          <w:color w:val="0F1115"/>
          <w:spacing w:val="0"/>
          <w:kern w:val="0"/>
          <w:sz w:val="21"/>
          <w:szCs w:val="21"/>
          <w:shd w:val="clear" w:fill="FFFFFF"/>
          <w:lang w:val="en-US" w:eastAsia="zh-CN" w:bidi="ar"/>
        </w:rPr>
      </w:pPr>
      <w:r>
        <w:rPr>
          <w:rStyle w:val="14"/>
          <w:rFonts w:hint="eastAsia" w:ascii="Segoe UI" w:hAnsi="Segoe UI" w:eastAsia="Segoe UI" w:cs="Segoe UI"/>
          <w:bCs/>
          <w:i w:val="0"/>
          <w:iCs w:val="0"/>
          <w:caps w:val="0"/>
          <w:color w:val="0F1115"/>
          <w:spacing w:val="0"/>
          <w:kern w:val="0"/>
          <w:sz w:val="21"/>
          <w:szCs w:val="21"/>
          <w:shd w:val="clear" w:fill="FFFFFF"/>
          <w:lang w:val="en-US" w:eastAsia="zh-CN" w:bidi="ar"/>
        </w:rPr>
        <w:t>Prompt Template for Main Symptom Agent</w:t>
      </w:r>
    </w:p>
    <w:p w14:paraId="7056E86E">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Role:</w:t>
      </w:r>
    </w:p>
    <w:p w14:paraId="2A45C375">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You are an expert in the standardization of Traditional Chinese Medicine (TCM) clinical data. You are responsible for organizing descriptions related to a patient's symptoms into structured data in table format. Strictly follow the structure of the reference table, only extract information explicitly mentioned by the user, match it against the given options, and do not add any inferred content not stated. Output in JSON format without any explanatory text.</w:t>
      </w:r>
    </w:p>
    <w:p w14:paraId="589A55FE">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Core Instructions:</w:t>
      </w:r>
    </w:p>
    <w:p w14:paraId="43CCCC59">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Extract corresponding information from the user's input symptom description and output in the following JSON format. Only fill in information explicitly mentioned by the user; leave blank for unmentioned parts.</w:t>
      </w:r>
    </w:p>
    <w:p w14:paraId="3A9F86B7">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Data Processing Rules</w:t>
      </w:r>
    </w:p>
    <w:p w14:paraId="62A98F8A">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Chief Complaint Extraction</w:t>
      </w:r>
    </w:p>
    <w:p w14:paraId="175D84AF">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Identify and extract the main symptom from the user's description, then convert it into standard clinical terminology (e.g., "lumbar discomfort", "limited neck movement").</w:t>
      </w:r>
    </w:p>
    <w:p w14:paraId="263A0762">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Extract duration (e.g., "half a year", "3 months").</w:t>
      </w:r>
    </w:p>
    <w:p w14:paraId="09725484">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Extract aggravating time or conditions (e.g., "midnight", "after activity").</w:t>
      </w:r>
    </w:p>
    <w:p w14:paraId="6A7D3E52">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Symptom Classification &amp; Matching</w:t>
      </w:r>
    </w:p>
    <w:p w14:paraId="22C1CBC9">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Location Matching: Select the affected location from the options below based on the patient's information:</w:t>
      </w:r>
    </w:p>
    <w:p w14:paraId="7E7837A1">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neck, shoulder, scapula, elbow, wrist, finger, hypochondrium, back, lumbar, sacrum, hip, lower limb, knee, ankle, foot, toe, heel, upper limb</w:t>
      </w:r>
    </w:p>
    <w:p w14:paraId="30C5AB2D">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If the location is not in the options, set to no obvious location.</w:t>
      </w:r>
    </w:p>
    <w:p w14:paraId="7DE08B63">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Nature Matching: Select the symptom nature from the options below:</w:t>
      </w:r>
    </w:p>
    <w:p w14:paraId="22B2BA73">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pain, limited range of motion, numbness, heaviness, soreness, weakness, swelling, stiffness, morning stiffness, joint deformity, muscle atrophy</w:t>
      </w:r>
    </w:p>
    <w:p w14:paraId="742B8F4F">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Leave blank if unclear.</w:t>
      </w:r>
    </w:p>
    <w:p w14:paraId="017A272E">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Temporal Information Extraction</w:t>
      </w:r>
    </w:p>
    <w:p w14:paraId="6901087B">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Duration: Length of time the symptom has persisted.</w:t>
      </w:r>
    </w:p>
    <w:p w14:paraId="342550B6">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Aggravating Time: Time or condition when symptoms worsen.</w:t>
      </w:r>
    </w:p>
    <w:p w14:paraId="187A3AAB">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Special Field Processing</w:t>
      </w:r>
    </w:p>
    <w:p w14:paraId="1498D713">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Severity: Classify as severe, moderate, mild based on the input.</w:t>
      </w:r>
    </w:p>
    <w:p w14:paraId="33A958B1">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Tongue &amp; Pulse Manifestations: Extract relevant information from the description.</w:t>
      </w:r>
    </w:p>
    <w:p w14:paraId="1145C81D">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Etiology &amp; Examination</w:t>
      </w:r>
    </w:p>
    <w:p w14:paraId="73B9FD42">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Precipitating Factors: Extract possible triggering factors.</w:t>
      </w:r>
    </w:p>
    <w:p w14:paraId="69327F96">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Etiology: Identify possible causes.</w:t>
      </w:r>
    </w:p>
    <w:p w14:paraId="49DD67D6">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Western Medical Examination: Record if mentioned.</w:t>
      </w:r>
    </w:p>
    <w:p w14:paraId="4F31F748">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Null Value Rule:</w:t>
      </w:r>
    </w:p>
    <w:p w14:paraId="44008B89">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Set as empty string "" if not mentioned.</w:t>
      </w:r>
    </w:p>
    <w:p w14:paraId="4FB4DB5A">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JSON Reference Format</w:t>
      </w:r>
    </w:p>
    <w:p w14:paraId="4106B53C">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json</w:t>
      </w:r>
    </w:p>
    <w:p w14:paraId="2FC1CD50">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w:t>
      </w:r>
    </w:p>
    <w:p w14:paraId="5662D874">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"Chief Complaint": [</w:t>
      </w:r>
    </w:p>
    <w:p w14:paraId="5D877DFE">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w:t>
      </w:r>
    </w:p>
    <w:p w14:paraId="00CA5E07">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"Symptom or Sign": "",</w:t>
      </w:r>
    </w:p>
    <w:p w14:paraId="02270D12">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"Location": "",</w:t>
      </w:r>
    </w:p>
    <w:p w14:paraId="5E3F1512">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"Nature": "",</w:t>
      </w:r>
    </w:p>
    <w:p w14:paraId="722D3BE1">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"Duration": "",</w:t>
      </w:r>
    </w:p>
    <w:p w14:paraId="4DAB030E">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"Aggravating Time": ""</w:t>
      </w:r>
    </w:p>
    <w:p w14:paraId="5AF7ABA8">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w:t>
      </w:r>
    </w:p>
    <w:p w14:paraId="74EFD2B5">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w:t>
      </w:r>
    </w:p>
    <w:p w14:paraId="68AE09C0">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"Four Examinations Information": {</w:t>
      </w:r>
    </w:p>
    <w:p w14:paraId="2DEA637A">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"Pain": {</w:t>
      </w:r>
    </w:p>
    <w:p w14:paraId="411C84FF">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"Location": "",</w:t>
      </w:r>
    </w:p>
    <w:p w14:paraId="4B9643A1">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"Type": "",</w:t>
      </w:r>
    </w:p>
    <w:p w14:paraId="6ADEA30C">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"Duration": "",</w:t>
      </w:r>
    </w:p>
    <w:p w14:paraId="3C0940B0">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"Aggravating Time": "",</w:t>
      </w:r>
    </w:p>
    <w:p w14:paraId="4BAE37ED">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"Attack Characteristics": "",</w:t>
      </w:r>
    </w:p>
    <w:p w14:paraId="52F42AC7">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"Severity Score": ""</w:t>
      </w:r>
    </w:p>
    <w:p w14:paraId="6DED8926">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w:t>
      </w:r>
    </w:p>
    <w:p w14:paraId="5C238720">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"Limited Range of Motion": {</w:t>
      </w:r>
    </w:p>
    <w:p w14:paraId="60F108E1">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"Location": "",</w:t>
      </w:r>
    </w:p>
    <w:p w14:paraId="33C528B3">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"Duration": "",</w:t>
      </w:r>
    </w:p>
    <w:p w14:paraId="1A6D5DF9">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"Aggravating Time": "",</w:t>
      </w:r>
    </w:p>
    <w:p w14:paraId="318DDB68">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"Range of Motion": "",</w:t>
      </w:r>
    </w:p>
    <w:p w14:paraId="205042C6">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"Severity Score": ""</w:t>
      </w:r>
    </w:p>
    <w:p w14:paraId="485B90DF">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w:t>
      </w:r>
    </w:p>
    <w:p w14:paraId="748920E2">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"Numbness": {</w:t>
      </w:r>
    </w:p>
    <w:p w14:paraId="6BE406EA">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"Location": "",</w:t>
      </w:r>
    </w:p>
    <w:p w14:paraId="5E65BBE5">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"Duration": "",</w:t>
      </w:r>
    </w:p>
    <w:p w14:paraId="32880E75">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"Aggravating Time": "",</w:t>
      </w:r>
    </w:p>
    <w:p w14:paraId="67BA2A75">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"Severity Score": ""</w:t>
      </w:r>
    </w:p>
    <w:p w14:paraId="5B9A9C54">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w:t>
      </w:r>
    </w:p>
    <w:p w14:paraId="46895207">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"Heaviness": {</w:t>
      </w:r>
    </w:p>
    <w:p w14:paraId="5694E679">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"Location": "",</w:t>
      </w:r>
    </w:p>
    <w:p w14:paraId="1FF44F6D">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"Duration": "",</w:t>
      </w:r>
    </w:p>
    <w:p w14:paraId="35AF0BC1">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"Aggravating Time": "",</w:t>
      </w:r>
    </w:p>
    <w:p w14:paraId="7B4B0064">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"Severity Score": ""</w:t>
      </w:r>
    </w:p>
    <w:p w14:paraId="0FC8B190">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w:t>
      </w:r>
    </w:p>
    <w:p w14:paraId="45FC4830">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"Soreness": {</w:t>
      </w:r>
    </w:p>
    <w:p w14:paraId="553FFDAD">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"Location": "",</w:t>
      </w:r>
    </w:p>
    <w:p w14:paraId="7543AA99">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"Duration": "",</w:t>
      </w:r>
    </w:p>
    <w:p w14:paraId="3D0204C6">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"Aggravating Time": "",</w:t>
      </w:r>
    </w:p>
    <w:p w14:paraId="03638A9F">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"Severity Score": ""</w:t>
      </w:r>
    </w:p>
    <w:p w14:paraId="47824592">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w:t>
      </w:r>
    </w:p>
    <w:p w14:paraId="2D70C41B">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"Weakness": {</w:t>
      </w:r>
    </w:p>
    <w:p w14:paraId="21E57675">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"Location": "",</w:t>
      </w:r>
    </w:p>
    <w:p w14:paraId="5645C5FC">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"Duration": "",</w:t>
      </w:r>
    </w:p>
    <w:p w14:paraId="023E426D">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"Aggravating Time": "",</w:t>
      </w:r>
    </w:p>
    <w:p w14:paraId="7DBD033F">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"Severity Score": ""</w:t>
      </w:r>
    </w:p>
    <w:p w14:paraId="603D7237">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w:t>
      </w:r>
    </w:p>
    <w:p w14:paraId="5EA2B7FA">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"Swelling": {</w:t>
      </w:r>
    </w:p>
    <w:p w14:paraId="4462B259">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"Location": "",</w:t>
      </w:r>
    </w:p>
    <w:p w14:paraId="392FB0D6">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"Duration": "",</w:t>
      </w:r>
    </w:p>
    <w:p w14:paraId="6AD9A6D3">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"Aggravating Time": "",</w:t>
      </w:r>
    </w:p>
    <w:p w14:paraId="472CB683">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"Skin Texture": "",</w:t>
      </w:r>
    </w:p>
    <w:p w14:paraId="7A4A9FDF">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"Bony Landmarks": "",</w:t>
      </w:r>
    </w:p>
    <w:p w14:paraId="10DECD0B">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"Severity Score": ""</w:t>
      </w:r>
    </w:p>
    <w:p w14:paraId="44A2A5D1">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w:t>
      </w:r>
    </w:p>
    <w:p w14:paraId="40A71EDD">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"Stiffness": {</w:t>
      </w:r>
    </w:p>
    <w:p w14:paraId="754C3826">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"Location": "",</w:t>
      </w:r>
    </w:p>
    <w:p w14:paraId="0672AF1A">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"Duration": "",</w:t>
      </w:r>
    </w:p>
    <w:p w14:paraId="08985B31">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"Aggravating Time": "",</w:t>
      </w:r>
    </w:p>
    <w:p w14:paraId="3E98EA67">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"Activity Level": "",</w:t>
      </w:r>
    </w:p>
    <w:p w14:paraId="4E10764E">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"Severity Score": ""</w:t>
      </w:r>
    </w:p>
    <w:p w14:paraId="1926F109">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w:t>
      </w:r>
    </w:p>
    <w:p w14:paraId="0B7E05EB">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"Morning Stiffness": {</w:t>
      </w:r>
    </w:p>
    <w:p w14:paraId="212A51DF">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"Location": "",</w:t>
      </w:r>
    </w:p>
    <w:p w14:paraId="1DFCABDF">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"Duration": "",</w:t>
      </w:r>
    </w:p>
    <w:p w14:paraId="41DF8276">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"Aggravating Time": "",</w:t>
      </w:r>
    </w:p>
    <w:p w14:paraId="34D731B4">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"Onset Time": "",</w:t>
      </w:r>
    </w:p>
    <w:p w14:paraId="35444D06">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"Severity Score": ""</w:t>
      </w:r>
    </w:p>
    <w:p w14:paraId="64E4F762">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w:t>
      </w:r>
    </w:p>
    <w:p w14:paraId="1D12441B">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"Joint Deformity": {</w:t>
      </w:r>
    </w:p>
    <w:p w14:paraId="4F94225F">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"Location": "",</w:t>
      </w:r>
    </w:p>
    <w:p w14:paraId="51770E15">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"Duration": "",</w:t>
      </w:r>
    </w:p>
    <w:p w14:paraId="22E9C0D6">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"Aggravating Time": "",</w:t>
      </w:r>
    </w:p>
    <w:p w14:paraId="47696245">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"Deformity Degree": "",</w:t>
      </w:r>
    </w:p>
    <w:p w14:paraId="125019C2">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"Number of Locations": "",</w:t>
      </w:r>
    </w:p>
    <w:p w14:paraId="2B67F765">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"Severity Score": ""</w:t>
      </w:r>
    </w:p>
    <w:p w14:paraId="43B69ADD">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w:t>
      </w:r>
    </w:p>
    <w:p w14:paraId="645E4F48">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"Muscle Atrophy": {</w:t>
      </w:r>
    </w:p>
    <w:p w14:paraId="63510DD6">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"Location": "",</w:t>
      </w:r>
    </w:p>
    <w:p w14:paraId="58114112">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"Duration": "",</w:t>
      </w:r>
    </w:p>
    <w:p w14:paraId="4CF9318C">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"Aggravating Time": "",</w:t>
      </w:r>
    </w:p>
    <w:p w14:paraId="421CB5A2">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"Activity Level": "",</w:t>
      </w:r>
    </w:p>
    <w:p w14:paraId="057EBAE7">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"Severity Score": ""</w:t>
      </w:r>
    </w:p>
    <w:p w14:paraId="55AA49F1">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w:t>
      </w:r>
    </w:p>
    <w:p w14:paraId="320FCB13">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w:t>
      </w:r>
    </w:p>
    <w:p w14:paraId="58FC7DE6">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"Other Information": {</w:t>
      </w:r>
    </w:p>
    <w:p w14:paraId="208C4159">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"Associated Symptoms": "",</w:t>
      </w:r>
    </w:p>
    <w:p w14:paraId="487B1AC7">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"Mental State": "",</w:t>
      </w:r>
    </w:p>
    <w:p w14:paraId="3D2DE1F4">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"Tone &amp; Breath": "",</w:t>
      </w:r>
    </w:p>
    <w:p w14:paraId="0ED1864F">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"Body Constitution": "",</w:t>
      </w:r>
    </w:p>
    <w:p w14:paraId="0C4E898F">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"Tongue": {</w:t>
      </w:r>
    </w:p>
    <w:p w14:paraId="555EEF1B">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"Tongue Body": "",</w:t>
      </w:r>
    </w:p>
    <w:p w14:paraId="46D7DF98">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"Tongue Coating": ""</w:t>
      </w:r>
    </w:p>
    <w:p w14:paraId="27868188">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w:t>
      </w:r>
    </w:p>
    <w:p w14:paraId="7503D800">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"Sublingual Vessels": "",</w:t>
      </w:r>
    </w:p>
    <w:p w14:paraId="4C6D52D9">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"Pulse Manifestation": ""</w:t>
      </w:r>
    </w:p>
    <w:p w14:paraId="3E4B6699">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w:t>
      </w:r>
    </w:p>
    <w:p w14:paraId="30CC9DFD">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"Precipitating Factors": "",</w:t>
      </w:r>
    </w:p>
    <w:p w14:paraId="36892EAE">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"Etiology": "",</w:t>
      </w:r>
    </w:p>
    <w:p w14:paraId="3F552707">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"Western Medical Examination": ""</w:t>
      </w:r>
    </w:p>
    <w:p w14:paraId="154519CA">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w:t>
      </w:r>
    </w:p>
    <w:p w14:paraId="4DFD19EE">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Note: The Chief Complaint section is required. Under Four Examinations Information, only retain sections with actual content; do not list all subitems.</w:t>
      </w:r>
    </w:p>
    <w:p w14:paraId="43AAF0BD">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Example Processing</w:t>
      </w:r>
    </w:p>
    <w:p w14:paraId="7DE298FE">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Input:</w:t>
      </w:r>
    </w:p>
    <w:p w14:paraId="38C19438">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"I feel considerable discomfort in my lower back, presenting as a stabbing pain that often worsens at midnight. This has persisted for about half a year, and my condition is aggravated by exposure to cold."</w:t>
      </w:r>
    </w:p>
    <w:p w14:paraId="2DE58264">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Output:</w:t>
      </w:r>
    </w:p>
    <w:p w14:paraId="0139D753">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json</w:t>
      </w:r>
    </w:p>
    <w:p w14:paraId="129DFC11">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w:t>
      </w:r>
    </w:p>
    <w:p w14:paraId="5299952C">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"Chief Complaint": [</w:t>
      </w:r>
    </w:p>
    <w:p w14:paraId="47B48870">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w:t>
      </w:r>
    </w:p>
    <w:p w14:paraId="411142AA">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"Symptom or Sign": "Lumbar discomfort",</w:t>
      </w:r>
    </w:p>
    <w:p w14:paraId="4F08FA1C">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"Location": "Lumbar",</w:t>
      </w:r>
    </w:p>
    <w:p w14:paraId="57583800">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"Nature": "Pain",</w:t>
      </w:r>
    </w:p>
    <w:p w14:paraId="56F12091">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"Duration": "Half a year",</w:t>
      </w:r>
    </w:p>
    <w:p w14:paraId="3FB548A9">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"Aggravating Time": "Midnight, after exposure to cold"</w:t>
      </w:r>
    </w:p>
    <w:p w14:paraId="13760DCF">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w:t>
      </w:r>
    </w:p>
    <w:p w14:paraId="554F2CA0">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w:t>
      </w:r>
    </w:p>
    <w:p w14:paraId="1184F032">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"Four Examinations Information": {</w:t>
      </w:r>
    </w:p>
    <w:p w14:paraId="3A85C7CB">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"Pain": {</w:t>
      </w:r>
    </w:p>
    <w:p w14:paraId="08F76447">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"Location": "Lumbar",</w:t>
      </w:r>
    </w:p>
    <w:p w14:paraId="3E443C20">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"Type": "Stabbing pain",</w:t>
      </w:r>
    </w:p>
    <w:p w14:paraId="47BBA863">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"Duration": "Half a year",</w:t>
      </w:r>
    </w:p>
    <w:p w14:paraId="55104A50">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"Aggravating Time": "Midnight",</w:t>
      </w:r>
    </w:p>
    <w:p w14:paraId="1A46F4D6">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"Attack Characteristics": "Intermittent",</w:t>
      </w:r>
    </w:p>
    <w:p w14:paraId="4FF4152D">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"Severity": "Severe"</w:t>
      </w:r>
    </w:p>
    <w:p w14:paraId="5CB21752">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w:t>
      </w:r>
    </w:p>
    <w:p w14:paraId="348FC672">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w:t>
      </w:r>
    </w:p>
    <w:p w14:paraId="3A44608C">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"Precipitating Factors": "Exposure to cold",</w:t>
      </w:r>
    </w:p>
    <w:p w14:paraId="07C1D724">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  "Etiology": "Exposure to wind and cold"</w:t>
      </w:r>
    </w:p>
    <w:p w14:paraId="266B636A">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w:t>
      </w:r>
    </w:p>
    <w:p w14:paraId="23784700">
      <w:pPr>
        <w:spacing w:line="480" w:lineRule="auto"/>
        <w:rPr>
          <w:rFonts w:hint="eastAsia" w:ascii="宋体" w:hAnsi="宋体" w:eastAsia="宋体" w:cs="宋体"/>
          <w:sz w:val="24"/>
          <w:szCs w:val="24"/>
          <w:lang w:val="en-US" w:eastAsia="zh-CN"/>
        </w:rPr>
      </w:pPr>
    </w:p>
    <w:p w14:paraId="07D2297E">
      <w:pPr>
        <w:spacing w:line="480" w:lineRule="auto"/>
        <w:rPr>
          <w:rStyle w:val="14"/>
          <w:rFonts w:hint="eastAsia" w:ascii="Segoe UI" w:hAnsi="Segoe UI" w:eastAsia="Segoe UI" w:cs="Segoe UI"/>
          <w:bCs/>
          <w:i w:val="0"/>
          <w:iCs w:val="0"/>
          <w:caps w:val="0"/>
          <w:color w:val="0F1115"/>
          <w:spacing w:val="0"/>
          <w:kern w:val="0"/>
          <w:sz w:val="21"/>
          <w:szCs w:val="21"/>
          <w:shd w:val="clear" w:fill="FFFFFF"/>
          <w:lang w:val="en-US" w:eastAsia="zh-CN" w:bidi="ar"/>
        </w:rPr>
      </w:pPr>
      <w:r>
        <w:rPr>
          <w:rStyle w:val="14"/>
          <w:rFonts w:hint="eastAsia" w:ascii="Segoe UI" w:hAnsi="Segoe UI" w:eastAsia="Segoe UI" w:cs="Segoe UI"/>
          <w:bCs/>
          <w:i w:val="0"/>
          <w:iCs w:val="0"/>
          <w:caps w:val="0"/>
          <w:color w:val="0F1115"/>
          <w:spacing w:val="0"/>
          <w:kern w:val="0"/>
          <w:sz w:val="21"/>
          <w:szCs w:val="21"/>
          <w:shd w:val="clear" w:fill="FFFFFF"/>
          <w:lang w:val="en-US" w:eastAsia="zh-CN" w:bidi="ar"/>
        </w:rPr>
        <w:t>Example of Model Status Update and Information Flow</w:t>
      </w:r>
    </w:p>
    <w:p w14:paraId="0FAE062A">
      <w:pPr>
        <w:spacing w:line="48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object>
          <v:shape id="_x0000_i1025" o:spt="75" type="#_x0000_t75" style="height:828.05pt;width:140.8pt;" o:ole="t" filled="f" o:preferrelative="t" stroked="f" coordsize="21600,21600">
            <v:path/>
            <v:fill on="f" focussize="0,0"/>
            <v:stroke on="f"/>
            <v:imagedata r:id="rId11" o:title=""/>
            <o:lock v:ext="edit" aspectratio="f"/>
            <w10:wrap type="none"/>
            <w10:anchorlock/>
          </v:shape>
          <o:OLEObject Type="Embed" ProgID="Visio.Drawing.15" ShapeID="_x0000_i1025" DrawAspect="Content" ObjectID="_1468075726" r:id="rId10">
            <o:LockedField>false</o:LockedField>
          </o:OLEObject>
        </w:object>
      </w:r>
    </w:p>
    <w:p w14:paraId="371B6857">
      <w:pPr>
        <w:spacing w:line="480" w:lineRule="auto"/>
        <w:rPr>
          <w:rStyle w:val="14"/>
          <w:rFonts w:hint="eastAsia" w:ascii="Segoe UI" w:hAnsi="Segoe UI" w:eastAsia="Segoe UI" w:cs="Segoe UI"/>
          <w:bCs/>
          <w:i w:val="0"/>
          <w:iCs w:val="0"/>
          <w:caps w:val="0"/>
          <w:color w:val="0F1115"/>
          <w:spacing w:val="0"/>
          <w:kern w:val="0"/>
          <w:sz w:val="21"/>
          <w:szCs w:val="21"/>
          <w:shd w:val="clear" w:fill="FFFFFF"/>
          <w:lang w:val="en-US" w:eastAsia="zh-CN" w:bidi="ar"/>
        </w:rPr>
      </w:pPr>
      <w:r>
        <w:rPr>
          <w:rStyle w:val="14"/>
          <w:rFonts w:hint="eastAsia" w:ascii="Segoe UI" w:hAnsi="Segoe UI" w:eastAsia="Segoe UI" w:cs="Segoe UI"/>
          <w:bCs/>
          <w:i w:val="0"/>
          <w:iCs w:val="0"/>
          <w:caps w:val="0"/>
          <w:color w:val="0F1115"/>
          <w:spacing w:val="0"/>
          <w:kern w:val="0"/>
          <w:sz w:val="21"/>
          <w:szCs w:val="21"/>
          <w:shd w:val="clear" w:fill="FFFFFF"/>
          <w:lang w:val="en-US" w:eastAsia="zh-CN" w:bidi="ar"/>
        </w:rPr>
        <w:t>Qualitative Assessment Questionnaire Scoring Rubric</w:t>
      </w:r>
    </w:p>
    <w:p w14:paraId="6862D1A9">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1. Reproducibility of the Syndrome Differentiation and Treatment Process</w:t>
      </w:r>
    </w:p>
    <w:p w14:paraId="61149CBF">
      <w:pPr>
        <w:keepNext w:val="0"/>
        <w:keepLines w:val="0"/>
        <w:widowControl/>
        <w:numPr>
          <w:ilvl w:val="0"/>
          <w:numId w:val="8"/>
        </w:numPr>
        <w:suppressLineNumbers w:val="0"/>
        <w:spacing w:line="480" w:lineRule="auto"/>
        <w:ind w:left="420" w:leftChars="0" w:hanging="420" w:firstLineChars="0"/>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5 points: Complete and accurate reproduction of the entire chain, closed-loop decision-making logic, comprehensive analysis with clear hierarchy.</w:t>
      </w:r>
    </w:p>
    <w:p w14:paraId="3E17228E">
      <w:pPr>
        <w:keepNext w:val="0"/>
        <w:keepLines w:val="0"/>
        <w:widowControl/>
        <w:numPr>
          <w:ilvl w:val="0"/>
          <w:numId w:val="8"/>
        </w:numPr>
        <w:suppressLineNumbers w:val="0"/>
        <w:spacing w:line="480" w:lineRule="auto"/>
        <w:ind w:left="420" w:leftChars="0" w:hanging="420" w:firstLineChars="0"/>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4 points: Basic reproduction of the entire chain, no missing key links, explicit comprehensive decision-making process.</w:t>
      </w:r>
    </w:p>
    <w:p w14:paraId="3C60E108">
      <w:pPr>
        <w:keepNext w:val="0"/>
        <w:keepLines w:val="0"/>
        <w:widowControl/>
        <w:numPr>
          <w:ilvl w:val="0"/>
          <w:numId w:val="8"/>
        </w:numPr>
        <w:suppressLineNumbers w:val="0"/>
        <w:spacing w:line="480" w:lineRule="auto"/>
        <w:ind w:left="420" w:leftChars="0" w:hanging="420" w:firstLineChars="0"/>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3 points: Partial reproduction of the diagnostic and treatment chain, basically complete logic.</w:t>
      </w:r>
    </w:p>
    <w:p w14:paraId="4FCD2B87">
      <w:pPr>
        <w:keepNext w:val="0"/>
        <w:keepLines w:val="0"/>
        <w:widowControl/>
        <w:numPr>
          <w:ilvl w:val="0"/>
          <w:numId w:val="8"/>
        </w:numPr>
        <w:suppressLineNumbers w:val="0"/>
        <w:spacing w:line="480" w:lineRule="auto"/>
        <w:ind w:left="420" w:leftChars="0" w:hanging="420" w:firstLineChars="0"/>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2 points: Only a few links reproduced, core diagnostic chain broken, no comprehensive decision-making process.</w:t>
      </w:r>
    </w:p>
    <w:p w14:paraId="30686078">
      <w:pPr>
        <w:keepNext w:val="0"/>
        <w:keepLines w:val="0"/>
        <w:widowControl/>
        <w:numPr>
          <w:ilvl w:val="0"/>
          <w:numId w:val="8"/>
        </w:numPr>
        <w:suppressLineNumbers w:val="0"/>
        <w:spacing w:line="480" w:lineRule="auto"/>
        <w:ind w:left="420" w:leftChars="0" w:hanging="420" w:firstLineChars="0"/>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1 point: No reproduction of the diagnostic and treatment chain at all, no pattern differentiation, no pathogenesis analysis, no connection to prescription.</w:t>
      </w:r>
    </w:p>
    <w:p w14:paraId="497843AB">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2. Logical Clarity</w:t>
      </w:r>
    </w:p>
    <w:p w14:paraId="2A66171C">
      <w:pPr>
        <w:keepNext w:val="0"/>
        <w:keepLines w:val="0"/>
        <w:widowControl/>
        <w:numPr>
          <w:ilvl w:val="0"/>
          <w:numId w:val="9"/>
        </w:numPr>
        <w:suppressLineNumbers w:val="0"/>
        <w:spacing w:line="480" w:lineRule="auto"/>
        <w:ind w:left="420" w:leftChars="0" w:hanging="420" w:firstLineChars="0"/>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5 points: Extremely clear logic, well-structured, coherent and easy to understand, enables quick grasp of the complete reasoning process.</w:t>
      </w:r>
    </w:p>
    <w:p w14:paraId="199528AC">
      <w:pPr>
        <w:keepNext w:val="0"/>
        <w:keepLines w:val="0"/>
        <w:widowControl/>
        <w:numPr>
          <w:ilvl w:val="0"/>
          <w:numId w:val="9"/>
        </w:numPr>
        <w:suppressLineNumbers w:val="0"/>
        <w:spacing w:line="480" w:lineRule="auto"/>
        <w:ind w:left="420" w:leftChars="0" w:hanging="420" w:firstLineChars="0"/>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4 points: Clear logic, smooth and unambiguous, easy to understand the decision-making process.</w:t>
      </w:r>
    </w:p>
    <w:p w14:paraId="3BBBAB77">
      <w:pPr>
        <w:keepNext w:val="0"/>
        <w:keepLines w:val="0"/>
        <w:widowControl/>
        <w:numPr>
          <w:ilvl w:val="0"/>
          <w:numId w:val="9"/>
        </w:numPr>
        <w:suppressLineNumbers w:val="0"/>
        <w:spacing w:line="480" w:lineRule="auto"/>
        <w:ind w:left="420" w:leftChars="0" w:hanging="420" w:firstLineChars="0"/>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3 points: Basically clear logic with minor flaws that do not affect overall understanding.</w:t>
      </w:r>
    </w:p>
    <w:p w14:paraId="7BE54845">
      <w:pPr>
        <w:keepNext w:val="0"/>
        <w:keepLines w:val="0"/>
        <w:widowControl/>
        <w:numPr>
          <w:ilvl w:val="0"/>
          <w:numId w:val="9"/>
        </w:numPr>
        <w:suppressLineNumbers w:val="0"/>
        <w:spacing w:line="480" w:lineRule="auto"/>
        <w:ind w:left="420" w:leftChars="0" w:hanging="420" w:firstLineChars="0"/>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2 points: Vague logic, poor coherence, difficult to fully understand the decision-making rationale.</w:t>
      </w:r>
    </w:p>
    <w:p w14:paraId="7CF844DF">
      <w:pPr>
        <w:keepNext w:val="0"/>
        <w:keepLines w:val="0"/>
        <w:widowControl/>
        <w:numPr>
          <w:ilvl w:val="0"/>
          <w:numId w:val="9"/>
        </w:numPr>
        <w:suppressLineNumbers w:val="0"/>
        <w:spacing w:line="480" w:lineRule="auto"/>
        <w:ind w:left="420" w:leftChars="0" w:hanging="420" w:firstLineChars="0"/>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1 point: Chaotic logic, contradictory, completely impossible to understand the thought process.</w:t>
      </w:r>
    </w:p>
    <w:p w14:paraId="11CAE8BA">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p>
    <w:p w14:paraId="4B7871E1">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3. Learning Acceptability</w:t>
      </w:r>
    </w:p>
    <w:p w14:paraId="6080FA97">
      <w:pPr>
        <w:keepNext w:val="0"/>
        <w:keepLines w:val="0"/>
        <w:widowControl/>
        <w:numPr>
          <w:ilvl w:val="0"/>
          <w:numId w:val="10"/>
        </w:numPr>
        <w:suppressLineNumbers w:val="0"/>
        <w:spacing w:line="480" w:lineRule="auto"/>
        <w:ind w:left="420" w:leftChars="0" w:hanging="420" w:firstLineChars="0"/>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5 points: Material is extremely easy to understand, significantly helps learners master the syndrome differentiation and treatment thinking of renowned TCM masters, extremely high teaching value.</w:t>
      </w:r>
    </w:p>
    <w:p w14:paraId="330E8088">
      <w:pPr>
        <w:keepNext w:val="0"/>
        <w:keepLines w:val="0"/>
        <w:widowControl/>
        <w:numPr>
          <w:ilvl w:val="0"/>
          <w:numId w:val="10"/>
        </w:numPr>
        <w:suppressLineNumbers w:val="0"/>
        <w:spacing w:line="480" w:lineRule="auto"/>
        <w:ind w:left="420" w:leftChars="0" w:hanging="420" w:firstLineChars="0"/>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4 points: Material is easy to understand, effectively helps learners master syndrome differentiation and treatment thinking, good teaching value.</w:t>
      </w:r>
    </w:p>
    <w:p w14:paraId="0A382837">
      <w:pPr>
        <w:keepNext w:val="0"/>
        <w:keepLines w:val="0"/>
        <w:widowControl/>
        <w:numPr>
          <w:ilvl w:val="0"/>
          <w:numId w:val="10"/>
        </w:numPr>
        <w:suppressLineNumbers w:val="0"/>
        <w:spacing w:line="480" w:lineRule="auto"/>
        <w:ind w:left="420" w:leftChars="0" w:hanging="420" w:firstLineChars="0"/>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3 points: Material is basically understandable, provides some help in learning syndrome differentiation and treatment thinking, but some parts require further explanation.</w:t>
      </w:r>
    </w:p>
    <w:p w14:paraId="710A4FE8">
      <w:pPr>
        <w:keepNext w:val="0"/>
        <w:keepLines w:val="0"/>
        <w:widowControl/>
        <w:numPr>
          <w:ilvl w:val="0"/>
          <w:numId w:val="10"/>
        </w:numPr>
        <w:suppressLineNumbers w:val="0"/>
        <w:spacing w:line="480" w:lineRule="auto"/>
        <w:ind w:left="420" w:leftChars="0" w:hanging="420" w:firstLineChars="0"/>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2 points: Material is difficult to understand, offers limited help in learning syndrome differentiation and treatment thinking, with many points of confusion.</w:t>
      </w:r>
    </w:p>
    <w:p w14:paraId="598BE34D">
      <w:pPr>
        <w:keepNext w:val="0"/>
        <w:keepLines w:val="0"/>
        <w:widowControl/>
        <w:numPr>
          <w:ilvl w:val="0"/>
          <w:numId w:val="10"/>
        </w:numPr>
        <w:suppressLineNumbers w:val="0"/>
        <w:spacing w:line="480" w:lineRule="auto"/>
        <w:ind w:left="420" w:leftChars="0" w:hanging="420" w:firstLineChars="0"/>
        <w:jc w:val="left"/>
        <w:rPr>
          <w:rFonts w:hint="eastAsia" w:ascii="宋体" w:hAnsi="宋体" w:eastAsia="宋体" w:cs="宋体"/>
          <w:sz w:val="24"/>
          <w:szCs w:val="24"/>
          <w:lang w:val="en-US" w:eastAsia="zh-CN"/>
        </w:rPr>
      </w:pPr>
      <w:r>
        <w:rPr>
          <w:rFonts w:hint="eastAsia" w:ascii="Times New Roman" w:hAnsi="Times New Roman" w:eastAsia="宋体" w:cs="Times New Roman"/>
          <w:color w:val="000000"/>
          <w:kern w:val="0"/>
          <w:sz w:val="24"/>
          <w:szCs w:val="24"/>
          <w:lang w:val="en-US" w:eastAsia="zh-CN" w:bidi="ar"/>
        </w:rPr>
        <w:t>1 point: Material is completely incomprehensible, does not help learners master syndrome differentiation and treatment thinking, and may even cause misunderstanding.</w:t>
      </w:r>
    </w:p>
    <w:p w14:paraId="156D239F">
      <w:pPr>
        <w:keepNext w:val="0"/>
        <w:keepLines w:val="0"/>
        <w:widowControl/>
        <w:suppressLineNumbers w:val="0"/>
        <w:spacing w:line="480" w:lineRule="auto"/>
        <w:jc w:val="left"/>
        <w:rPr>
          <w:rFonts w:hint="default" w:ascii="Times New Roman" w:hAnsi="Times New Roman" w:eastAsia="宋体" w:cs="Times New Roman"/>
          <w:color w:val="000000"/>
          <w:kern w:val="0"/>
          <w:sz w:val="24"/>
          <w:szCs w:val="24"/>
          <w:lang w:val="en-US" w:eastAsia="zh-CN" w:bidi="ar"/>
        </w:rPr>
      </w:pPr>
      <w:r>
        <w:rPr>
          <w:rStyle w:val="14"/>
          <w:rFonts w:hint="default" w:ascii="Segoe UI" w:hAnsi="Segoe UI" w:eastAsia="Segoe UI" w:cs="Segoe UI"/>
          <w:bCs/>
          <w:i w:val="0"/>
          <w:iCs w:val="0"/>
          <w:caps w:val="0"/>
          <w:color w:val="0F1115"/>
          <w:spacing w:val="0"/>
          <w:kern w:val="0"/>
          <w:sz w:val="24"/>
          <w:szCs w:val="24"/>
          <w:shd w:val="clear" w:fill="FFFFFF"/>
          <w:lang w:val="en-US" w:eastAsia="zh-CN" w:bidi="ar"/>
        </w:rPr>
        <w:t xml:space="preserve">Abbreviations </w:t>
      </w:r>
    </w:p>
    <w:p w14:paraId="3875F9C8">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MAC-TCMRx   Multi-Agent Collaboration-Driven Traditional Chinese Medicine Prescription Recommendation Model</w:t>
      </w:r>
    </w:p>
    <w:p w14:paraId="6256F2AD">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LLM   large language model</w:t>
      </w:r>
    </w:p>
    <w:p w14:paraId="18BAE098">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AI     Artificial intelligence</w:t>
      </w:r>
    </w:p>
    <w:p w14:paraId="1B3C1F39">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TCM   Traditional Chinese medicine</w:t>
      </w:r>
    </w:p>
    <w:p w14:paraId="788F8B34">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RAG   Retrieval-augmented generation</w:t>
      </w:r>
    </w:p>
    <w:p w14:paraId="0A5A0197">
      <w:pPr>
        <w:keepNext w:val="0"/>
        <w:keepLines w:val="0"/>
        <w:widowControl/>
        <w:suppressLineNumbers w:val="0"/>
        <w:spacing w:line="480" w:lineRule="auto"/>
        <w:jc w:val="left"/>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MSA   Main Symptom Agent </w:t>
      </w:r>
    </w:p>
    <w:p w14:paraId="2174F8BF">
      <w:pPr>
        <w:keepNext w:val="0"/>
        <w:keepLines w:val="0"/>
        <w:widowControl/>
        <w:suppressLineNumbers w:val="0"/>
        <w:spacing w:line="480" w:lineRule="auto"/>
        <w:jc w:val="left"/>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MDA   Multi-dimensional Diagnosis Agent</w:t>
      </w:r>
    </w:p>
    <w:p w14:paraId="7C6EBE3B">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IPA    Integrated Prescription Agent</w:t>
      </w:r>
    </w:p>
    <w:p w14:paraId="345D0500">
      <w:pPr>
        <w:keepNext w:val="0"/>
        <w:keepLines w:val="0"/>
        <w:widowControl/>
        <w:suppressLineNumbers w:val="0"/>
        <w:spacing w:line="480" w:lineRule="auto"/>
        <w:jc w:val="left"/>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VTA   Visualization &amp; Tracing Agent</w:t>
      </w:r>
    </w:p>
    <w:p w14:paraId="5CFADD07">
      <w:pPr>
        <w:spacing w:line="480" w:lineRule="auto"/>
        <w:rPr>
          <w:rStyle w:val="14"/>
          <w:rFonts w:hint="default" w:ascii="Segoe UI" w:hAnsi="Segoe UI" w:eastAsia="Segoe UI" w:cs="Segoe UI"/>
          <w:bCs/>
          <w:i w:val="0"/>
          <w:iCs w:val="0"/>
          <w:caps w:val="0"/>
          <w:color w:val="0F1115"/>
          <w:spacing w:val="0"/>
          <w:kern w:val="0"/>
          <w:sz w:val="24"/>
          <w:szCs w:val="24"/>
          <w:shd w:val="clear" w:fill="FFFFFF"/>
          <w:lang w:val="en-US" w:eastAsia="zh-CN" w:bidi="ar"/>
        </w:rPr>
      </w:pPr>
      <w:r>
        <w:rPr>
          <w:rStyle w:val="14"/>
          <w:rFonts w:hint="default" w:ascii="Segoe UI" w:hAnsi="Segoe UI" w:eastAsia="Segoe UI" w:cs="Segoe UI"/>
          <w:bCs/>
          <w:i w:val="0"/>
          <w:iCs w:val="0"/>
          <w:caps w:val="0"/>
          <w:color w:val="0F1115"/>
          <w:spacing w:val="0"/>
          <w:kern w:val="0"/>
          <w:sz w:val="24"/>
          <w:szCs w:val="24"/>
          <w:shd w:val="clear" w:fill="FFFFFF"/>
          <w:lang w:val="en-US" w:eastAsia="zh-CN" w:bidi="ar"/>
        </w:rPr>
        <w:t xml:space="preserve">Acknowledgements </w:t>
      </w:r>
    </w:p>
    <w:p w14:paraId="5E23B968">
      <w:pPr>
        <w:keepNext w:val="0"/>
        <w:keepLines w:val="0"/>
        <w:widowControl/>
        <w:suppressLineNumbers w:val="0"/>
        <w:spacing w:line="480" w:lineRule="auto"/>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Not applicable Author contributions</w:t>
      </w:r>
    </w:p>
    <w:p w14:paraId="1B99AAAF">
      <w:pPr>
        <w:spacing w:line="480" w:lineRule="auto"/>
        <w:rPr>
          <w:rStyle w:val="14"/>
          <w:rFonts w:hint="default" w:ascii="Segoe UI" w:hAnsi="Segoe UI" w:eastAsia="Segoe UI" w:cs="Segoe UI"/>
          <w:bCs/>
          <w:i w:val="0"/>
          <w:iCs w:val="0"/>
          <w:caps w:val="0"/>
          <w:color w:val="0F1115"/>
          <w:spacing w:val="0"/>
          <w:kern w:val="0"/>
          <w:sz w:val="24"/>
          <w:szCs w:val="24"/>
          <w:shd w:val="clear" w:fill="FFFFFF"/>
          <w:lang w:val="en-US" w:eastAsia="zh-CN" w:bidi="ar"/>
        </w:rPr>
      </w:pPr>
      <w:r>
        <w:rPr>
          <w:rStyle w:val="14"/>
          <w:rFonts w:hint="default" w:ascii="Segoe UI" w:hAnsi="Segoe UI" w:eastAsia="Segoe UI" w:cs="Segoe UI"/>
          <w:bCs/>
          <w:i w:val="0"/>
          <w:iCs w:val="0"/>
          <w:caps w:val="0"/>
          <w:color w:val="0F1115"/>
          <w:spacing w:val="0"/>
          <w:kern w:val="0"/>
          <w:sz w:val="24"/>
          <w:szCs w:val="24"/>
          <w:shd w:val="clear" w:fill="FFFFFF"/>
          <w:lang w:val="en-US" w:eastAsia="zh-CN" w:bidi="ar"/>
        </w:rPr>
        <w:t>Author contributions</w:t>
      </w:r>
    </w:p>
    <w:p w14:paraId="580FCEAD">
      <w:pPr>
        <w:keepNext w:val="0"/>
        <w:keepLines w:val="0"/>
        <w:widowControl/>
        <w:suppressLineNumbers w:val="0"/>
        <w:spacing w:line="480" w:lineRule="auto"/>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Tian Shaolei: Data curation; Data analysis; methodology; writing</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original draft. </w:t>
      </w:r>
    </w:p>
    <w:p w14:paraId="222900D7">
      <w:pPr>
        <w:keepNext w:val="0"/>
        <w:keepLines w:val="0"/>
        <w:widowControl/>
        <w:suppressLineNumbers w:val="0"/>
        <w:spacing w:line="480" w:lineRule="auto"/>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Wang Ying: Data curation; Data analysis; methodology; validation.</w:t>
      </w:r>
    </w:p>
    <w:p w14:paraId="734F12D7">
      <w:pPr>
        <w:keepNext w:val="0"/>
        <w:keepLines w:val="0"/>
        <w:widowControl/>
        <w:suppressLineNumbers w:val="0"/>
        <w:spacing w:line="480" w:lineRule="auto"/>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Wang Qingying: Data curation; software.</w:t>
      </w:r>
    </w:p>
    <w:p w14:paraId="2C7E433D">
      <w:pPr>
        <w:keepNext w:val="0"/>
        <w:keepLines w:val="0"/>
        <w:widowControl/>
        <w:suppressLineNumbers w:val="0"/>
        <w:spacing w:line="480" w:lineRule="auto"/>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Wu Zhongchao: Resources; validation.</w:t>
      </w:r>
    </w:p>
    <w:p w14:paraId="14080AFC">
      <w:pPr>
        <w:keepNext w:val="0"/>
        <w:keepLines w:val="0"/>
        <w:widowControl/>
        <w:suppressLineNumbers w:val="0"/>
        <w:spacing w:line="480" w:lineRule="auto"/>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Zheng Jinge: Methodology; formal analysis; software.</w:t>
      </w:r>
    </w:p>
    <w:p w14:paraId="31B628B2">
      <w:pPr>
        <w:keepNext w:val="0"/>
        <w:keepLines w:val="0"/>
        <w:widowControl/>
        <w:suppressLineNumbers w:val="0"/>
        <w:spacing w:line="480" w:lineRule="auto"/>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Yu Qi:</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supervision.</w:t>
      </w:r>
    </w:p>
    <w:p w14:paraId="65203631">
      <w:pPr>
        <w:keepNext w:val="0"/>
        <w:keepLines w:val="0"/>
        <w:widowControl/>
        <w:suppressLineNumbers w:val="0"/>
        <w:spacing w:line="480" w:lineRule="auto"/>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Wang Yinghui: Software; methodology.</w:t>
      </w:r>
    </w:p>
    <w:p w14:paraId="02E433BF">
      <w:pPr>
        <w:keepNext w:val="0"/>
        <w:keepLines w:val="0"/>
        <w:widowControl/>
        <w:suppressLineNumbers w:val="0"/>
        <w:spacing w:line="480" w:lineRule="auto"/>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Li Jinghua: supervision; Funding acquisition; .</w:t>
      </w:r>
    </w:p>
    <w:p w14:paraId="3FE88891">
      <w:pPr>
        <w:keepNext w:val="0"/>
        <w:keepLines w:val="0"/>
        <w:widowControl/>
        <w:suppressLineNumbers w:val="0"/>
        <w:spacing w:line="480" w:lineRule="auto"/>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Zhou Yu: supervision; resources; Funding acquisition; Funding acquisition; </w:t>
      </w:r>
      <w:r>
        <w:rPr>
          <w:rFonts w:hint="eastAsia" w:ascii="Times New Roman" w:hAnsi="Times New Roman" w:eastAsia="宋体" w:cs="Times New Roman"/>
          <w:color w:val="000000"/>
          <w:kern w:val="0"/>
          <w:sz w:val="24"/>
          <w:szCs w:val="24"/>
          <w:lang w:val="en-US" w:eastAsia="zh-CN" w:bidi="ar"/>
        </w:rPr>
        <w:t>P</w:t>
      </w:r>
      <w:r>
        <w:rPr>
          <w:rFonts w:hint="default" w:ascii="Times New Roman" w:hAnsi="Times New Roman" w:eastAsia="宋体" w:cs="Times New Roman"/>
          <w:color w:val="000000"/>
          <w:kern w:val="0"/>
          <w:sz w:val="24"/>
          <w:szCs w:val="24"/>
          <w:lang w:val="en-US" w:eastAsia="zh-CN" w:bidi="ar"/>
        </w:rPr>
        <w:t>roject administration.</w:t>
      </w:r>
    </w:p>
    <w:p w14:paraId="0BEF2857">
      <w:pPr>
        <w:keepNext w:val="0"/>
        <w:keepLines w:val="0"/>
        <w:widowControl/>
        <w:suppressLineNumbers w:val="0"/>
        <w:spacing w:line="480" w:lineRule="auto"/>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Zhang Dezheng: Funding acquisition; resources; supervision; writing</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review and editing; </w:t>
      </w:r>
      <w:r>
        <w:rPr>
          <w:rFonts w:hint="eastAsia" w:ascii="Times New Roman" w:hAnsi="Times New Roman" w:eastAsia="宋体" w:cs="Times New Roman"/>
          <w:color w:val="000000"/>
          <w:kern w:val="0"/>
          <w:sz w:val="24"/>
          <w:szCs w:val="24"/>
          <w:lang w:val="en-US" w:eastAsia="zh-CN" w:bidi="ar"/>
        </w:rPr>
        <w:t>P</w:t>
      </w:r>
      <w:r>
        <w:rPr>
          <w:rFonts w:hint="default" w:ascii="Times New Roman" w:hAnsi="Times New Roman" w:eastAsia="宋体" w:cs="Times New Roman"/>
          <w:color w:val="000000"/>
          <w:kern w:val="0"/>
          <w:sz w:val="24"/>
          <w:szCs w:val="24"/>
          <w:lang w:val="en-US" w:eastAsia="zh-CN" w:bidi="ar"/>
        </w:rPr>
        <w:t>roject administration.</w:t>
      </w:r>
    </w:p>
    <w:p w14:paraId="18862D19">
      <w:pPr>
        <w:keepNext w:val="0"/>
        <w:keepLines w:val="0"/>
        <w:widowControl/>
        <w:suppressLineNumbers w:val="0"/>
        <w:spacing w:line="480" w:lineRule="auto"/>
        <w:jc w:val="left"/>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C</w:t>
      </w:r>
      <w:r>
        <w:rPr>
          <w:rFonts w:hint="default" w:ascii="Times New Roman" w:hAnsi="Times New Roman" w:eastAsia="宋体" w:cs="Times New Roman"/>
          <w:color w:val="000000"/>
          <w:kern w:val="0"/>
          <w:sz w:val="24"/>
          <w:szCs w:val="24"/>
          <w:lang w:val="en-US" w:eastAsia="zh-CN" w:bidi="ar"/>
        </w:rPr>
        <w:t>o-first authors</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Tian Shaolei</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Wang Ying</w:t>
      </w:r>
      <w:r>
        <w:rPr>
          <w:rFonts w:hint="eastAsia" w:ascii="Times New Roman" w:hAnsi="Times New Roman" w:eastAsia="宋体" w:cs="Times New Roman"/>
          <w:color w:val="000000"/>
          <w:kern w:val="0"/>
          <w:sz w:val="24"/>
          <w:szCs w:val="24"/>
          <w:lang w:val="en-US" w:eastAsia="zh-CN" w:bidi="ar"/>
        </w:rPr>
        <w:t>.</w:t>
      </w:r>
    </w:p>
    <w:p w14:paraId="0BC82204">
      <w:pPr>
        <w:keepNext w:val="0"/>
        <w:keepLines w:val="0"/>
        <w:widowControl/>
        <w:suppressLineNumbers w:val="0"/>
        <w:spacing w:line="480" w:lineRule="auto"/>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Corresponding authors: Li Jinghua, Zhou Yu, Zhang Dezheng.</w:t>
      </w:r>
    </w:p>
    <w:p w14:paraId="60E412D3">
      <w:pPr>
        <w:spacing w:line="480" w:lineRule="auto"/>
        <w:rPr>
          <w:rStyle w:val="14"/>
          <w:rFonts w:hint="default" w:ascii="Segoe UI" w:hAnsi="Segoe UI" w:eastAsia="Segoe UI" w:cs="Segoe UI"/>
          <w:bCs/>
          <w:i w:val="0"/>
          <w:iCs w:val="0"/>
          <w:caps w:val="0"/>
          <w:color w:val="0F1115"/>
          <w:spacing w:val="0"/>
          <w:kern w:val="0"/>
          <w:sz w:val="24"/>
          <w:szCs w:val="24"/>
          <w:shd w:val="clear" w:fill="FFFFFF"/>
          <w:lang w:val="en-US" w:eastAsia="zh-CN" w:bidi="ar"/>
        </w:rPr>
      </w:pPr>
      <w:r>
        <w:rPr>
          <w:rStyle w:val="14"/>
          <w:rFonts w:hint="default" w:ascii="Segoe UI" w:hAnsi="Segoe UI" w:eastAsia="Segoe UI" w:cs="Segoe UI"/>
          <w:bCs/>
          <w:i w:val="0"/>
          <w:iCs w:val="0"/>
          <w:caps w:val="0"/>
          <w:color w:val="0F1115"/>
          <w:spacing w:val="0"/>
          <w:kern w:val="0"/>
          <w:sz w:val="24"/>
          <w:szCs w:val="24"/>
          <w:shd w:val="clear" w:fill="FFFFFF"/>
          <w:lang w:val="en-US" w:eastAsia="zh-CN" w:bidi="ar"/>
        </w:rPr>
        <w:t xml:space="preserve">Funding </w:t>
      </w:r>
    </w:p>
    <w:p w14:paraId="270562C0">
      <w:pPr>
        <w:keepNext w:val="0"/>
        <w:keepLines w:val="0"/>
        <w:widowControl/>
        <w:suppressLineNumbers w:val="0"/>
        <w:spacing w:line="480" w:lineRule="auto"/>
        <w:jc w:val="left"/>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This work was supported by the Special Project for Cultivating Outstanding Young Scientific and Technological Talents of the China Academy of Chinese Medical Sciences (ZZ16-YQ-054, S.T.), the Beijing Traditional Chinese Medicine Science and Technology Development Fund Project (BJZYYB-2025-19, Y.Z.), and the Fundamental Research Fund for the Central Public Welfare Research Institutes of the China Academy of Chinese Medical Sciences (ZZ170309, S.T.).</w:t>
      </w:r>
    </w:p>
    <w:p w14:paraId="49D2B8D2">
      <w:pPr>
        <w:spacing w:line="480" w:lineRule="auto"/>
        <w:rPr>
          <w:rStyle w:val="14"/>
          <w:rFonts w:hint="default" w:ascii="Segoe UI" w:hAnsi="Segoe UI" w:eastAsia="Segoe UI" w:cs="Segoe UI"/>
          <w:bCs/>
          <w:i w:val="0"/>
          <w:iCs w:val="0"/>
          <w:caps w:val="0"/>
          <w:color w:val="0F1115"/>
          <w:spacing w:val="0"/>
          <w:kern w:val="0"/>
          <w:sz w:val="24"/>
          <w:szCs w:val="24"/>
          <w:shd w:val="clear" w:fill="FFFFFF"/>
          <w:lang w:val="en-US" w:eastAsia="zh-CN" w:bidi="ar"/>
        </w:rPr>
      </w:pPr>
      <w:r>
        <w:rPr>
          <w:rStyle w:val="14"/>
          <w:rFonts w:hint="default" w:ascii="Segoe UI" w:hAnsi="Segoe UI" w:eastAsia="Segoe UI" w:cs="Segoe UI"/>
          <w:bCs/>
          <w:i w:val="0"/>
          <w:iCs w:val="0"/>
          <w:caps w:val="0"/>
          <w:color w:val="0F1115"/>
          <w:spacing w:val="0"/>
          <w:kern w:val="0"/>
          <w:sz w:val="24"/>
          <w:szCs w:val="24"/>
          <w:shd w:val="clear" w:fill="FFFFFF"/>
          <w:lang w:val="en-US" w:eastAsia="zh-CN" w:bidi="ar"/>
        </w:rPr>
        <w:t>Data availability</w:t>
      </w:r>
    </w:p>
    <w:p w14:paraId="36AAFEFD">
      <w:pPr>
        <w:keepNext w:val="0"/>
        <w:keepLines w:val="0"/>
        <w:widowControl/>
        <w:suppressLineNumbers w:val="0"/>
        <w:spacing w:line="480" w:lineRule="auto"/>
        <w:jc w:val="left"/>
        <w:rPr>
          <w:rFonts w:ascii="宋体" w:hAnsi="宋体" w:eastAsia="宋体" w:cs="宋体"/>
          <w:sz w:val="24"/>
          <w:szCs w:val="24"/>
        </w:rPr>
      </w:pPr>
      <w:r>
        <w:rPr>
          <w:rFonts w:hint="default" w:ascii="Times New Roman" w:hAnsi="Times New Roman" w:eastAsia="宋体" w:cs="Times New Roman"/>
          <w:color w:val="000000"/>
          <w:kern w:val="0"/>
          <w:sz w:val="24"/>
          <w:szCs w:val="24"/>
          <w:lang w:val="en-US" w:eastAsia="zh-CN" w:bidi="ar"/>
        </w:rPr>
        <w:t>The core assets of MAC-TCMRx have been made publicly available in the Gitee repository at https://gitee.com/qingleifeifan/MAC-TCMRx. Specifically, the repository contains the prompt templates for the Main Symptom Agent, the Integrated Prescription Agent (integrative treatment module), and the Visualization and Tracing Agent (stored in the /prompts/ directory), as well as three de-identified example medical records (stored in the /examples/ directory), each of which includes complete four‑examination information and the corresponding authentic prescription from the renowned TCM practitioner. The full set of 127 raw electronic medical records used for the quantitative evaluation is not publicly available due to the presence of protected health information, in accordance with relevant data protection regulations. Qualified researchers may request access to anonymized data from the corresponding author upon reasonable application and subject to approval by the institutional ethics committee. An interactive online instance of MAC-TCMRx is also available for demonstration purposes.</w:t>
      </w:r>
    </w:p>
    <w:p w14:paraId="6D408697">
      <w:pPr>
        <w:spacing w:line="480" w:lineRule="auto"/>
        <w:rPr>
          <w:rStyle w:val="14"/>
          <w:rFonts w:hint="default" w:ascii="Segoe UI" w:hAnsi="Segoe UI" w:eastAsia="Segoe UI" w:cs="Segoe UI"/>
          <w:bCs/>
          <w:i w:val="0"/>
          <w:iCs w:val="0"/>
          <w:caps w:val="0"/>
          <w:color w:val="0F1115"/>
          <w:spacing w:val="0"/>
          <w:kern w:val="0"/>
          <w:sz w:val="24"/>
          <w:szCs w:val="24"/>
          <w:shd w:val="clear" w:fill="FFFFFF"/>
          <w:lang w:val="en-US" w:eastAsia="zh-CN" w:bidi="ar"/>
        </w:rPr>
      </w:pPr>
      <w:r>
        <w:rPr>
          <w:rStyle w:val="14"/>
          <w:rFonts w:hint="default" w:ascii="Segoe UI" w:hAnsi="Segoe UI" w:eastAsia="Segoe UI" w:cs="Segoe UI"/>
          <w:bCs/>
          <w:i w:val="0"/>
          <w:iCs w:val="0"/>
          <w:caps w:val="0"/>
          <w:color w:val="0F1115"/>
          <w:spacing w:val="0"/>
          <w:kern w:val="0"/>
          <w:sz w:val="24"/>
          <w:szCs w:val="24"/>
          <w:shd w:val="clear" w:fill="FFFFFF"/>
          <w:lang w:val="en-US" w:eastAsia="zh-CN" w:bidi="ar"/>
        </w:rPr>
        <w:t xml:space="preserve">Declarations </w:t>
      </w:r>
    </w:p>
    <w:p w14:paraId="10F8D9F0">
      <w:pPr>
        <w:spacing w:line="480" w:lineRule="auto"/>
        <w:rPr>
          <w:rStyle w:val="14"/>
          <w:rFonts w:hint="default" w:ascii="Segoe UI" w:hAnsi="Segoe UI" w:eastAsia="Segoe UI" w:cs="Segoe UI"/>
          <w:bCs/>
          <w:i w:val="0"/>
          <w:iCs w:val="0"/>
          <w:caps w:val="0"/>
          <w:color w:val="0F1115"/>
          <w:spacing w:val="0"/>
          <w:kern w:val="0"/>
          <w:sz w:val="24"/>
          <w:szCs w:val="24"/>
          <w:shd w:val="clear" w:fill="FFFFFF"/>
          <w:lang w:val="en-US" w:eastAsia="zh-CN" w:bidi="ar"/>
        </w:rPr>
      </w:pPr>
      <w:r>
        <w:rPr>
          <w:rStyle w:val="14"/>
          <w:rFonts w:hint="default" w:ascii="Segoe UI" w:hAnsi="Segoe UI" w:eastAsia="Segoe UI" w:cs="Segoe UI"/>
          <w:bCs/>
          <w:i w:val="0"/>
          <w:iCs w:val="0"/>
          <w:caps w:val="0"/>
          <w:color w:val="0F1115"/>
          <w:spacing w:val="0"/>
          <w:kern w:val="0"/>
          <w:sz w:val="24"/>
          <w:szCs w:val="24"/>
          <w:shd w:val="clear" w:fill="FFFFFF"/>
          <w:lang w:val="en-US" w:eastAsia="zh-CN" w:bidi="ar"/>
        </w:rPr>
        <w:t xml:space="preserve">Ethics approval and consent to participate </w:t>
      </w:r>
    </w:p>
    <w:p w14:paraId="3E1B51FD">
      <w:pPr>
        <w:spacing w:line="480" w:lineRule="auto"/>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Not applicable. </w:t>
      </w:r>
    </w:p>
    <w:p w14:paraId="11941DA1">
      <w:pPr>
        <w:spacing w:line="480" w:lineRule="auto"/>
        <w:rPr>
          <w:rStyle w:val="14"/>
          <w:rFonts w:hint="default" w:ascii="Segoe UI" w:hAnsi="Segoe UI" w:eastAsia="Segoe UI" w:cs="Segoe UI"/>
          <w:bCs/>
          <w:i w:val="0"/>
          <w:iCs w:val="0"/>
          <w:caps w:val="0"/>
          <w:color w:val="0F1115"/>
          <w:spacing w:val="0"/>
          <w:kern w:val="0"/>
          <w:sz w:val="24"/>
          <w:szCs w:val="24"/>
          <w:shd w:val="clear" w:fill="FFFFFF"/>
          <w:lang w:val="en-US" w:eastAsia="zh-CN" w:bidi="ar"/>
        </w:rPr>
      </w:pPr>
      <w:r>
        <w:rPr>
          <w:rStyle w:val="14"/>
          <w:rFonts w:hint="default" w:ascii="Segoe UI" w:hAnsi="Segoe UI" w:eastAsia="Segoe UI" w:cs="Segoe UI"/>
          <w:bCs/>
          <w:i w:val="0"/>
          <w:iCs w:val="0"/>
          <w:caps w:val="0"/>
          <w:color w:val="0F1115"/>
          <w:spacing w:val="0"/>
          <w:kern w:val="0"/>
          <w:sz w:val="24"/>
          <w:szCs w:val="24"/>
          <w:shd w:val="clear" w:fill="FFFFFF"/>
          <w:lang w:val="en-US" w:eastAsia="zh-CN" w:bidi="ar"/>
        </w:rPr>
        <w:t xml:space="preserve">Consent for publication </w:t>
      </w:r>
    </w:p>
    <w:p w14:paraId="6C9BCD5A">
      <w:pPr>
        <w:spacing w:line="480" w:lineRule="auto"/>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Not applicable. </w:t>
      </w:r>
    </w:p>
    <w:p w14:paraId="48F273B3">
      <w:pPr>
        <w:spacing w:line="480" w:lineRule="auto"/>
        <w:rPr>
          <w:rStyle w:val="14"/>
          <w:rFonts w:hint="default" w:ascii="Segoe UI" w:hAnsi="Segoe UI" w:eastAsia="Segoe UI" w:cs="Segoe UI"/>
          <w:bCs/>
          <w:i w:val="0"/>
          <w:iCs w:val="0"/>
          <w:caps w:val="0"/>
          <w:color w:val="0F1115"/>
          <w:spacing w:val="0"/>
          <w:kern w:val="0"/>
          <w:sz w:val="24"/>
          <w:szCs w:val="24"/>
          <w:shd w:val="clear" w:fill="FFFFFF"/>
          <w:lang w:val="en-US" w:eastAsia="zh-CN" w:bidi="ar"/>
        </w:rPr>
      </w:pPr>
      <w:r>
        <w:rPr>
          <w:rStyle w:val="14"/>
          <w:rFonts w:hint="default" w:ascii="Segoe UI" w:hAnsi="Segoe UI" w:eastAsia="Segoe UI" w:cs="Segoe UI"/>
          <w:bCs/>
          <w:i w:val="0"/>
          <w:iCs w:val="0"/>
          <w:caps w:val="0"/>
          <w:color w:val="0F1115"/>
          <w:spacing w:val="0"/>
          <w:kern w:val="0"/>
          <w:sz w:val="24"/>
          <w:szCs w:val="24"/>
          <w:shd w:val="clear" w:fill="FFFFFF"/>
          <w:lang w:val="en-US" w:eastAsia="zh-CN" w:bidi="ar"/>
        </w:rPr>
        <w:t xml:space="preserve">Competing interests </w:t>
      </w:r>
    </w:p>
    <w:p w14:paraId="73D18F33">
      <w:pPr>
        <w:spacing w:line="480" w:lineRule="auto"/>
        <w:rPr>
          <w:rFonts w:ascii="宋体" w:hAnsi="宋体" w:eastAsia="宋体" w:cs="宋体"/>
          <w:sz w:val="24"/>
          <w:szCs w:val="24"/>
        </w:rPr>
      </w:pPr>
      <w:r>
        <w:rPr>
          <w:rFonts w:hint="eastAsia" w:ascii="Times New Roman" w:hAnsi="Times New Roman" w:eastAsia="宋体" w:cs="Times New Roman"/>
          <w:color w:val="000000"/>
          <w:kern w:val="0"/>
          <w:sz w:val="24"/>
          <w:szCs w:val="24"/>
          <w:lang w:val="en-US" w:eastAsia="zh-CN" w:bidi="ar"/>
        </w:rPr>
        <w:t>The authors declare no competing interests.</w:t>
      </w:r>
      <w:r>
        <w:rPr>
          <w:rFonts w:ascii="宋体" w:hAnsi="宋体" w:eastAsia="宋体" w:cs="宋体"/>
          <w:sz w:val="24"/>
          <w:szCs w:val="24"/>
        </w:rPr>
        <w:t xml:space="preserve"> </w:t>
      </w:r>
    </w:p>
    <w:p w14:paraId="434D9D1D">
      <w:pPr>
        <w:spacing w:line="480" w:lineRule="auto"/>
        <w:rPr>
          <w:rStyle w:val="14"/>
          <w:rFonts w:hint="default" w:ascii="Segoe UI" w:hAnsi="Segoe UI" w:eastAsia="Segoe UI" w:cs="Segoe UI"/>
          <w:bCs/>
          <w:i w:val="0"/>
          <w:iCs w:val="0"/>
          <w:caps w:val="0"/>
          <w:color w:val="0F1115"/>
          <w:spacing w:val="0"/>
          <w:kern w:val="0"/>
          <w:sz w:val="24"/>
          <w:szCs w:val="24"/>
          <w:shd w:val="clear" w:fill="FFFFFF"/>
          <w:lang w:val="en-US" w:eastAsia="zh-CN" w:bidi="ar"/>
        </w:rPr>
      </w:pPr>
      <w:r>
        <w:rPr>
          <w:rStyle w:val="14"/>
          <w:rFonts w:hint="default" w:ascii="Segoe UI" w:hAnsi="Segoe UI" w:eastAsia="Segoe UI" w:cs="Segoe UI"/>
          <w:bCs/>
          <w:i w:val="0"/>
          <w:iCs w:val="0"/>
          <w:caps w:val="0"/>
          <w:color w:val="0F1115"/>
          <w:spacing w:val="0"/>
          <w:kern w:val="0"/>
          <w:sz w:val="24"/>
          <w:szCs w:val="24"/>
          <w:shd w:val="clear" w:fill="FFFFFF"/>
          <w:lang w:val="en-US" w:eastAsia="zh-CN" w:bidi="ar"/>
        </w:rPr>
        <w:t xml:space="preserve">Author details </w:t>
      </w:r>
    </w:p>
    <w:p w14:paraId="6E5FC3BF">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vertAlign w:val="superscript"/>
          <w:lang w:val="en-US" w:eastAsia="zh-CN" w:bidi="ar"/>
        </w:rPr>
        <w:t xml:space="preserve">1 </w:t>
      </w:r>
      <w:r>
        <w:rPr>
          <w:rFonts w:hint="eastAsia" w:ascii="Times New Roman" w:hAnsi="Times New Roman" w:eastAsia="宋体" w:cs="Times New Roman"/>
          <w:color w:val="000000"/>
          <w:kern w:val="0"/>
          <w:sz w:val="24"/>
          <w:szCs w:val="24"/>
          <w:lang w:val="en-US" w:eastAsia="zh-CN" w:bidi="ar"/>
        </w:rPr>
        <w:t>University of Science and Technology Beijing, Beijing 100083, China.</w:t>
      </w:r>
    </w:p>
    <w:p w14:paraId="75625B7B">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vertAlign w:val="superscript"/>
          <w:lang w:val="en-US" w:eastAsia="zh-CN" w:bidi="ar"/>
        </w:rPr>
        <w:t xml:space="preserve">2 </w:t>
      </w:r>
      <w:r>
        <w:rPr>
          <w:rFonts w:hint="eastAsia" w:ascii="Times New Roman" w:hAnsi="Times New Roman" w:eastAsia="宋体" w:cs="Times New Roman"/>
          <w:color w:val="000000"/>
          <w:kern w:val="0"/>
          <w:sz w:val="24"/>
          <w:szCs w:val="24"/>
          <w:lang w:val="en-US" w:eastAsia="zh-CN" w:bidi="ar"/>
        </w:rPr>
        <w:t>Institute of Information on Traditional Chinese Medicine, China Academy of Chinese Medical Sciences, Beijing 100700, China.</w:t>
      </w:r>
    </w:p>
    <w:p w14:paraId="1AD2F248">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vertAlign w:val="superscript"/>
          <w:lang w:val="en-US" w:eastAsia="zh-CN" w:bidi="ar"/>
        </w:rPr>
        <w:t xml:space="preserve">3 </w:t>
      </w:r>
      <w:r>
        <w:rPr>
          <w:rFonts w:hint="eastAsia" w:ascii="Times New Roman" w:hAnsi="Times New Roman" w:eastAsia="宋体" w:cs="Times New Roman"/>
          <w:color w:val="000000"/>
          <w:kern w:val="0"/>
          <w:sz w:val="24"/>
          <w:szCs w:val="24"/>
          <w:lang w:val="en-US" w:eastAsia="zh-CN" w:bidi="ar"/>
        </w:rPr>
        <w:t>Outpatient Department, China Academy of Chinese Medical Sciences, Beijing 100701, China.</w:t>
      </w:r>
    </w:p>
    <w:p w14:paraId="7004BB8C">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vertAlign w:val="superscript"/>
          <w:lang w:val="en-US" w:eastAsia="zh-CN" w:bidi="ar"/>
        </w:rPr>
        <w:t xml:space="preserve">4 </w:t>
      </w:r>
      <w:r>
        <w:rPr>
          <w:rFonts w:hint="eastAsia" w:ascii="Times New Roman" w:hAnsi="Times New Roman" w:eastAsia="宋体" w:cs="Times New Roman"/>
          <w:color w:val="000000"/>
          <w:kern w:val="0"/>
          <w:sz w:val="24"/>
          <w:szCs w:val="24"/>
          <w:lang w:val="en-US" w:eastAsia="zh-CN" w:bidi="ar"/>
        </w:rPr>
        <w:t>Xiyuan Hospital, China Academy of Chinese Medical Sciences, Beijing 100091, China.</w:t>
      </w:r>
    </w:p>
    <w:p w14:paraId="24BE2CC8">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vertAlign w:val="superscript"/>
          <w:lang w:val="en-US" w:eastAsia="zh-CN" w:bidi="ar"/>
        </w:rPr>
        <w:t xml:space="preserve">5 </w:t>
      </w:r>
      <w:r>
        <w:rPr>
          <w:rFonts w:hint="eastAsia" w:ascii="Times New Roman" w:hAnsi="Times New Roman" w:eastAsia="宋体" w:cs="Times New Roman"/>
          <w:color w:val="000000"/>
          <w:kern w:val="0"/>
          <w:sz w:val="24"/>
          <w:szCs w:val="24"/>
          <w:lang w:val="en-US" w:eastAsia="zh-CN" w:bidi="ar"/>
        </w:rPr>
        <w:t>Institute of Acupuncture and Moxibustion, China Academy of Chinese Medical Sciences, Beijing 100700, China.</w:t>
      </w:r>
    </w:p>
    <w:p w14:paraId="580CE435">
      <w:pPr>
        <w:keepNext w:val="0"/>
        <w:keepLines w:val="0"/>
        <w:widowControl/>
        <w:suppressLineNumbers w:val="0"/>
        <w:spacing w:line="480" w:lineRule="auto"/>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vertAlign w:val="superscript"/>
          <w:lang w:val="en-US" w:eastAsia="zh-CN" w:bidi="ar"/>
        </w:rPr>
        <w:t xml:space="preserve">6 </w:t>
      </w:r>
      <w:r>
        <w:rPr>
          <w:rFonts w:hint="eastAsia" w:ascii="Times New Roman" w:hAnsi="Times New Roman" w:eastAsia="宋体" w:cs="Times New Roman"/>
          <w:color w:val="000000"/>
          <w:kern w:val="0"/>
          <w:sz w:val="24"/>
          <w:szCs w:val="24"/>
          <w:lang w:val="en-US" w:eastAsia="zh-CN" w:bidi="ar"/>
        </w:rPr>
        <w:t>Acupuncture and Moxibustion Hospital, China Academy of Chinese Medical Sciences, Beijing 100700, China.</w:t>
      </w:r>
    </w:p>
    <w:p w14:paraId="54216DD5">
      <w:pPr>
        <w:keepNext w:val="0"/>
        <w:keepLines w:val="0"/>
        <w:widowControl/>
        <w:suppressLineNumbers w:val="0"/>
        <w:spacing w:line="480" w:lineRule="auto"/>
        <w:jc w:val="left"/>
        <w:rPr>
          <w:rFonts w:ascii="宋体" w:hAnsi="宋体" w:eastAsia="宋体" w:cs="宋体"/>
          <w:sz w:val="24"/>
          <w:szCs w:val="24"/>
        </w:rPr>
      </w:pPr>
      <w:r>
        <w:rPr>
          <w:rFonts w:hint="eastAsia" w:ascii="Times New Roman" w:hAnsi="Times New Roman" w:eastAsia="宋体" w:cs="Times New Roman"/>
          <w:color w:val="000000"/>
          <w:kern w:val="0"/>
          <w:sz w:val="24"/>
          <w:szCs w:val="24"/>
          <w:vertAlign w:val="superscript"/>
          <w:lang w:val="en-US" w:eastAsia="zh-CN" w:bidi="ar"/>
        </w:rPr>
        <w:t xml:space="preserve">7 </w:t>
      </w:r>
      <w:r>
        <w:rPr>
          <w:rFonts w:hint="eastAsia" w:ascii="Times New Roman" w:hAnsi="Times New Roman" w:eastAsia="宋体" w:cs="Times New Roman"/>
          <w:color w:val="000000"/>
          <w:kern w:val="0"/>
          <w:sz w:val="24"/>
          <w:szCs w:val="24"/>
          <w:lang w:val="en-US" w:eastAsia="zh-CN" w:bidi="ar"/>
        </w:rPr>
        <w:t>Beijing Key Laboratory of SMART Traditional Chinese Medicine for Chronic Disease Prevention and Treatment, Beijing 100083, China.</w:t>
      </w:r>
    </w:p>
    <w:p w14:paraId="42976F4B">
      <w:pPr>
        <w:spacing w:line="480" w:lineRule="auto"/>
        <w:rPr>
          <w:rFonts w:hint="default" w:ascii="Times New Roman" w:hAnsi="Times New Roman" w:eastAsia="宋体" w:cs="Times New Roman"/>
          <w:color w:val="000000"/>
          <w:kern w:val="0"/>
          <w:sz w:val="24"/>
          <w:szCs w:val="24"/>
          <w:lang w:val="en-US" w:eastAsia="zh-CN" w:bidi="ar"/>
        </w:rPr>
      </w:pPr>
      <w:r>
        <w:rPr>
          <w:rStyle w:val="14"/>
          <w:rFonts w:hint="default" w:ascii="Segoe UI" w:hAnsi="Segoe UI" w:eastAsia="Segoe UI" w:cs="Segoe UI"/>
          <w:bCs/>
          <w:i w:val="0"/>
          <w:iCs w:val="0"/>
          <w:caps w:val="0"/>
          <w:color w:val="0F1115"/>
          <w:spacing w:val="0"/>
          <w:kern w:val="0"/>
          <w:sz w:val="24"/>
          <w:szCs w:val="24"/>
          <w:shd w:val="clear" w:fill="FFFFFF"/>
          <w:lang w:val="en-US" w:eastAsia="zh-CN" w:bidi="ar"/>
        </w:rPr>
        <w:t>References</w:t>
      </w:r>
    </w:p>
    <w:p w14:paraId="504EDB72">
      <w:pPr>
        <w:spacing w:line="480" w:lineRule="auto"/>
        <w:rPr>
          <w:rFonts w:hint="default" w:ascii="宋体" w:hAnsi="宋体" w:eastAsia="宋体" w:cs="Times New Roman"/>
          <w:szCs w:val="21"/>
          <w:lang w:val="en-US" w:eastAsia="zh-CN"/>
        </w:rPr>
      </w:pPr>
      <w:r>
        <w:rPr>
          <w:rFonts w:hint="default" w:ascii="宋体" w:hAnsi="宋体" w:eastAsia="宋体" w:cs="Times New Roman"/>
          <w:szCs w:val="21"/>
          <w:lang w:val="en-US" w:eastAsia="zh-CN"/>
        </w:rPr>
        <w:t>[1] Zhang DZ, Peng JN, Fan HX. Review of TCM expert system technology and implementation of a new system. Computer Application Research. 2007;(12):6-9.</w:t>
      </w:r>
    </w:p>
    <w:p w14:paraId="44FE3669">
      <w:pPr>
        <w:spacing w:line="480" w:lineRule="auto"/>
        <w:rPr>
          <w:rFonts w:hint="default" w:ascii="宋体" w:hAnsi="宋体" w:eastAsia="宋体" w:cs="Times New Roman"/>
          <w:szCs w:val="21"/>
          <w:lang w:val="en-US" w:eastAsia="zh-CN"/>
        </w:rPr>
      </w:pPr>
      <w:r>
        <w:rPr>
          <w:rFonts w:hint="default" w:ascii="宋体" w:hAnsi="宋体" w:eastAsia="宋体" w:cs="Times New Roman"/>
          <w:szCs w:val="21"/>
          <w:lang w:val="en-US" w:eastAsia="zh-CN"/>
        </w:rPr>
        <w:t xml:space="preserve">[2] Yu SW. Mining the medication rules and clinical thinking of Professor Chen </w:t>
      </w:r>
      <w:r>
        <w:rPr>
          <w:rFonts w:hint="eastAsia" w:ascii="宋体" w:hAnsi="宋体" w:eastAsia="宋体" w:cs="Times New Roman"/>
          <w:szCs w:val="21"/>
          <w:lang w:val="en-US" w:eastAsia="zh-CN"/>
        </w:rPr>
        <w:t>Bao</w:t>
      </w:r>
      <w:r>
        <w:rPr>
          <w:rFonts w:hint="default" w:ascii="宋体" w:hAnsi="宋体" w:eastAsia="宋体" w:cs="Times New Roman"/>
          <w:szCs w:val="21"/>
          <w:lang w:val="en-US" w:eastAsia="zh-CN"/>
        </w:rPr>
        <w:t>gui in the treatment of headache based on AI technology [master</w:t>
      </w:r>
      <w:r>
        <w:rPr>
          <w:rFonts w:hint="eastAsia" w:ascii="宋体" w:hAnsi="宋体" w:eastAsia="宋体" w:cs="Times New Roman"/>
          <w:szCs w:val="21"/>
          <w:lang w:val="en-US" w:eastAsia="zh-CN"/>
        </w:rPr>
        <w:t>'</w:t>
      </w:r>
      <w:r>
        <w:rPr>
          <w:rFonts w:hint="default" w:ascii="宋体" w:hAnsi="宋体" w:eastAsia="宋体" w:cs="Times New Roman"/>
          <w:szCs w:val="21"/>
          <w:lang w:val="en-US" w:eastAsia="zh-CN"/>
        </w:rPr>
        <w:t>s thesis]. Tianjin University of Traditional Chinese Medicine; 2025.</w:t>
      </w:r>
    </w:p>
    <w:p w14:paraId="5947276B">
      <w:pPr>
        <w:spacing w:line="480" w:lineRule="auto"/>
        <w:rPr>
          <w:rFonts w:hint="default" w:ascii="宋体" w:hAnsi="宋体" w:eastAsia="宋体" w:cs="Times New Roman"/>
          <w:szCs w:val="21"/>
          <w:lang w:val="en-US" w:eastAsia="zh-CN"/>
        </w:rPr>
      </w:pPr>
      <w:r>
        <w:rPr>
          <w:rFonts w:hint="default" w:ascii="宋体" w:hAnsi="宋体" w:eastAsia="宋体" w:cs="Times New Roman"/>
          <w:szCs w:val="21"/>
          <w:lang w:val="en-US" w:eastAsia="zh-CN"/>
        </w:rPr>
        <w:t>[3] Geng JH. Research and application of intelligent TCM prescription based on deep learning [master</w:t>
      </w:r>
      <w:r>
        <w:rPr>
          <w:rFonts w:hint="eastAsia" w:ascii="宋体" w:hAnsi="宋体" w:eastAsia="宋体" w:cs="Times New Roman"/>
          <w:szCs w:val="21"/>
          <w:lang w:val="en-US" w:eastAsia="zh-CN"/>
        </w:rPr>
        <w:t>'</w:t>
      </w:r>
      <w:r>
        <w:rPr>
          <w:rFonts w:hint="default" w:ascii="宋体" w:hAnsi="宋体" w:eastAsia="宋体" w:cs="Times New Roman"/>
          <w:szCs w:val="21"/>
          <w:lang w:val="en-US" w:eastAsia="zh-CN"/>
        </w:rPr>
        <w:t>s thesis]. Heilongjiang University; 2024.</w:t>
      </w:r>
    </w:p>
    <w:p w14:paraId="0A7B9708">
      <w:pPr>
        <w:spacing w:line="480" w:lineRule="auto"/>
        <w:rPr>
          <w:rFonts w:hint="default" w:ascii="宋体" w:hAnsi="宋体" w:eastAsia="宋体" w:cs="Times New Roman"/>
          <w:szCs w:val="21"/>
          <w:lang w:val="en-US" w:eastAsia="zh-CN"/>
        </w:rPr>
      </w:pPr>
      <w:r>
        <w:rPr>
          <w:rFonts w:hint="default" w:ascii="宋体" w:hAnsi="宋体" w:eastAsia="宋体" w:cs="Times New Roman"/>
          <w:szCs w:val="21"/>
          <w:lang w:val="en-US" w:eastAsia="zh-CN"/>
        </w:rPr>
        <w:t>[4] Guo FY, Gao CX, Wang YF, et al. Intelligent recommendation method of ancient prescriptions based on deep learning and medical record similarity. Chinese Archives of Traditional Chinese Medicine. 2025;43(6):24-30.</w:t>
      </w:r>
    </w:p>
    <w:p w14:paraId="14F68729">
      <w:pPr>
        <w:spacing w:line="480" w:lineRule="auto"/>
        <w:rPr>
          <w:rFonts w:hint="default" w:ascii="宋体" w:hAnsi="宋体" w:eastAsia="宋体" w:cs="Times New Roman"/>
          <w:szCs w:val="21"/>
          <w:lang w:val="en-US" w:eastAsia="zh-CN"/>
        </w:rPr>
      </w:pPr>
      <w:r>
        <w:rPr>
          <w:rFonts w:hint="default" w:ascii="宋体" w:hAnsi="宋体" w:eastAsia="宋体" w:cs="Times New Roman"/>
          <w:szCs w:val="21"/>
          <w:lang w:val="en-US" w:eastAsia="zh-CN"/>
        </w:rPr>
        <w:t>[5] Bai WQ. Syndrome link prediction and prescription recommendation based on TCM knowledge graph [master</w:t>
      </w:r>
      <w:r>
        <w:rPr>
          <w:rFonts w:hint="eastAsia" w:ascii="宋体" w:hAnsi="宋体" w:eastAsia="宋体" w:cs="Times New Roman"/>
          <w:szCs w:val="21"/>
          <w:lang w:val="en-US" w:eastAsia="zh-CN"/>
        </w:rPr>
        <w:t>'</w:t>
      </w:r>
      <w:r>
        <w:rPr>
          <w:rFonts w:hint="default" w:ascii="宋体" w:hAnsi="宋体" w:eastAsia="宋体" w:cs="Times New Roman"/>
          <w:szCs w:val="21"/>
          <w:lang w:val="en-US" w:eastAsia="zh-CN"/>
        </w:rPr>
        <w:t>s thesis]. University of Electronic Science and Technology of China; 2024.</w:t>
      </w:r>
    </w:p>
    <w:p w14:paraId="3F7A2FCF">
      <w:pPr>
        <w:spacing w:line="480" w:lineRule="auto"/>
        <w:rPr>
          <w:rFonts w:hint="default" w:ascii="宋体" w:hAnsi="宋体" w:eastAsia="宋体" w:cs="Times New Roman"/>
          <w:szCs w:val="21"/>
          <w:lang w:val="en-US" w:eastAsia="zh-CN"/>
        </w:rPr>
      </w:pPr>
      <w:r>
        <w:rPr>
          <w:rFonts w:hint="default" w:ascii="宋体" w:hAnsi="宋体" w:eastAsia="宋体" w:cs="Times New Roman"/>
          <w:szCs w:val="21"/>
          <w:lang w:val="en-US" w:eastAsia="zh-CN"/>
        </w:rPr>
        <w:t>[6] Li Y. Construction of knowledge graph and medication rule analysis for the diagnosis and treatment of rhinitis by National TCM Master Gan Zuwang [master</w:t>
      </w:r>
      <w:r>
        <w:rPr>
          <w:rFonts w:hint="eastAsia" w:ascii="宋体" w:hAnsi="宋体" w:eastAsia="宋体" w:cs="Times New Roman"/>
          <w:szCs w:val="21"/>
          <w:lang w:val="en-US" w:eastAsia="zh-CN"/>
        </w:rPr>
        <w:t>'</w:t>
      </w:r>
      <w:r>
        <w:rPr>
          <w:rFonts w:hint="default" w:ascii="宋体" w:hAnsi="宋体" w:eastAsia="宋体" w:cs="Times New Roman"/>
          <w:szCs w:val="21"/>
          <w:lang w:val="en-US" w:eastAsia="zh-CN"/>
        </w:rPr>
        <w:t>s thesis]. Nanjing University of Chinese Medicine; 2024.</w:t>
      </w:r>
    </w:p>
    <w:p w14:paraId="73A96022">
      <w:pPr>
        <w:spacing w:line="480" w:lineRule="auto"/>
        <w:rPr>
          <w:rFonts w:hint="default" w:ascii="宋体" w:hAnsi="宋体" w:eastAsia="宋体" w:cs="Times New Roman"/>
          <w:szCs w:val="21"/>
          <w:lang w:val="en-US" w:eastAsia="zh-CN"/>
        </w:rPr>
      </w:pPr>
      <w:r>
        <w:rPr>
          <w:rFonts w:hint="default" w:ascii="宋体" w:hAnsi="宋体" w:eastAsia="宋体" w:cs="Times New Roman"/>
          <w:szCs w:val="21"/>
          <w:lang w:val="en-US" w:eastAsia="zh-CN"/>
        </w:rPr>
        <w:t>[7] Li XY. Research on TCM prescription generation method based on generative adversarial network [master</w:t>
      </w:r>
      <w:r>
        <w:rPr>
          <w:rFonts w:hint="eastAsia" w:ascii="宋体" w:hAnsi="宋体" w:eastAsia="宋体" w:cs="Times New Roman"/>
          <w:szCs w:val="21"/>
          <w:lang w:val="en-US" w:eastAsia="zh-CN"/>
        </w:rPr>
        <w:t>'</w:t>
      </w:r>
      <w:r>
        <w:rPr>
          <w:rFonts w:hint="default" w:ascii="宋体" w:hAnsi="宋体" w:eastAsia="宋体" w:cs="Times New Roman"/>
          <w:szCs w:val="21"/>
          <w:lang w:val="en-US" w:eastAsia="zh-CN"/>
        </w:rPr>
        <w:t>s thesis]. Tiangong University; 2022.</w:t>
      </w:r>
    </w:p>
    <w:p w14:paraId="4C94BD70">
      <w:pPr>
        <w:spacing w:line="480" w:lineRule="auto"/>
        <w:rPr>
          <w:rFonts w:hint="default" w:ascii="宋体" w:hAnsi="宋体" w:eastAsia="宋体" w:cs="Times New Roman"/>
          <w:szCs w:val="21"/>
          <w:lang w:val="en-US" w:eastAsia="zh-CN"/>
        </w:rPr>
      </w:pPr>
      <w:r>
        <w:rPr>
          <w:rFonts w:hint="default" w:ascii="宋体" w:hAnsi="宋体" w:eastAsia="宋体" w:cs="Times New Roman"/>
          <w:szCs w:val="21"/>
          <w:lang w:val="en-US" w:eastAsia="zh-CN"/>
        </w:rPr>
        <w:t>[8] Liu HP, Yang J, Pang GM, et al. Research on effective prescription recommendation method for type 2 diabetes mellitus based on improved genetic algorithm. Chinese Archives of Traditional Chinese Medicine. 2025;43(1):39-43+267.</w:t>
      </w:r>
    </w:p>
    <w:p w14:paraId="3F650398">
      <w:pPr>
        <w:spacing w:line="480" w:lineRule="auto"/>
        <w:rPr>
          <w:rFonts w:hint="default" w:ascii="宋体" w:hAnsi="宋体" w:eastAsia="宋体" w:cs="Times New Roman"/>
          <w:szCs w:val="21"/>
          <w:lang w:val="en-US" w:eastAsia="zh-CN"/>
        </w:rPr>
      </w:pPr>
      <w:r>
        <w:rPr>
          <w:rFonts w:hint="default" w:ascii="宋体" w:hAnsi="宋体" w:eastAsia="宋体" w:cs="Times New Roman"/>
          <w:szCs w:val="21"/>
          <w:lang w:val="en-US" w:eastAsia="zh-CN"/>
        </w:rPr>
        <w:t>[9] Xin D, Yi Z, Zixin S, et al. TCMPR: TCM prescription recommendation based on subnetwork term mapping and deep learning. BioMed Research International. 2022;4845726.</w:t>
      </w:r>
    </w:p>
    <w:p w14:paraId="7DE4C1E0">
      <w:pPr>
        <w:spacing w:line="480" w:lineRule="auto"/>
        <w:rPr>
          <w:rFonts w:hint="default" w:ascii="宋体" w:hAnsi="宋体" w:eastAsia="宋体" w:cs="Times New Roman"/>
          <w:szCs w:val="21"/>
          <w:lang w:val="en-US" w:eastAsia="zh-CN"/>
        </w:rPr>
      </w:pPr>
      <w:r>
        <w:rPr>
          <w:rFonts w:hint="default" w:ascii="宋体" w:hAnsi="宋体" w:eastAsia="宋体" w:cs="Times New Roman"/>
          <w:szCs w:val="21"/>
          <w:lang w:val="en-US" w:eastAsia="zh-CN"/>
        </w:rPr>
        <w:t>[10] Li XT, Ma SF, Zhang FC, et al. Research progress and application prospects of large language models in traditional Chinese medicine. Journal of Nanjing University of Traditional Chinese Medicine. 2024;40(12):1393-1403.</w:t>
      </w:r>
    </w:p>
    <w:p w14:paraId="6506371E">
      <w:pPr>
        <w:spacing w:line="480" w:lineRule="auto"/>
        <w:rPr>
          <w:rFonts w:hint="default" w:ascii="宋体" w:hAnsi="宋体" w:eastAsia="宋体" w:cs="Times New Roman"/>
          <w:szCs w:val="21"/>
          <w:lang w:val="en-US" w:eastAsia="zh-CN"/>
        </w:rPr>
      </w:pPr>
      <w:r>
        <w:rPr>
          <w:rFonts w:hint="default" w:ascii="宋体" w:hAnsi="宋体" w:eastAsia="宋体" w:cs="Times New Roman"/>
          <w:szCs w:val="21"/>
          <w:lang w:val="en-US" w:eastAsia="zh-CN"/>
        </w:rPr>
        <w:t>[11] Zeng YX, Zhao Q, Xi CC, et al. Technology and research application of large language models in traditional Chinese medicine [J/OL]. Chinese Journal of Experimental Traditional Medical Formulae. 2026:1-17 [cited 2026 Mar 16].DOI</w:t>
      </w:r>
      <w:r>
        <w:rPr>
          <w:rFonts w:hint="eastAsia" w:ascii="宋体" w:hAnsi="宋体" w:eastAsia="宋体" w:cs="Times New Roman"/>
          <w:szCs w:val="21"/>
          <w:lang w:val="en-US" w:eastAsia="zh-CN"/>
        </w:rPr>
        <w:t>:</w:t>
      </w:r>
      <w:r>
        <w:rPr>
          <w:rFonts w:hint="default" w:ascii="宋体" w:hAnsi="宋体" w:eastAsia="宋体" w:cs="Times New Roman"/>
          <w:szCs w:val="21"/>
          <w:lang w:val="en-US" w:eastAsia="zh-CN"/>
        </w:rPr>
        <w:t>10.13422/j.cnki.syfjx.20251011</w:t>
      </w:r>
      <w:r>
        <w:rPr>
          <w:rFonts w:hint="eastAsia" w:ascii="宋体" w:hAnsi="宋体" w:eastAsia="宋体" w:cs="Times New Roman"/>
          <w:szCs w:val="21"/>
          <w:lang w:val="en-US" w:eastAsia="zh-CN"/>
        </w:rPr>
        <w:t>.</w:t>
      </w:r>
    </w:p>
    <w:p w14:paraId="00CFB22F">
      <w:pPr>
        <w:spacing w:line="480" w:lineRule="auto"/>
        <w:rPr>
          <w:rFonts w:hint="default" w:ascii="宋体" w:hAnsi="宋体" w:eastAsia="宋体" w:cs="Times New Roman"/>
          <w:szCs w:val="21"/>
          <w:lang w:val="en-US" w:eastAsia="zh-CN"/>
        </w:rPr>
      </w:pPr>
      <w:r>
        <w:rPr>
          <w:rFonts w:hint="default" w:ascii="宋体" w:hAnsi="宋体" w:eastAsia="宋体" w:cs="Times New Roman"/>
          <w:szCs w:val="21"/>
          <w:lang w:val="en-US" w:eastAsia="zh-CN"/>
        </w:rPr>
        <w:t>[12] Zhang YM, Li HY, Lang XF, et al. Construction of a TCM question-answering large language model based on retrieval-augmented generation technology. Journal of Nanjing University of Traditional Chinese Medicine. 2024;40(12):1375-1382.</w:t>
      </w:r>
    </w:p>
    <w:p w14:paraId="4716DB6A">
      <w:pPr>
        <w:spacing w:line="480" w:lineRule="auto"/>
        <w:rPr>
          <w:rFonts w:hint="default" w:ascii="宋体" w:hAnsi="宋体" w:eastAsia="宋体" w:cs="Times New Roman"/>
          <w:szCs w:val="21"/>
          <w:lang w:val="en-US" w:eastAsia="zh-CN"/>
        </w:rPr>
      </w:pPr>
      <w:r>
        <w:rPr>
          <w:rFonts w:hint="default" w:ascii="宋体" w:hAnsi="宋体" w:eastAsia="宋体" w:cs="Times New Roman"/>
          <w:szCs w:val="21"/>
          <w:lang w:val="en-US" w:eastAsia="zh-CN"/>
        </w:rPr>
        <w:t>[13] Chen QT, Ni JW, Xu J, et al. Study on TCM prescription generation driven by generative AI GPT-4. China Pharmacy. 2023;34(23):2825-2828.</w:t>
      </w:r>
    </w:p>
    <w:p w14:paraId="6A41FBE9">
      <w:pPr>
        <w:spacing w:line="480" w:lineRule="auto"/>
        <w:rPr>
          <w:rFonts w:hint="default" w:ascii="宋体" w:hAnsi="宋体" w:eastAsia="宋体" w:cs="Times New Roman"/>
          <w:szCs w:val="21"/>
          <w:lang w:val="en-US" w:eastAsia="zh-CN"/>
        </w:rPr>
      </w:pPr>
      <w:r>
        <w:rPr>
          <w:rFonts w:hint="default" w:ascii="宋体" w:hAnsi="宋体" w:eastAsia="宋体" w:cs="Times New Roman"/>
          <w:szCs w:val="21"/>
          <w:lang w:val="en-US" w:eastAsia="zh-CN"/>
        </w:rPr>
        <w:t>[14] Chen ZQ, Deng SM, Fu HY, et al. Difficulties, bottlenecks and breakthrough paths in constructing diagnosis and treatment models of renowned TCM practitioners based on artificial intelligence [J/OL]. World Science and Technology-Modernization of Traditional Chinese Medicine. 2026:1-12 [cited 2026 Mar 4]. https://link.cnki.net/urlid/11.5699.R.20260211.1827.002.</w:t>
      </w:r>
    </w:p>
    <w:p w14:paraId="2B9639B5">
      <w:pPr>
        <w:spacing w:line="480" w:lineRule="auto"/>
        <w:rPr>
          <w:rFonts w:hint="default" w:ascii="宋体" w:hAnsi="宋体" w:eastAsia="宋体" w:cs="Times New Roman"/>
          <w:szCs w:val="21"/>
          <w:lang w:val="en-US" w:eastAsia="zh-CN"/>
        </w:rPr>
      </w:pPr>
      <w:r>
        <w:rPr>
          <w:rFonts w:hint="default" w:ascii="宋体" w:hAnsi="宋体" w:eastAsia="宋体" w:cs="Times New Roman"/>
          <w:szCs w:val="21"/>
          <w:lang w:val="en-US" w:eastAsia="zh-CN"/>
        </w:rPr>
        <w:t>[15] Guo Y, Xu B, Zhao S, et al. Current status and application prospects of AI large language models in TCM diagnosis and treatment [J/OL]. Chinese Archives of Traditional Chinese Medicine. 2026:1-10 [cited 2026 Mar 4].</w:t>
      </w:r>
      <w:r>
        <w:rPr>
          <w:rFonts w:hint="eastAsia" w:ascii="宋体" w:hAnsi="宋体" w:eastAsia="宋体" w:cs="Times New Roman"/>
          <w:szCs w:val="21"/>
          <w:lang w:val="en-US" w:eastAsia="zh-CN"/>
        </w:rPr>
        <w:t xml:space="preserve"> </w:t>
      </w:r>
      <w:r>
        <w:rPr>
          <w:rFonts w:hint="default" w:ascii="宋体" w:hAnsi="宋体" w:eastAsia="宋体" w:cs="Times New Roman"/>
          <w:szCs w:val="21"/>
          <w:lang w:val="en-US" w:eastAsia="zh-CN"/>
        </w:rPr>
        <w:t>https://link.cnki.net/urlid/21.1546.R.20251106.0942.004.</w:t>
      </w:r>
    </w:p>
    <w:p w14:paraId="7882F2AA">
      <w:pPr>
        <w:spacing w:line="480" w:lineRule="auto"/>
        <w:rPr>
          <w:rFonts w:hint="default" w:ascii="宋体" w:hAnsi="宋体" w:eastAsia="宋体" w:cs="Times New Roman"/>
          <w:szCs w:val="21"/>
          <w:lang w:val="en-US" w:eastAsia="zh-CN"/>
        </w:rPr>
      </w:pPr>
      <w:r>
        <w:rPr>
          <w:rFonts w:hint="default" w:ascii="宋体" w:hAnsi="宋体" w:eastAsia="宋体" w:cs="Times New Roman"/>
          <w:szCs w:val="21"/>
          <w:lang w:val="en-US" w:eastAsia="zh-CN"/>
        </w:rPr>
        <w:t>[16] Zheng WT, Li JH, Tian SL, et al. A review on the development of functions and algorithms of TCM clinical decision support systems. China Digital Medicine. 2022;17(2):86-94.</w:t>
      </w:r>
    </w:p>
    <w:p w14:paraId="093A8676">
      <w:pPr>
        <w:spacing w:line="480" w:lineRule="auto"/>
        <w:rPr>
          <w:rFonts w:hint="default" w:ascii="宋体" w:hAnsi="宋体" w:eastAsia="宋体" w:cs="Times New Roman"/>
          <w:szCs w:val="21"/>
          <w:lang w:val="en-US" w:eastAsia="zh-CN"/>
        </w:rPr>
      </w:pPr>
      <w:r>
        <w:rPr>
          <w:rFonts w:hint="default" w:ascii="宋体" w:hAnsi="宋体" w:eastAsia="宋体" w:cs="Times New Roman"/>
          <w:szCs w:val="21"/>
          <w:lang w:val="en-US" w:eastAsia="zh-CN"/>
        </w:rPr>
        <w:t>[17] Wang X, Sun X, Yang L, et al. Reinforcement learning for LLM-based explainable TCM prescription recommendation with implicit preferences from small language models. Chinese Medicine. 2025;20(1):193.</w:t>
      </w:r>
    </w:p>
    <w:p w14:paraId="366421AC">
      <w:pPr>
        <w:spacing w:line="480" w:lineRule="auto"/>
        <w:rPr>
          <w:rFonts w:hint="default" w:ascii="宋体" w:hAnsi="宋体" w:eastAsia="宋体" w:cs="Times New Roman"/>
          <w:szCs w:val="21"/>
          <w:lang w:val="en-US" w:eastAsia="zh-CN"/>
        </w:rPr>
      </w:pPr>
      <w:r>
        <w:rPr>
          <w:rFonts w:hint="default" w:ascii="宋体" w:hAnsi="宋体" w:eastAsia="宋体" w:cs="Times New Roman"/>
          <w:szCs w:val="21"/>
          <w:lang w:val="en-US" w:eastAsia="zh-CN"/>
        </w:rPr>
        <w:t>[18] Qian ZZ, Dai XY, Zhang HL, et al. Construction of an intelligent decision-making model for TCM pattern differentiation and treatment based on multimodal data fusion – exploring diagnostic and treatment pathway optimization driven by deep learning. Chinese Journal of Evidence-Based Medicine. 2026;26(1):93-97.</w:t>
      </w:r>
    </w:p>
    <w:p w14:paraId="7C9E4377">
      <w:pPr>
        <w:spacing w:line="480" w:lineRule="auto"/>
        <w:rPr>
          <w:rFonts w:hint="default" w:ascii="宋体" w:hAnsi="宋体" w:eastAsia="宋体" w:cs="Times New Roman"/>
          <w:szCs w:val="21"/>
          <w:lang w:val="en-US" w:eastAsia="zh-CN"/>
        </w:rPr>
      </w:pPr>
      <w:r>
        <w:rPr>
          <w:rFonts w:hint="default" w:ascii="宋体" w:hAnsi="宋体" w:eastAsia="宋体" w:cs="Times New Roman"/>
          <w:szCs w:val="21"/>
          <w:lang w:val="en-US" w:eastAsia="zh-CN"/>
        </w:rPr>
        <w:t>[19] Wang SH, Li Y, Wang C. TCM prescription recommendation model based on importance sampling multi-graph convolution [J/OL]. Computer Technology and Development. 2026:1-10 [cited 2026 Mar 5].DOI</w:t>
      </w:r>
      <w:r>
        <w:rPr>
          <w:rFonts w:hint="eastAsia" w:ascii="宋体" w:hAnsi="宋体" w:eastAsia="宋体" w:cs="Times New Roman"/>
          <w:szCs w:val="21"/>
          <w:lang w:val="en-US" w:eastAsia="zh-CN"/>
        </w:rPr>
        <w:t>:</w:t>
      </w:r>
      <w:r>
        <w:rPr>
          <w:rFonts w:hint="default" w:ascii="宋体" w:hAnsi="宋体" w:eastAsia="宋体" w:cs="Times New Roman"/>
          <w:szCs w:val="21"/>
          <w:lang w:val="en-US" w:eastAsia="zh-CN"/>
        </w:rPr>
        <w:t>10.20165/j.cnki.ISSN1673-629X.2026.0018</w:t>
      </w:r>
      <w:r>
        <w:rPr>
          <w:rFonts w:hint="eastAsia" w:ascii="宋体" w:hAnsi="宋体" w:eastAsia="宋体" w:cs="Times New Roman"/>
          <w:szCs w:val="21"/>
          <w:lang w:val="en-US" w:eastAsia="zh-CN"/>
        </w:rPr>
        <w:t>.</w:t>
      </w:r>
    </w:p>
    <w:p w14:paraId="47ABAF01">
      <w:pPr>
        <w:spacing w:line="480" w:lineRule="auto"/>
        <w:rPr>
          <w:rFonts w:hint="default" w:ascii="宋体" w:hAnsi="宋体" w:eastAsia="宋体" w:cs="Times New Roman"/>
          <w:szCs w:val="21"/>
          <w:lang w:val="en-US" w:eastAsia="zh-CN"/>
        </w:rPr>
      </w:pPr>
      <w:r>
        <w:rPr>
          <w:rFonts w:hint="default" w:ascii="宋体" w:hAnsi="宋体" w:eastAsia="宋体" w:cs="Times New Roman"/>
          <w:szCs w:val="21"/>
          <w:lang w:val="en-US" w:eastAsia="zh-CN"/>
        </w:rPr>
        <w:t xml:space="preserve">[20] Yao Y, Li XT, Ma XB. Construction of TCM </w:t>
      </w:r>
      <w:r>
        <w:rPr>
          <w:rFonts w:hint="eastAsia" w:ascii="宋体" w:hAnsi="宋体" w:eastAsia="宋体" w:cs="Times New Roman"/>
          <w:szCs w:val="21"/>
          <w:lang w:val="en-US" w:eastAsia="zh-CN"/>
        </w:rPr>
        <w:t>"</w:t>
      </w:r>
      <w:r>
        <w:rPr>
          <w:rFonts w:hint="default" w:ascii="宋体" w:hAnsi="宋体" w:eastAsia="宋体" w:cs="Times New Roman"/>
          <w:szCs w:val="21"/>
          <w:lang w:val="en-US" w:eastAsia="zh-CN"/>
        </w:rPr>
        <w:t>formula-symptom</w:t>
      </w:r>
      <w:r>
        <w:rPr>
          <w:rFonts w:hint="eastAsia" w:ascii="宋体" w:hAnsi="宋体" w:eastAsia="宋体" w:cs="Times New Roman"/>
          <w:szCs w:val="21"/>
          <w:lang w:val="en-US" w:eastAsia="zh-CN"/>
        </w:rPr>
        <w:t>"</w:t>
      </w:r>
      <w:r>
        <w:rPr>
          <w:rFonts w:hint="default" w:ascii="宋体" w:hAnsi="宋体" w:eastAsia="宋体" w:cs="Times New Roman"/>
          <w:szCs w:val="21"/>
          <w:lang w:val="en-US" w:eastAsia="zh-CN"/>
        </w:rPr>
        <w:t xml:space="preserve"> pattern differentiation thinking model based on procedural and process-oriented methods. Journal of Traditional Chinese Medicine. 2026;67(1):10-15.</w:t>
      </w:r>
    </w:p>
    <w:p w14:paraId="13BF575C">
      <w:pPr>
        <w:spacing w:line="480" w:lineRule="auto"/>
        <w:rPr>
          <w:rFonts w:hint="default" w:ascii="宋体" w:hAnsi="宋体" w:eastAsia="宋体" w:cs="Times New Roman"/>
          <w:szCs w:val="21"/>
          <w:lang w:val="en-US" w:eastAsia="zh-CN"/>
        </w:rPr>
      </w:pPr>
      <w:r>
        <w:rPr>
          <w:rFonts w:hint="default" w:ascii="宋体" w:hAnsi="宋体" w:eastAsia="宋体" w:cs="Times New Roman"/>
          <w:szCs w:val="21"/>
          <w:lang w:val="en-US" w:eastAsia="zh-CN"/>
        </w:rPr>
        <w:t>[21] Zheng WT, Tong YY, Chai JQ, et al. DQN prescription recommendation system integrating syndrome differentiation confidence – a dynamic decision model for personalized TCM diagnosis and treatment. China Digital Medicine. 2026;21(2):85-94.</w:t>
      </w:r>
    </w:p>
    <w:p w14:paraId="4546DD03">
      <w:pPr>
        <w:spacing w:line="480" w:lineRule="auto"/>
        <w:rPr>
          <w:rFonts w:hint="default" w:ascii="宋体" w:hAnsi="宋体" w:eastAsia="宋体" w:cs="Times New Roman"/>
          <w:szCs w:val="21"/>
          <w:lang w:val="en-US" w:eastAsia="zh-CN"/>
        </w:rPr>
      </w:pPr>
      <w:r>
        <w:rPr>
          <w:rFonts w:hint="default" w:ascii="宋体" w:hAnsi="宋体" w:eastAsia="宋体" w:cs="Times New Roman"/>
          <w:szCs w:val="21"/>
          <w:lang w:val="en-US" w:eastAsia="zh-CN"/>
        </w:rPr>
        <w:t>[22] Duan YC. Research on interpretable TCM medical record question answering system based on knowledge graph and prompt engineering [master</w:t>
      </w:r>
      <w:r>
        <w:rPr>
          <w:rFonts w:hint="eastAsia" w:ascii="宋体" w:hAnsi="宋体" w:eastAsia="宋体" w:cs="Times New Roman"/>
          <w:szCs w:val="21"/>
          <w:lang w:val="en-US" w:eastAsia="zh-CN"/>
        </w:rPr>
        <w:t>'</w:t>
      </w:r>
      <w:r>
        <w:rPr>
          <w:rFonts w:hint="default" w:ascii="宋体" w:hAnsi="宋体" w:eastAsia="宋体" w:cs="Times New Roman"/>
          <w:szCs w:val="21"/>
          <w:lang w:val="en-US" w:eastAsia="zh-CN"/>
        </w:rPr>
        <w:t>s thesis]. Anhui University of Chinese Medicine; 2025.</w:t>
      </w:r>
    </w:p>
    <w:p w14:paraId="057BA444">
      <w:pPr>
        <w:spacing w:line="480" w:lineRule="auto"/>
        <w:rPr>
          <w:rFonts w:hint="default" w:ascii="宋体" w:hAnsi="宋体" w:eastAsia="宋体" w:cs="Times New Roman"/>
          <w:szCs w:val="21"/>
          <w:lang w:val="en-US" w:eastAsia="zh-CN"/>
        </w:rPr>
      </w:pPr>
      <w:r>
        <w:rPr>
          <w:rFonts w:hint="default" w:ascii="宋体" w:hAnsi="宋体" w:eastAsia="宋体" w:cs="Times New Roman"/>
          <w:szCs w:val="21"/>
          <w:lang w:val="en-US" w:eastAsia="zh-CN"/>
        </w:rPr>
        <w:t>[23] Zhang C, Tan L. Interpretable methods for personalized recommendation of traditional Chinese medicine. Journal of Intelligent Information Systems. 2025; (prepublish):1-24.</w:t>
      </w:r>
    </w:p>
    <w:p w14:paraId="0394C678">
      <w:pPr>
        <w:spacing w:line="480" w:lineRule="auto"/>
        <w:rPr>
          <w:rFonts w:hint="default" w:ascii="宋体" w:hAnsi="宋体" w:eastAsia="宋体" w:cs="Times New Roman"/>
          <w:szCs w:val="21"/>
          <w:lang w:val="en-US" w:eastAsia="zh-CN"/>
        </w:rPr>
      </w:pPr>
      <w:r>
        <w:rPr>
          <w:rFonts w:hint="default" w:ascii="宋体" w:hAnsi="宋体" w:eastAsia="宋体" w:cs="Times New Roman"/>
          <w:szCs w:val="21"/>
          <w:lang w:val="en-US" w:eastAsia="zh-CN"/>
        </w:rPr>
        <w:t>[24] Sun WY. A living transmission study of the renowned TCM practitioner Zhuang Zengyuan</w:t>
      </w:r>
      <w:r>
        <w:rPr>
          <w:rFonts w:hint="eastAsia" w:ascii="宋体" w:hAnsi="宋体" w:eastAsia="宋体" w:cs="Times New Roman"/>
          <w:szCs w:val="21"/>
          <w:lang w:val="en-US" w:eastAsia="zh-CN"/>
        </w:rPr>
        <w:t>'</w:t>
      </w:r>
      <w:r>
        <w:rPr>
          <w:rFonts w:hint="default" w:ascii="宋体" w:hAnsi="宋体" w:eastAsia="宋体" w:cs="Times New Roman"/>
          <w:szCs w:val="21"/>
          <w:lang w:val="en-US" w:eastAsia="zh-CN"/>
        </w:rPr>
        <w:t>s diagnosis and treatment of age-related macular degeneration [doctoral dissertation]. China Academy of Chinese Medical Sciences; 2025.</w:t>
      </w:r>
    </w:p>
    <w:p w14:paraId="174A0B45">
      <w:pPr>
        <w:spacing w:line="480" w:lineRule="auto"/>
        <w:rPr>
          <w:rFonts w:hint="default" w:ascii="宋体" w:hAnsi="宋体" w:eastAsia="宋体" w:cs="Times New Roman"/>
          <w:szCs w:val="21"/>
          <w:lang w:val="en-US" w:eastAsia="zh-CN"/>
        </w:rPr>
      </w:pPr>
      <w:r>
        <w:rPr>
          <w:rFonts w:hint="default" w:ascii="宋体" w:hAnsi="宋体" w:eastAsia="宋体" w:cs="Times New Roman"/>
          <w:szCs w:val="21"/>
          <w:lang w:val="en-US" w:eastAsia="zh-CN"/>
        </w:rPr>
        <w:t>[25] Wu ZC. Bi syndrome: a dominant disease for acupuncture treatment. Chinese Acupuncture &amp; Moxibustion. 2018;38(12):1340.</w:t>
      </w:r>
    </w:p>
    <w:p w14:paraId="13F0E190">
      <w:pPr>
        <w:spacing w:line="480" w:lineRule="auto"/>
        <w:rPr>
          <w:rFonts w:hint="default" w:ascii="宋体" w:hAnsi="宋体" w:eastAsia="宋体" w:cs="Times New Roman"/>
          <w:szCs w:val="21"/>
          <w:lang w:val="en-US" w:eastAsia="zh-CN"/>
        </w:rPr>
      </w:pPr>
      <w:r>
        <w:rPr>
          <w:rFonts w:hint="default" w:ascii="宋体" w:hAnsi="宋体" w:eastAsia="宋体" w:cs="Times New Roman"/>
          <w:szCs w:val="21"/>
          <w:lang w:val="en-US" w:eastAsia="zh-CN"/>
        </w:rPr>
        <w:t>[26] Tian SL, Wang YH, Li JH, et al. Discussion on diagnostic criteria for Bi syndrome. Journal of Traditional Chinese Medicine. 2020;61(5):414-417.</w:t>
      </w:r>
    </w:p>
    <w:p w14:paraId="2D7F2C1A">
      <w:pPr>
        <w:spacing w:line="480" w:lineRule="auto"/>
        <w:rPr>
          <w:rFonts w:hint="default" w:ascii="宋体" w:hAnsi="宋体" w:eastAsia="宋体" w:cs="Times New Roman"/>
          <w:szCs w:val="21"/>
          <w:lang w:val="en-US" w:eastAsia="zh-CN"/>
        </w:rPr>
      </w:pPr>
      <w:r>
        <w:rPr>
          <w:rFonts w:hint="default" w:ascii="宋体" w:hAnsi="宋体" w:eastAsia="宋体" w:cs="Times New Roman"/>
          <w:szCs w:val="21"/>
          <w:lang w:val="en-US" w:eastAsia="zh-CN"/>
        </w:rPr>
        <w:t>[27] Jiang N, Tian XP, Zeng XF. Interpretation of the 2024 Chinese guidelines for the diagnosis and treatment of rheumatoid arthritis. Medical Journal of Peking Union Medical College Hospital. 2025;16(1):28-34.</w:t>
      </w:r>
    </w:p>
    <w:p w14:paraId="75246124">
      <w:pPr>
        <w:spacing w:line="480" w:lineRule="auto"/>
        <w:rPr>
          <w:rFonts w:hint="default" w:ascii="宋体" w:hAnsi="宋体" w:eastAsia="宋体" w:cs="Times New Roman"/>
          <w:szCs w:val="21"/>
          <w:lang w:val="en-US" w:eastAsia="zh-CN"/>
        </w:rPr>
      </w:pPr>
      <w:r>
        <w:rPr>
          <w:rFonts w:hint="default" w:ascii="宋体" w:hAnsi="宋体" w:eastAsia="宋体" w:cs="Times New Roman"/>
          <w:szCs w:val="21"/>
          <w:lang w:val="en-US" w:eastAsia="zh-CN"/>
        </w:rPr>
        <w:t>[28] Zhuang LL, Feng YB. Research on the current development status and improvement paths of pediatric rheumatology. Modern Medicine. 2024;52(S1):223-227.</w:t>
      </w:r>
    </w:p>
    <w:p w14:paraId="01150CB2">
      <w:pPr>
        <w:spacing w:line="480" w:lineRule="auto"/>
        <w:rPr>
          <w:rFonts w:hint="default" w:ascii="宋体" w:hAnsi="宋体" w:eastAsia="宋体" w:cs="Times New Roman"/>
          <w:szCs w:val="21"/>
          <w:lang w:val="en-US" w:eastAsia="zh-CN"/>
        </w:rPr>
      </w:pPr>
      <w:r>
        <w:rPr>
          <w:rFonts w:hint="default" w:ascii="宋体" w:hAnsi="宋体" w:eastAsia="宋体" w:cs="Times New Roman"/>
          <w:szCs w:val="21"/>
          <w:lang w:val="en-US" w:eastAsia="zh-CN"/>
        </w:rPr>
        <w:t>[29] Ye LY, Jin XM, Liu X, et al. Questionnaire survey on standardized residency training in rheumatology and immunology. Chinese Higher Medical Education. 2024;(8):45-47.</w:t>
      </w:r>
    </w:p>
    <w:p w14:paraId="30CC12C4">
      <w:pPr>
        <w:spacing w:line="480" w:lineRule="auto"/>
        <w:rPr>
          <w:rFonts w:hint="default"/>
          <w:lang w:val="en-US" w:eastAsia="zh-CN"/>
        </w:rPr>
      </w:pPr>
      <w:r>
        <w:rPr>
          <w:rFonts w:hint="default" w:ascii="宋体" w:hAnsi="宋体" w:eastAsia="宋体" w:cs="Times New Roman"/>
          <w:szCs w:val="21"/>
          <w:lang w:val="en-US" w:eastAsia="zh-CN"/>
        </w:rPr>
        <w:t>[30] Xu WF. Research on diagnosis and treatment decision support based on electronic medical records of patients with rheumatoid arthritis [doctoral dissertation]. University of Science and Technology of China; 2023</w:t>
      </w:r>
      <w:r>
        <w:rPr>
          <w:rFonts w:hint="eastAsia" w:ascii="宋体" w:hAnsi="宋体" w:eastAsia="宋体" w:cs="Times New Roman"/>
          <w:szCs w:val="21"/>
          <w:lang w:val="en-US" w:eastAsia="zh-CN"/>
        </w:rPr>
        <w:t>.</w:t>
      </w:r>
      <w:bookmarkEnd w:id="0"/>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lnNumType w:countBy="1" w:restart="continuou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5C5C9">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DE54D0">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ADE54D0">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8B9C5D"/>
    <w:multiLevelType w:val="singleLevel"/>
    <w:tmpl w:val="8F8B9C5D"/>
    <w:lvl w:ilvl="0" w:tentative="0">
      <w:start w:val="1"/>
      <w:numFmt w:val="decimal"/>
      <w:suff w:val="space"/>
      <w:lvlText w:val="%1."/>
      <w:lvlJc w:val="left"/>
    </w:lvl>
  </w:abstractNum>
  <w:abstractNum w:abstractNumId="1">
    <w:nsid w:val="922B9752"/>
    <w:multiLevelType w:val="singleLevel"/>
    <w:tmpl w:val="922B9752"/>
    <w:lvl w:ilvl="0" w:tentative="0">
      <w:start w:val="1"/>
      <w:numFmt w:val="bullet"/>
      <w:lvlText w:val=""/>
      <w:lvlJc w:val="left"/>
      <w:pPr>
        <w:ind w:left="420" w:hanging="420"/>
      </w:pPr>
      <w:rPr>
        <w:rFonts w:hint="default" w:ascii="Wingdings" w:hAnsi="Wingdings"/>
      </w:rPr>
    </w:lvl>
  </w:abstractNum>
  <w:abstractNum w:abstractNumId="2">
    <w:nsid w:val="AB22F24B"/>
    <w:multiLevelType w:val="singleLevel"/>
    <w:tmpl w:val="AB22F24B"/>
    <w:lvl w:ilvl="0" w:tentative="0">
      <w:start w:val="1"/>
      <w:numFmt w:val="decimal"/>
      <w:suff w:val="space"/>
      <w:lvlText w:val="(%1)"/>
      <w:lvlJc w:val="left"/>
    </w:lvl>
  </w:abstractNum>
  <w:abstractNum w:abstractNumId="3">
    <w:nsid w:val="EA1C2D6D"/>
    <w:multiLevelType w:val="singleLevel"/>
    <w:tmpl w:val="EA1C2D6D"/>
    <w:lvl w:ilvl="0" w:tentative="0">
      <w:start w:val="1"/>
      <w:numFmt w:val="bullet"/>
      <w:lvlText w:val=""/>
      <w:lvlJc w:val="left"/>
      <w:pPr>
        <w:ind w:left="420" w:hanging="420"/>
      </w:pPr>
      <w:rPr>
        <w:rFonts w:hint="default" w:ascii="Wingdings" w:hAnsi="Wingdings"/>
      </w:rPr>
    </w:lvl>
  </w:abstractNum>
  <w:abstractNum w:abstractNumId="4">
    <w:nsid w:val="ECF5FF34"/>
    <w:multiLevelType w:val="singleLevel"/>
    <w:tmpl w:val="ECF5FF34"/>
    <w:lvl w:ilvl="0" w:tentative="0">
      <w:start w:val="1"/>
      <w:numFmt w:val="decimal"/>
      <w:suff w:val="space"/>
      <w:lvlText w:val="%1."/>
      <w:lvlJc w:val="left"/>
    </w:lvl>
  </w:abstractNum>
  <w:abstractNum w:abstractNumId="5">
    <w:nsid w:val="F67B98EA"/>
    <w:multiLevelType w:val="singleLevel"/>
    <w:tmpl w:val="F67B98EA"/>
    <w:lvl w:ilvl="0" w:tentative="0">
      <w:start w:val="1"/>
      <w:numFmt w:val="bullet"/>
      <w:lvlText w:val=""/>
      <w:lvlJc w:val="left"/>
      <w:pPr>
        <w:ind w:left="420" w:hanging="420"/>
      </w:pPr>
      <w:rPr>
        <w:rFonts w:hint="default" w:ascii="Wingdings" w:hAnsi="Wingdings"/>
      </w:rPr>
    </w:lvl>
  </w:abstractNum>
  <w:abstractNum w:abstractNumId="6">
    <w:nsid w:val="06D08362"/>
    <w:multiLevelType w:val="singleLevel"/>
    <w:tmpl w:val="06D08362"/>
    <w:lvl w:ilvl="0" w:tentative="0">
      <w:start w:val="1"/>
      <w:numFmt w:val="bullet"/>
      <w:lvlText w:val=""/>
      <w:lvlJc w:val="left"/>
      <w:pPr>
        <w:ind w:left="420" w:hanging="420"/>
      </w:pPr>
      <w:rPr>
        <w:rFonts w:hint="default" w:ascii="Wingdings" w:hAnsi="Wingdings"/>
      </w:rPr>
    </w:lvl>
  </w:abstractNum>
  <w:abstractNum w:abstractNumId="7">
    <w:nsid w:val="0A1841D1"/>
    <w:multiLevelType w:val="singleLevel"/>
    <w:tmpl w:val="0A1841D1"/>
    <w:lvl w:ilvl="0" w:tentative="0">
      <w:start w:val="1"/>
      <w:numFmt w:val="decimal"/>
      <w:suff w:val="space"/>
      <w:lvlText w:val="%1."/>
      <w:lvlJc w:val="left"/>
    </w:lvl>
  </w:abstractNum>
  <w:abstractNum w:abstractNumId="8">
    <w:nsid w:val="4411D413"/>
    <w:multiLevelType w:val="singleLevel"/>
    <w:tmpl w:val="4411D413"/>
    <w:lvl w:ilvl="0" w:tentative="0">
      <w:start w:val="1"/>
      <w:numFmt w:val="decimal"/>
      <w:suff w:val="space"/>
      <w:lvlText w:val="%1."/>
      <w:lvlJc w:val="left"/>
    </w:lvl>
  </w:abstractNum>
  <w:abstractNum w:abstractNumId="9">
    <w:nsid w:val="6AFE7AFF"/>
    <w:multiLevelType w:val="singleLevel"/>
    <w:tmpl w:val="6AFE7AFF"/>
    <w:lvl w:ilvl="0" w:tentative="0">
      <w:start w:val="1"/>
      <w:numFmt w:val="decimal"/>
      <w:suff w:val="space"/>
      <w:lvlText w:val="%1."/>
      <w:lvlJc w:val="left"/>
    </w:lvl>
  </w:abstractNum>
  <w:num w:numId="1">
    <w:abstractNumId w:val="3"/>
  </w:num>
  <w:num w:numId="2">
    <w:abstractNumId w:val="8"/>
  </w:num>
  <w:num w:numId="3">
    <w:abstractNumId w:val="4"/>
  </w:num>
  <w:num w:numId="4">
    <w:abstractNumId w:val="0"/>
  </w:num>
  <w:num w:numId="5">
    <w:abstractNumId w:val="2"/>
  </w:num>
  <w:num w:numId="6">
    <w:abstractNumId w:val="7"/>
  </w:num>
  <w:num w:numId="7">
    <w:abstractNumId w:val="9"/>
  </w:num>
  <w:num w:numId="8">
    <w:abstractNumId w:val="1"/>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3957D3"/>
    <w:rsid w:val="003E236B"/>
    <w:rsid w:val="003E2B43"/>
    <w:rsid w:val="006E51C3"/>
    <w:rsid w:val="009769CA"/>
    <w:rsid w:val="00A566D5"/>
    <w:rsid w:val="00F42C96"/>
    <w:rsid w:val="0123171D"/>
    <w:rsid w:val="012E3A4A"/>
    <w:rsid w:val="0187584A"/>
    <w:rsid w:val="01B110AA"/>
    <w:rsid w:val="01CD73E6"/>
    <w:rsid w:val="02016914"/>
    <w:rsid w:val="0225140E"/>
    <w:rsid w:val="024A59CE"/>
    <w:rsid w:val="025D2311"/>
    <w:rsid w:val="02EC357C"/>
    <w:rsid w:val="03597E40"/>
    <w:rsid w:val="0396439D"/>
    <w:rsid w:val="03BF43D6"/>
    <w:rsid w:val="03D63D35"/>
    <w:rsid w:val="03FD6B43"/>
    <w:rsid w:val="041C6F4E"/>
    <w:rsid w:val="0425785D"/>
    <w:rsid w:val="048F6880"/>
    <w:rsid w:val="04A348A8"/>
    <w:rsid w:val="05147537"/>
    <w:rsid w:val="051A342A"/>
    <w:rsid w:val="05423531"/>
    <w:rsid w:val="05792518"/>
    <w:rsid w:val="05914531"/>
    <w:rsid w:val="05B031E4"/>
    <w:rsid w:val="06097DF4"/>
    <w:rsid w:val="0618720B"/>
    <w:rsid w:val="06214111"/>
    <w:rsid w:val="064231A7"/>
    <w:rsid w:val="0676235A"/>
    <w:rsid w:val="06801C3B"/>
    <w:rsid w:val="06A57905"/>
    <w:rsid w:val="06CE3F39"/>
    <w:rsid w:val="077F04D9"/>
    <w:rsid w:val="07A6157D"/>
    <w:rsid w:val="07CE3F81"/>
    <w:rsid w:val="07E741AF"/>
    <w:rsid w:val="07F6780E"/>
    <w:rsid w:val="0862453B"/>
    <w:rsid w:val="08890EF8"/>
    <w:rsid w:val="08AE1472"/>
    <w:rsid w:val="08C276F9"/>
    <w:rsid w:val="08D850F5"/>
    <w:rsid w:val="091A749D"/>
    <w:rsid w:val="0979739A"/>
    <w:rsid w:val="09914565"/>
    <w:rsid w:val="09BE680A"/>
    <w:rsid w:val="09D1170E"/>
    <w:rsid w:val="09DE4A06"/>
    <w:rsid w:val="0AA90CF0"/>
    <w:rsid w:val="0AD23916"/>
    <w:rsid w:val="0ADE46E3"/>
    <w:rsid w:val="0B5C2DB3"/>
    <w:rsid w:val="0BB356ED"/>
    <w:rsid w:val="0BD63E8B"/>
    <w:rsid w:val="0C4E5BBE"/>
    <w:rsid w:val="0CA43CE5"/>
    <w:rsid w:val="0CCC572B"/>
    <w:rsid w:val="0CFB1E35"/>
    <w:rsid w:val="0D5437E3"/>
    <w:rsid w:val="0D5B47C8"/>
    <w:rsid w:val="0DF611DD"/>
    <w:rsid w:val="0E695E63"/>
    <w:rsid w:val="0E7B6CC7"/>
    <w:rsid w:val="0E8F73F2"/>
    <w:rsid w:val="0EAD0264"/>
    <w:rsid w:val="0ECC5CD4"/>
    <w:rsid w:val="0F460EB4"/>
    <w:rsid w:val="0F561C60"/>
    <w:rsid w:val="0F6C28ED"/>
    <w:rsid w:val="0F7C5D76"/>
    <w:rsid w:val="0FB17AC9"/>
    <w:rsid w:val="0FCC1027"/>
    <w:rsid w:val="10406C6C"/>
    <w:rsid w:val="105C75E2"/>
    <w:rsid w:val="108A4FA0"/>
    <w:rsid w:val="10DA0087"/>
    <w:rsid w:val="11323F23"/>
    <w:rsid w:val="11E9181B"/>
    <w:rsid w:val="12BC5E48"/>
    <w:rsid w:val="13024AE1"/>
    <w:rsid w:val="13067956"/>
    <w:rsid w:val="1345032A"/>
    <w:rsid w:val="135E1EE8"/>
    <w:rsid w:val="13877D40"/>
    <w:rsid w:val="13F044A7"/>
    <w:rsid w:val="142B1385"/>
    <w:rsid w:val="14D323AC"/>
    <w:rsid w:val="14DB2412"/>
    <w:rsid w:val="14F16107"/>
    <w:rsid w:val="14FD12C6"/>
    <w:rsid w:val="15034E08"/>
    <w:rsid w:val="15D63EB2"/>
    <w:rsid w:val="16640041"/>
    <w:rsid w:val="168B1BB6"/>
    <w:rsid w:val="16E81EF1"/>
    <w:rsid w:val="17681CF4"/>
    <w:rsid w:val="18333A1E"/>
    <w:rsid w:val="184342CE"/>
    <w:rsid w:val="18514D04"/>
    <w:rsid w:val="185E219B"/>
    <w:rsid w:val="18895F85"/>
    <w:rsid w:val="18F71505"/>
    <w:rsid w:val="190744E1"/>
    <w:rsid w:val="1950798B"/>
    <w:rsid w:val="19923902"/>
    <w:rsid w:val="19E50363"/>
    <w:rsid w:val="19F60794"/>
    <w:rsid w:val="1A3E78F8"/>
    <w:rsid w:val="1A5018AD"/>
    <w:rsid w:val="1A553930"/>
    <w:rsid w:val="1AAD06BA"/>
    <w:rsid w:val="1AC83FBD"/>
    <w:rsid w:val="1B136F76"/>
    <w:rsid w:val="1B65082C"/>
    <w:rsid w:val="1B753A98"/>
    <w:rsid w:val="1BB817E1"/>
    <w:rsid w:val="1BCC7D2A"/>
    <w:rsid w:val="1BF956CF"/>
    <w:rsid w:val="1BFF0B90"/>
    <w:rsid w:val="1C1054BE"/>
    <w:rsid w:val="1C33576D"/>
    <w:rsid w:val="1C7D65EE"/>
    <w:rsid w:val="1C7F71E8"/>
    <w:rsid w:val="1CC12F9C"/>
    <w:rsid w:val="1D2579B7"/>
    <w:rsid w:val="1DCA4107"/>
    <w:rsid w:val="1DE34C93"/>
    <w:rsid w:val="1E21051B"/>
    <w:rsid w:val="1EB450DB"/>
    <w:rsid w:val="1EC01001"/>
    <w:rsid w:val="1ED631A5"/>
    <w:rsid w:val="1EE83214"/>
    <w:rsid w:val="1F4A0F65"/>
    <w:rsid w:val="1F5C044F"/>
    <w:rsid w:val="1F6E513F"/>
    <w:rsid w:val="1F801FF3"/>
    <w:rsid w:val="1FE0373B"/>
    <w:rsid w:val="1FF76AFF"/>
    <w:rsid w:val="202B32B1"/>
    <w:rsid w:val="20363689"/>
    <w:rsid w:val="20D506EC"/>
    <w:rsid w:val="212F207F"/>
    <w:rsid w:val="21AB524C"/>
    <w:rsid w:val="220E16ED"/>
    <w:rsid w:val="225E46A3"/>
    <w:rsid w:val="22A46DC3"/>
    <w:rsid w:val="22C93178"/>
    <w:rsid w:val="23210024"/>
    <w:rsid w:val="23B626A0"/>
    <w:rsid w:val="23D75E28"/>
    <w:rsid w:val="23DF1969"/>
    <w:rsid w:val="24423C0B"/>
    <w:rsid w:val="24550A9F"/>
    <w:rsid w:val="25223279"/>
    <w:rsid w:val="25354498"/>
    <w:rsid w:val="25477A76"/>
    <w:rsid w:val="25C468EC"/>
    <w:rsid w:val="25D01626"/>
    <w:rsid w:val="2615738A"/>
    <w:rsid w:val="262F0958"/>
    <w:rsid w:val="267A3685"/>
    <w:rsid w:val="26926505"/>
    <w:rsid w:val="26D15547"/>
    <w:rsid w:val="2732544B"/>
    <w:rsid w:val="27430627"/>
    <w:rsid w:val="27561C28"/>
    <w:rsid w:val="278F23BE"/>
    <w:rsid w:val="280D04A4"/>
    <w:rsid w:val="281E7F00"/>
    <w:rsid w:val="28983825"/>
    <w:rsid w:val="28B11647"/>
    <w:rsid w:val="28B42586"/>
    <w:rsid w:val="2900009D"/>
    <w:rsid w:val="29422464"/>
    <w:rsid w:val="294D7B95"/>
    <w:rsid w:val="296151B8"/>
    <w:rsid w:val="297B5976"/>
    <w:rsid w:val="298A1172"/>
    <w:rsid w:val="298F3DBD"/>
    <w:rsid w:val="29C966E1"/>
    <w:rsid w:val="2A421663"/>
    <w:rsid w:val="2A6119FC"/>
    <w:rsid w:val="2A81602A"/>
    <w:rsid w:val="2AA64D3B"/>
    <w:rsid w:val="2AB96EC1"/>
    <w:rsid w:val="2ADA2ADB"/>
    <w:rsid w:val="2AF37B03"/>
    <w:rsid w:val="2B2E0950"/>
    <w:rsid w:val="2BDB3982"/>
    <w:rsid w:val="2C262B02"/>
    <w:rsid w:val="2C761EC6"/>
    <w:rsid w:val="2CEC7043"/>
    <w:rsid w:val="2D224CAC"/>
    <w:rsid w:val="2D2A6B27"/>
    <w:rsid w:val="2D483079"/>
    <w:rsid w:val="2D7F27F1"/>
    <w:rsid w:val="2D8E5ADB"/>
    <w:rsid w:val="2DB674E1"/>
    <w:rsid w:val="2DBF1599"/>
    <w:rsid w:val="2DD70DA2"/>
    <w:rsid w:val="2DE64CDC"/>
    <w:rsid w:val="2DF21B6F"/>
    <w:rsid w:val="2DFA520E"/>
    <w:rsid w:val="2E2E15F6"/>
    <w:rsid w:val="2EA133FF"/>
    <w:rsid w:val="2F717719"/>
    <w:rsid w:val="2FF00AF9"/>
    <w:rsid w:val="30912F99"/>
    <w:rsid w:val="30915A7F"/>
    <w:rsid w:val="30BD720D"/>
    <w:rsid w:val="30E262DA"/>
    <w:rsid w:val="31340B94"/>
    <w:rsid w:val="313B6F9A"/>
    <w:rsid w:val="314A536E"/>
    <w:rsid w:val="31720167"/>
    <w:rsid w:val="31EC70F5"/>
    <w:rsid w:val="31F52099"/>
    <w:rsid w:val="32C55D1A"/>
    <w:rsid w:val="32F4153A"/>
    <w:rsid w:val="332B2000"/>
    <w:rsid w:val="332C31B3"/>
    <w:rsid w:val="334212F0"/>
    <w:rsid w:val="335735E5"/>
    <w:rsid w:val="339E453D"/>
    <w:rsid w:val="33AD12D4"/>
    <w:rsid w:val="33F629CD"/>
    <w:rsid w:val="345E3ECA"/>
    <w:rsid w:val="35A8704D"/>
    <w:rsid w:val="35AA5754"/>
    <w:rsid w:val="35AC461D"/>
    <w:rsid w:val="35DF02EF"/>
    <w:rsid w:val="35E56A24"/>
    <w:rsid w:val="3650596D"/>
    <w:rsid w:val="36666836"/>
    <w:rsid w:val="36A738F6"/>
    <w:rsid w:val="36C4142A"/>
    <w:rsid w:val="36D265FE"/>
    <w:rsid w:val="36ED5430"/>
    <w:rsid w:val="36EF36EB"/>
    <w:rsid w:val="37426BA0"/>
    <w:rsid w:val="37AC1C93"/>
    <w:rsid w:val="38777FB4"/>
    <w:rsid w:val="38843935"/>
    <w:rsid w:val="38A511DA"/>
    <w:rsid w:val="38AA06AD"/>
    <w:rsid w:val="38B22CB8"/>
    <w:rsid w:val="38E17366"/>
    <w:rsid w:val="391B1873"/>
    <w:rsid w:val="39537CB9"/>
    <w:rsid w:val="39630EB6"/>
    <w:rsid w:val="396E7247"/>
    <w:rsid w:val="39895872"/>
    <w:rsid w:val="3A421A9E"/>
    <w:rsid w:val="3A5F28A7"/>
    <w:rsid w:val="3A7A0696"/>
    <w:rsid w:val="3A952661"/>
    <w:rsid w:val="3B281A9B"/>
    <w:rsid w:val="3B5A1221"/>
    <w:rsid w:val="3B7B29B8"/>
    <w:rsid w:val="3BD55437"/>
    <w:rsid w:val="3BF839C6"/>
    <w:rsid w:val="3C137C90"/>
    <w:rsid w:val="3C8963A2"/>
    <w:rsid w:val="3CB61A62"/>
    <w:rsid w:val="3CDD2778"/>
    <w:rsid w:val="3DB633CE"/>
    <w:rsid w:val="3E4568CA"/>
    <w:rsid w:val="3E4D6C76"/>
    <w:rsid w:val="3E622522"/>
    <w:rsid w:val="3E743D61"/>
    <w:rsid w:val="3E8821FB"/>
    <w:rsid w:val="3E980E36"/>
    <w:rsid w:val="3EAD2662"/>
    <w:rsid w:val="3EC3599D"/>
    <w:rsid w:val="3F091446"/>
    <w:rsid w:val="3F501CA4"/>
    <w:rsid w:val="3F863696"/>
    <w:rsid w:val="3FA375C8"/>
    <w:rsid w:val="3FBB5DB3"/>
    <w:rsid w:val="3FBD249F"/>
    <w:rsid w:val="3FBE251C"/>
    <w:rsid w:val="3FC46A7B"/>
    <w:rsid w:val="3FFB29DE"/>
    <w:rsid w:val="407C15D8"/>
    <w:rsid w:val="41B20A9B"/>
    <w:rsid w:val="420226D9"/>
    <w:rsid w:val="423C13D2"/>
    <w:rsid w:val="42C676EF"/>
    <w:rsid w:val="431274B4"/>
    <w:rsid w:val="43146A57"/>
    <w:rsid w:val="43243AB5"/>
    <w:rsid w:val="43F81C45"/>
    <w:rsid w:val="444E200D"/>
    <w:rsid w:val="44926147"/>
    <w:rsid w:val="449D369B"/>
    <w:rsid w:val="44D437FB"/>
    <w:rsid w:val="44D926C3"/>
    <w:rsid w:val="44F15D77"/>
    <w:rsid w:val="4570367A"/>
    <w:rsid w:val="45A32CAB"/>
    <w:rsid w:val="45B40DFA"/>
    <w:rsid w:val="45B45068"/>
    <w:rsid w:val="45B5636D"/>
    <w:rsid w:val="45CD0EAF"/>
    <w:rsid w:val="46953F4C"/>
    <w:rsid w:val="47014F92"/>
    <w:rsid w:val="47B86A37"/>
    <w:rsid w:val="47CF2D24"/>
    <w:rsid w:val="48804281"/>
    <w:rsid w:val="48AB2B47"/>
    <w:rsid w:val="48AE671E"/>
    <w:rsid w:val="48FD384B"/>
    <w:rsid w:val="49897178"/>
    <w:rsid w:val="498F04DE"/>
    <w:rsid w:val="49B33379"/>
    <w:rsid w:val="49D519F2"/>
    <w:rsid w:val="4A1B0A65"/>
    <w:rsid w:val="4A634417"/>
    <w:rsid w:val="4A9B77CE"/>
    <w:rsid w:val="4ABE0D49"/>
    <w:rsid w:val="4AE07264"/>
    <w:rsid w:val="4B4551BA"/>
    <w:rsid w:val="4B843A81"/>
    <w:rsid w:val="4BC357D1"/>
    <w:rsid w:val="4C3967C4"/>
    <w:rsid w:val="4C410774"/>
    <w:rsid w:val="4C700EF1"/>
    <w:rsid w:val="4C910E89"/>
    <w:rsid w:val="4CAD5597"/>
    <w:rsid w:val="4CB61657"/>
    <w:rsid w:val="4CF030CE"/>
    <w:rsid w:val="4D234AC9"/>
    <w:rsid w:val="4D2C09A2"/>
    <w:rsid w:val="4D7D31BB"/>
    <w:rsid w:val="4DA70238"/>
    <w:rsid w:val="4DD51249"/>
    <w:rsid w:val="4E300B5E"/>
    <w:rsid w:val="4E3E776F"/>
    <w:rsid w:val="4E4E53BF"/>
    <w:rsid w:val="4EBA2DB7"/>
    <w:rsid w:val="4EC8490A"/>
    <w:rsid w:val="4EF01737"/>
    <w:rsid w:val="4F01326F"/>
    <w:rsid w:val="4F0444B0"/>
    <w:rsid w:val="4F271A41"/>
    <w:rsid w:val="4F6278CF"/>
    <w:rsid w:val="4FB429C4"/>
    <w:rsid w:val="4FBE1360"/>
    <w:rsid w:val="4FF166B7"/>
    <w:rsid w:val="505E7DDA"/>
    <w:rsid w:val="50DD5D6A"/>
    <w:rsid w:val="50E32140"/>
    <w:rsid w:val="50FC4057"/>
    <w:rsid w:val="51243049"/>
    <w:rsid w:val="518C58ED"/>
    <w:rsid w:val="5203159A"/>
    <w:rsid w:val="520C4428"/>
    <w:rsid w:val="52435FF9"/>
    <w:rsid w:val="52514A49"/>
    <w:rsid w:val="52AD66C6"/>
    <w:rsid w:val="52D341F1"/>
    <w:rsid w:val="530C1E60"/>
    <w:rsid w:val="53AD14FE"/>
    <w:rsid w:val="53DA62C5"/>
    <w:rsid w:val="54056C6C"/>
    <w:rsid w:val="54311BAF"/>
    <w:rsid w:val="547F7572"/>
    <w:rsid w:val="54AC059B"/>
    <w:rsid w:val="54B07EFF"/>
    <w:rsid w:val="54C646C0"/>
    <w:rsid w:val="54C855A5"/>
    <w:rsid w:val="55557991"/>
    <w:rsid w:val="55775BC0"/>
    <w:rsid w:val="55BC453A"/>
    <w:rsid w:val="55DA1F6B"/>
    <w:rsid w:val="56041D14"/>
    <w:rsid w:val="5621105A"/>
    <w:rsid w:val="56636203"/>
    <w:rsid w:val="569A3030"/>
    <w:rsid w:val="57004F79"/>
    <w:rsid w:val="57290F91"/>
    <w:rsid w:val="576D30A3"/>
    <w:rsid w:val="58040170"/>
    <w:rsid w:val="582F6BBC"/>
    <w:rsid w:val="583C0F42"/>
    <w:rsid w:val="58523BC2"/>
    <w:rsid w:val="5886571D"/>
    <w:rsid w:val="58CE6FC1"/>
    <w:rsid w:val="58EF0DF9"/>
    <w:rsid w:val="59AB1BA3"/>
    <w:rsid w:val="59C363FA"/>
    <w:rsid w:val="59DB3743"/>
    <w:rsid w:val="5A114B53"/>
    <w:rsid w:val="5A1D69CB"/>
    <w:rsid w:val="5A623658"/>
    <w:rsid w:val="5AC24977"/>
    <w:rsid w:val="5ADF3408"/>
    <w:rsid w:val="5AF736DB"/>
    <w:rsid w:val="5B4A78B3"/>
    <w:rsid w:val="5B4F6759"/>
    <w:rsid w:val="5BDB7642"/>
    <w:rsid w:val="5BE10621"/>
    <w:rsid w:val="5BE53865"/>
    <w:rsid w:val="5C075F07"/>
    <w:rsid w:val="5C1A29AA"/>
    <w:rsid w:val="5C277CB7"/>
    <w:rsid w:val="5C312559"/>
    <w:rsid w:val="5C502E84"/>
    <w:rsid w:val="5CDA7564"/>
    <w:rsid w:val="5D1C5416"/>
    <w:rsid w:val="5D2C0F6F"/>
    <w:rsid w:val="5D3119D1"/>
    <w:rsid w:val="5D5A7075"/>
    <w:rsid w:val="5D6F6A3F"/>
    <w:rsid w:val="5D7D25F1"/>
    <w:rsid w:val="5DB1168C"/>
    <w:rsid w:val="5DD04279"/>
    <w:rsid w:val="5E2307DC"/>
    <w:rsid w:val="5E803118"/>
    <w:rsid w:val="5EA323D3"/>
    <w:rsid w:val="5EA80A59"/>
    <w:rsid w:val="5EA82DFF"/>
    <w:rsid w:val="5EB366A7"/>
    <w:rsid w:val="5EB500DD"/>
    <w:rsid w:val="5EF73C40"/>
    <w:rsid w:val="5F1F7027"/>
    <w:rsid w:val="5F392B72"/>
    <w:rsid w:val="5FA30509"/>
    <w:rsid w:val="603E705D"/>
    <w:rsid w:val="606A06BA"/>
    <w:rsid w:val="60C62EAA"/>
    <w:rsid w:val="60E51BA8"/>
    <w:rsid w:val="612F4F80"/>
    <w:rsid w:val="613F041D"/>
    <w:rsid w:val="616E1CFF"/>
    <w:rsid w:val="617E0582"/>
    <w:rsid w:val="61880D1E"/>
    <w:rsid w:val="61C60977"/>
    <w:rsid w:val="61FC06FB"/>
    <w:rsid w:val="621C1DB7"/>
    <w:rsid w:val="625472E1"/>
    <w:rsid w:val="627C4C22"/>
    <w:rsid w:val="62D81AB9"/>
    <w:rsid w:val="63824048"/>
    <w:rsid w:val="63985450"/>
    <w:rsid w:val="63AB7F6F"/>
    <w:rsid w:val="63BD7310"/>
    <w:rsid w:val="63D27772"/>
    <w:rsid w:val="640761ED"/>
    <w:rsid w:val="6473767B"/>
    <w:rsid w:val="647B46E8"/>
    <w:rsid w:val="648869AC"/>
    <w:rsid w:val="64B8471E"/>
    <w:rsid w:val="65AB453F"/>
    <w:rsid w:val="65B243E4"/>
    <w:rsid w:val="65DA3948"/>
    <w:rsid w:val="6609788A"/>
    <w:rsid w:val="66A01E6F"/>
    <w:rsid w:val="66D333E8"/>
    <w:rsid w:val="66F12997"/>
    <w:rsid w:val="67475AFF"/>
    <w:rsid w:val="67541BF9"/>
    <w:rsid w:val="680210FA"/>
    <w:rsid w:val="68214D4E"/>
    <w:rsid w:val="683B7761"/>
    <w:rsid w:val="6873736D"/>
    <w:rsid w:val="688A1BF9"/>
    <w:rsid w:val="68997A2B"/>
    <w:rsid w:val="68B07650"/>
    <w:rsid w:val="68B729BD"/>
    <w:rsid w:val="68B834D5"/>
    <w:rsid w:val="68C71AD1"/>
    <w:rsid w:val="68CC40F7"/>
    <w:rsid w:val="68DF045E"/>
    <w:rsid w:val="68E60EF6"/>
    <w:rsid w:val="695B21AB"/>
    <w:rsid w:val="69B1073E"/>
    <w:rsid w:val="6A0932EF"/>
    <w:rsid w:val="6A254C33"/>
    <w:rsid w:val="6A7774B8"/>
    <w:rsid w:val="6A954C15"/>
    <w:rsid w:val="6B1C774A"/>
    <w:rsid w:val="6B460637"/>
    <w:rsid w:val="6B724805"/>
    <w:rsid w:val="6B9A3148"/>
    <w:rsid w:val="6BF036FE"/>
    <w:rsid w:val="6C13569F"/>
    <w:rsid w:val="6C1806B8"/>
    <w:rsid w:val="6C346800"/>
    <w:rsid w:val="6C6469B5"/>
    <w:rsid w:val="6C6602DB"/>
    <w:rsid w:val="6CBA7B30"/>
    <w:rsid w:val="6CDB338B"/>
    <w:rsid w:val="6D8C3992"/>
    <w:rsid w:val="6DE40E56"/>
    <w:rsid w:val="6DF87AF7"/>
    <w:rsid w:val="6DFC2CEF"/>
    <w:rsid w:val="6E064D88"/>
    <w:rsid w:val="6E0A3294"/>
    <w:rsid w:val="6E245261"/>
    <w:rsid w:val="6EE8016F"/>
    <w:rsid w:val="6F252125"/>
    <w:rsid w:val="6F601648"/>
    <w:rsid w:val="6FC85E2C"/>
    <w:rsid w:val="700852D9"/>
    <w:rsid w:val="70375E28"/>
    <w:rsid w:val="70486F96"/>
    <w:rsid w:val="70626E1E"/>
    <w:rsid w:val="707D0B1B"/>
    <w:rsid w:val="708822B6"/>
    <w:rsid w:val="70934D58"/>
    <w:rsid w:val="712E5597"/>
    <w:rsid w:val="717E19C2"/>
    <w:rsid w:val="71922E29"/>
    <w:rsid w:val="71DE745D"/>
    <w:rsid w:val="72057E7E"/>
    <w:rsid w:val="721D0D9F"/>
    <w:rsid w:val="722327BB"/>
    <w:rsid w:val="726666D1"/>
    <w:rsid w:val="72737CFB"/>
    <w:rsid w:val="72B03039"/>
    <w:rsid w:val="735835D5"/>
    <w:rsid w:val="738B621F"/>
    <w:rsid w:val="73A52F57"/>
    <w:rsid w:val="73E20E2C"/>
    <w:rsid w:val="740D179A"/>
    <w:rsid w:val="74507828"/>
    <w:rsid w:val="74AF0F5C"/>
    <w:rsid w:val="74B268A6"/>
    <w:rsid w:val="74D700C5"/>
    <w:rsid w:val="74DB6AF9"/>
    <w:rsid w:val="7564182E"/>
    <w:rsid w:val="756873F7"/>
    <w:rsid w:val="75B016AE"/>
    <w:rsid w:val="75D474B4"/>
    <w:rsid w:val="75D85A64"/>
    <w:rsid w:val="75F5457B"/>
    <w:rsid w:val="767C23D7"/>
    <w:rsid w:val="76A673B6"/>
    <w:rsid w:val="76F77C4B"/>
    <w:rsid w:val="772C4E0E"/>
    <w:rsid w:val="772D4414"/>
    <w:rsid w:val="7755067B"/>
    <w:rsid w:val="77B2116C"/>
    <w:rsid w:val="77CD3D32"/>
    <w:rsid w:val="780D041A"/>
    <w:rsid w:val="784E1CF0"/>
    <w:rsid w:val="786C5A1D"/>
    <w:rsid w:val="78826E9D"/>
    <w:rsid w:val="78AD7B0B"/>
    <w:rsid w:val="78F64F2B"/>
    <w:rsid w:val="79172A57"/>
    <w:rsid w:val="791E765C"/>
    <w:rsid w:val="793A736F"/>
    <w:rsid w:val="7953098A"/>
    <w:rsid w:val="79D26633"/>
    <w:rsid w:val="79D5080E"/>
    <w:rsid w:val="7A5145CD"/>
    <w:rsid w:val="7A985D4F"/>
    <w:rsid w:val="7AD149C3"/>
    <w:rsid w:val="7AEA2E64"/>
    <w:rsid w:val="7B176C94"/>
    <w:rsid w:val="7B1B78B4"/>
    <w:rsid w:val="7B377D40"/>
    <w:rsid w:val="7B7436E7"/>
    <w:rsid w:val="7B7F75A9"/>
    <w:rsid w:val="7BFC216D"/>
    <w:rsid w:val="7C046812"/>
    <w:rsid w:val="7C23428D"/>
    <w:rsid w:val="7C4405EC"/>
    <w:rsid w:val="7C692CFE"/>
    <w:rsid w:val="7C847C5A"/>
    <w:rsid w:val="7CC11C19"/>
    <w:rsid w:val="7D154DA7"/>
    <w:rsid w:val="7D892353"/>
    <w:rsid w:val="7D9A1336"/>
    <w:rsid w:val="7DD670F1"/>
    <w:rsid w:val="7DD86DC5"/>
    <w:rsid w:val="7E2E5C88"/>
    <w:rsid w:val="7E5751DF"/>
    <w:rsid w:val="7E8678A1"/>
    <w:rsid w:val="7EC62889"/>
    <w:rsid w:val="7EE10F4C"/>
    <w:rsid w:val="7F034FD4"/>
    <w:rsid w:val="7F261355"/>
    <w:rsid w:val="7F2716CD"/>
    <w:rsid w:val="7F34450B"/>
    <w:rsid w:val="7F7B57DB"/>
    <w:rsid w:val="7F7F3529"/>
    <w:rsid w:val="7FD10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3">
    <w:name w:val="Default Paragraph Font"/>
    <w:semiHidden/>
    <w:qFormat/>
    <w:uiPriority w:val="0"/>
  </w:style>
  <w:style w:type="table" w:default="1" w:styleId="11">
    <w:name w:val="Normal Table"/>
    <w:semiHidden/>
    <w:qFormat/>
    <w:uiPriority w:val="0"/>
    <w:pPr>
      <w:keepNext w:val="0"/>
      <w:keepLines w:val="0"/>
      <w:widowControl/>
      <w:suppressLineNumbers w:val="0"/>
      <w:spacing w:before="0" w:beforeAutospacing="0" w:after="160" w:afterAutospacing="0" w:line="276" w:lineRule="auto"/>
      <w:ind w:left="0" w:right="0"/>
    </w:pPr>
    <w:rPr>
      <w:rFonts w:hint="eastAsia" w:ascii="等线" w:hAnsi="等线" w:eastAsia="等线" w:cs="等线"/>
      <w:kern w:val="2"/>
      <w:sz w:val="22"/>
      <w:szCs w:val="24"/>
    </w:rPr>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Strong"/>
    <w:basedOn w:val="13"/>
    <w:qFormat/>
    <w:uiPriority w:val="0"/>
    <w:rPr>
      <w:b/>
    </w:rPr>
  </w:style>
  <w:style w:type="character" w:styleId="15">
    <w:name w:val="Emphasis"/>
    <w:basedOn w:val="13"/>
    <w:qFormat/>
    <w:uiPriority w:val="0"/>
    <w:rPr>
      <w:i/>
    </w:rPr>
  </w:style>
  <w:style w:type="character" w:styleId="16">
    <w:name w:val="Hyperlink"/>
    <w:basedOn w:val="13"/>
    <w:qFormat/>
    <w:uiPriority w:val="0"/>
    <w:rPr>
      <w:color w:val="0000FF"/>
      <w:u w:val="single"/>
    </w:rPr>
  </w:style>
  <w:style w:type="character" w:styleId="17">
    <w:name w:val="HTML Code"/>
    <w:basedOn w:val="13"/>
    <w:qFormat/>
    <w:uiPriority w:val="0"/>
    <w:rPr>
      <w:rFonts w:ascii="Courier New" w:hAnsi="Courier New"/>
      <w:sz w:val="20"/>
    </w:rPr>
  </w:style>
  <w:style w:type="paragraph" w:customStyle="1" w:styleId="18">
    <w:name w:val="正文tsl"/>
    <w:basedOn w:val="1"/>
    <w:qFormat/>
    <w:uiPriority w:val="0"/>
    <w:pPr>
      <w:spacing w:line="360" w:lineRule="auto"/>
      <w:ind w:firstLine="560" w:firstLineChars="200"/>
    </w:pPr>
    <w:rPr>
      <w:sz w:val="24"/>
      <w:szCs w:val="28"/>
    </w:rPr>
  </w:style>
  <w:style w:type="paragraph" w:customStyle="1" w:styleId="19">
    <w:name w:val="gdp标题2"/>
    <w:basedOn w:val="1"/>
    <w:qFormat/>
    <w:uiPriority w:val="0"/>
    <w:pPr>
      <w:spacing w:line="360" w:lineRule="auto"/>
    </w:pPr>
    <w:rPr>
      <w:rFonts w:ascii="Calibri" w:hAnsi="Calibri" w:eastAsia="宋体" w:cs="Times New Roman"/>
      <w:b/>
      <w:sz w:val="24"/>
      <w:szCs w:val="21"/>
    </w:rPr>
  </w:style>
  <w:style w:type="paragraph" w:customStyle="1" w:styleId="20">
    <w:name w:val="样式1"/>
    <w:basedOn w:val="1"/>
    <w:qFormat/>
    <w:uiPriority w:val="0"/>
    <w:pPr>
      <w:spacing w:before="25" w:beforeLines="25" w:after="25" w:afterLines="25"/>
    </w:pPr>
    <w:rPr>
      <w:rFonts w:hint="eastAsia" w:ascii="Times New Roman" w:hAnsi="Times New Roman" w:eastAsia="宋体" w:cs="Times New Roman"/>
      <w:b/>
      <w:bCs/>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emf"/><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3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4121</Words>
  <Characters>27082</Characters>
  <Lines>0</Lines>
  <Paragraphs>0</Paragraphs>
  <TotalTime>69</TotalTime>
  <ScaleCrop>false</ScaleCrop>
  <LinksUpToDate>false</LinksUpToDate>
  <CharactersWithSpaces>31057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2026-01-06T01:37:00Z</dcterms:created>
  <dc:creator>onetime</dc:creator>
  <cp:lastModifiedBy>田少磊</cp:lastModifiedBy>
  <dcterms:modified xsi:type="dcterms:W3CDTF">2026-06-25T02:01:18Z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eyJoZGlkIjoiMDljYzUzMWQ4OWI0YzBkYjYzMDRhZTY5ZjZkYmFmYTgiLCJ1c2VySWQiOiIxNTQ5OTk4OTU4In0=</vt:lpwstr>
  </property>
  <property fmtid="{D5CDD505-2E9C-101B-9397-08002B2CF9AE}" pid="4" name="ICV">
    <vt:lpwstr>8BEA9D590FEE436B9998ACC55FDAF69E_13</vt:lpwstr>
  </property>
</Properties>
</file>