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大语言模型在中医药领域评测研究：现状、问题与展望</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本文系统梳理近年来LLMs中医药评测研究的进展，从评测基准构建、模型性能比较和核心场景评测实践三个方面展开综述，并对现有评测体系的核心局限作批判性分析。研究发现：评测基准已从标准化考试延伸到辨证思维、处方审核、古汉语理解等细粒度能力评估；通用LLMs与中医专用LLMs在知识回忆和临床推理方面都存在明显短板；现有评测体系以文本封闭假设替代中医多感官诊断范式，带来能力评估虚高、安全评价缺位和临床效用偏估等系统性问题。在此基础上，本文从多模态数据基础设施建设、分层评测标准体系构建、评测方法论创新和真实世界临床验证四个方面，提出中医药LLMs评测研究的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pPr>
        <w:spacing w:before="120" w:after="60"/>
      </w:pPr>
      <w:r>
        <w:rPr>
          <w:rFonts w:ascii="宋体" w:hAnsi="宋体" w:eastAsia="宋体"/>
          <w:b/>
          <w:sz w:val="28"/>
        </w:rPr>
        <w:t>2. 中医药领域大语言模型评测研究现状</w:t>
      </w:r>
    </w:p>
    <w:p>
      <w:pPr>
        <w:spacing w:before="80" w:after="40"/>
      </w:pPr>
      <w:r>
        <w:rPr>
          <w:rFonts w:ascii="宋体" w:hAnsi="宋体" w:eastAsia="宋体"/>
          <w:b/>
          <w:sz w:val="26"/>
        </w:rPr>
        <w:t>2.1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同样基于诊断选择数据集，通过整合辨证思维与排除推理来提高诊断准确性。近期评测开始从静态病案转向动态、交互式场景，如ATCMD-Bench通过多智能体模拟构建动态诊断环境[9]，DCB则覆盖问诊、辨证、处方、分析的全流程并引入扰动以贴近真实接诊[10]。</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总体看，多数LLM评测仍局限于文本模态，多模态基准的数量和规模都明显不足。</w:t>
      </w:r>
    </w:p>
    <w:p>
      <w:pPr>
        <w:spacing w:before="80" w:after="40"/>
      </w:pPr>
      <w:r>
        <w:rPr>
          <w:rFonts w:ascii="宋体" w:hAnsi="宋体" w:eastAsia="宋体"/>
          <w:b/>
          <w:sz w:val="26"/>
        </w:rPr>
        <w:t>2.2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应把安全性放在与准确性同等、甚至更重要的位置[11]。</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语言和文化背景会明显影响模型表现。Jang等[4]对GPT-4在韩医考试中的评估，反映出模型处理文化适应性医学知识时的困难；Ghanad等[24]比较GPT与ERNIE在中国中医执业医师考试上的表现，国产ERNIE-4.0以81.7%领先，明显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spacing w:before="80" w:after="40"/>
      </w:pPr>
      <w:r>
        <w:rPr>
          <w:rFonts w:ascii="宋体" w:hAnsi="宋体" w:eastAsia="宋体"/>
          <w:b/>
          <w:sz w:val="26"/>
        </w:rPr>
        <w:t>2.3 中医药核心场景下的评测实践</w:t>
      </w:r>
    </w:p>
    <w:p>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pPr>
        <w:spacing w:before="40" w:after="20"/>
        <w:ind w:firstLine="425"/>
        <w:jc w:val="both"/>
      </w:pPr>
      <w:r>
        <w:rPr>
          <w:rFonts w:ascii="宋体" w:hAnsi="宋体" w:eastAsia="宋体"/>
          <w:b/>
          <w:sz w:val="24"/>
        </w:rPr>
        <w:t>（1）知识增强型问答与辨证系统</w:t>
      </w:r>
    </w:p>
    <w:p>
      <w:pPr>
        <w:spacing w:before="20" w:after="20"/>
        <w:ind w:firstLine="425"/>
        <w:jc w:val="both"/>
      </w:pPr>
      <w:r>
        <w:rPr>
          <w:rFonts w:ascii="宋体" w:hAnsi="宋体" w:eastAsia="宋体"/>
          <w:b w:val="0"/>
          <w:sz w:val="24"/>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spacing w:before="40" w:after="20"/>
        <w:ind w:firstLine="425"/>
        <w:jc w:val="both"/>
      </w:pPr>
      <w:r>
        <w:rPr>
          <w:rFonts w:ascii="宋体" w:hAnsi="宋体" w:eastAsia="宋体"/>
          <w:b/>
          <w:sz w:val="24"/>
        </w:rPr>
        <w:t>（2）处方审核与方剂应用</w:t>
      </w:r>
    </w:p>
    <w:p>
      <w:pPr>
        <w:spacing w:before="20" w:after="20"/>
        <w:ind w:firstLine="425"/>
        <w:jc w:val="both"/>
      </w:pPr>
      <w:r>
        <w:rPr>
          <w:rFonts w:ascii="宋体" w:hAnsi="宋体" w:eastAsia="宋体"/>
          <w:b w:val="0"/>
          <w:sz w:val="24"/>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spacing w:before="40" w:after="20"/>
        <w:ind w:firstLine="425"/>
        <w:jc w:val="both"/>
      </w:pPr>
      <w:r>
        <w:rPr>
          <w:rFonts w:ascii="宋体" w:hAnsi="宋体" w:eastAsia="宋体"/>
          <w:b/>
          <w:sz w:val="24"/>
        </w:rPr>
        <w:t>（3）多模态与真实交互场景</w:t>
      </w:r>
    </w:p>
    <w:p>
      <w:pPr>
        <w:spacing w:before="20" w:after="20"/>
        <w:ind w:firstLine="425"/>
        <w:jc w:val="both"/>
      </w:pPr>
      <w:r>
        <w:rPr>
          <w:rFonts w:ascii="宋体" w:hAnsi="宋体" w:eastAsia="宋体"/>
          <w:b w:val="0"/>
          <w:sz w:val="24"/>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spacing w:before="40" w:after="20"/>
        <w:ind w:firstLine="425"/>
        <w:jc w:val="both"/>
      </w:pPr>
      <w:r>
        <w:rPr>
          <w:rFonts w:ascii="宋体" w:hAnsi="宋体" w:eastAsia="宋体"/>
          <w:b/>
          <w:sz w:val="24"/>
        </w:rPr>
        <w:t>（4）教育与考试辅助</w:t>
      </w:r>
    </w:p>
    <w:p>
      <w:pPr>
        <w:spacing w:before="20" w:after="20"/>
        <w:ind w:firstLine="425"/>
        <w:jc w:val="both"/>
      </w:pPr>
      <w:r>
        <w:rPr>
          <w:rFonts w:ascii="宋体" w:hAnsi="宋体" w:eastAsia="宋体"/>
          <w:b w:val="0"/>
          <w:sz w:val="24"/>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spacing w:before="120" w:after="60"/>
      </w:pPr>
      <w:r>
        <w:rPr>
          <w:rFonts w:ascii="宋体" w:hAnsi="宋体" w:eastAsia="宋体"/>
          <w:b/>
          <w:sz w:val="28"/>
        </w:rPr>
        <w:t>3. 现有评测体系的核心局限与批判性述评</w:t>
      </w:r>
    </w:p>
    <w:p>
      <w:pPr>
        <w:spacing w:before="80" w:after="40"/>
      </w:pPr>
      <w:r>
        <w:rPr>
          <w:rFonts w:ascii="宋体" w:hAnsi="宋体" w:eastAsia="宋体"/>
          <w:b/>
          <w:sz w:val="26"/>
        </w:rPr>
        <w:t>3.1 能力评估虚高：文本封闭假设与中医多感官诊断范式的错位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现有评测基准以标准化考试和静态问答为主，而中医临床辨证是一个动态的、依赖情境的过程。郝梦[6]虽将辨证过程形式化为思维链，但评测场景仍限于预设病案，难以再现真实临床中医患互动的复杂性。问题的核心在于，文本映射任务上的良好表现掩盖了中医临床所需的多感官、具身、情境依赖认知过程的评估缺失。</w:t>
      </w:r>
    </w:p>
    <w:p>
      <w:pPr>
        <w:spacing w:before="80" w:after="40"/>
      </w:pPr>
      <w:r>
        <w:rPr>
          <w:rFonts w:ascii="宋体" w:hAnsi="宋体" w:eastAsia="宋体"/>
          <w:b/>
          <w:sz w:val="26"/>
        </w:rPr>
        <w:t>3.2 安全评价失位：医疗红线维度的系统性缺失</w:t>
      </w:r>
    </w:p>
    <w:p>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3.3 临床效用偏估：离线基准与真实临床场景的脱节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4. 中医药大语言模型评测体系的未来发展方向</w:t>
      </w:r>
    </w:p>
    <w:p>
      <w:pPr>
        <w:spacing w:before="80" w:after="40"/>
      </w:pPr>
      <w:r>
        <w:rPr>
          <w:rFonts w:ascii="宋体" w:hAnsi="宋体" w:eastAsia="宋体"/>
          <w:b/>
          <w:sz w:val="26"/>
        </w:rPr>
        <w:t>4.1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[38]梳理了中医四诊客观化的仪器与方法积累，这些基础具备向评测数据集转化的条件，需要政策和资金层面协同推进。</w:t>
      </w:r>
    </w:p>
    <w:p>
      <w:pPr>
        <w:spacing w:before="80" w:after="40"/>
      </w:pPr>
      <w:r>
        <w:rPr>
          <w:rFonts w:ascii="宋体" w:hAnsi="宋体" w:eastAsia="宋体"/>
          <w:b/>
          <w:sz w:val="26"/>
        </w:rPr>
        <w:t>4.2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spacing w:before="80" w:after="40"/>
      </w:pPr>
      <w:r>
        <w:rPr>
          <w:rFonts w:ascii="宋体" w:hAnsi="宋体" w:eastAsia="宋体"/>
          <w:b/>
          <w:sz w:val="26"/>
        </w:rPr>
        <w:t>4.3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4.4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5.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 YANG G Y, LI H T, et al. Tuning and clinical application of large language models in traditional Chinese medicine: scoping review[J]. Chinese Medicine, 2026.</w:t>
      </w:r>
    </w:p>
    <w:p>
      <w:pPr>
        <w:spacing w:before="20" w:after="20"/>
        <w:ind w:hanging="480" w:left="480"/>
        <w:jc w:val="both"/>
      </w:pPr>
      <w:r>
        <w:rPr>
          <w:rFonts w:ascii="宋体" w:hAnsi="宋体" w:eastAsia="宋体"/>
          <w:b w:val="0"/>
          <w:sz w:val="21"/>
        </w:rPr>
        <w:t>[2] YIP H F, LI Z M, ZHANG L, et al. Large language models in integrative medicine: progress, challenges, and opportunities[J]. Journal of Evidence-Based Medicine, 2025.</w:t>
      </w:r>
    </w:p>
    <w:p>
      <w:pPr>
        <w:spacing w:before="20" w:after="20"/>
        <w:ind w:hanging="480" w:left="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w:t>
      </w:r>
    </w:p>
    <w:p>
      <w:pPr>
        <w:spacing w:before="20" w:after="20"/>
        <w:ind w:hanging="480" w:left="480"/>
        <w:jc w:val="both"/>
      </w:pPr>
      <w:r>
        <w:rPr>
          <w:rFonts w:ascii="宋体" w:hAnsi="宋体" w:eastAsia="宋体"/>
          <w:b w:val="0"/>
          <w:sz w:val="21"/>
        </w:rPr>
        <w:t>[4] JANG D Y, YUN T R, LEE C Y, et al. GPT-4 can pass the Korean National Licensing Examination for Korean Medicine Doctors[J]. PLOS Digital Health, 2023.</w:t>
      </w:r>
    </w:p>
    <w:p>
      <w:pPr>
        <w:spacing w:before="20" w:after="20"/>
        <w:ind w:hanging="480" w:left="480"/>
        <w:jc w:val="both"/>
      </w:pPr>
      <w:r>
        <w:rPr>
          <w:rFonts w:ascii="宋体" w:hAnsi="宋体" w:eastAsia="宋体"/>
          <w:b w:val="0"/>
          <w:sz w:val="21"/>
        </w:rPr>
        <w:t>[5] 曹露, 许林, 张宇洁, 等. 大语言模型在中医领域的标准化评估[J]. 南京中医药大学学报, 2024, 40(12): 1383-1392.</w:t>
      </w:r>
    </w:p>
    <w:p>
      <w:pPr>
        <w:spacing w:before="20" w:after="20"/>
        <w:ind w:hanging="480" w:left="480"/>
        <w:jc w:val="both"/>
      </w:pPr>
      <w:r>
        <w:rPr>
          <w:rFonts w:ascii="宋体" w:hAnsi="宋体" w:eastAsia="宋体"/>
          <w:b w:val="0"/>
          <w:sz w:val="21"/>
        </w:rPr>
        <w:t>[6] 郝梦. 面向大语言模型的中医辨证思维测评数据集构建研究[D]. 北京: 中国中医科学院, 2025.</w:t>
      </w:r>
    </w:p>
    <w:p>
      <w:pPr>
        <w:spacing w:before="20" w:after="20"/>
        <w:ind w:hanging="480" w:left="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w:t>
      </w:r>
    </w:p>
    <w:p>
      <w:pPr>
        <w:spacing w:before="20" w:after="20"/>
        <w:ind w:hanging="480" w:left="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w:t>
      </w:r>
    </w:p>
    <w:p>
      <w:pPr>
        <w:spacing w:before="20" w:after="20"/>
        <w:ind w:hanging="480" w:left="480"/>
        <w:jc w:val="both"/>
      </w:pPr>
      <w:r>
        <w:rPr>
          <w:rFonts w:ascii="宋体" w:hAnsi="宋体" w:eastAsia="宋体"/>
          <w:b w:val="0"/>
          <w:sz w:val="21"/>
        </w:rPr>
        <w:t>[9] LIN J X, DAI G, PENG W J, et al. ATCMD-Bench: agentic traditional Chinese medicine diagnosis benchmark for large language models via multi-agent simulation[J]. Pattern Recognition, 2026, 179: 113679.</w:t>
      </w:r>
    </w:p>
    <w:p>
      <w:pPr>
        <w:spacing w:before="20" w:after="20"/>
        <w:ind w:hanging="480" w:left="480"/>
        <w:jc w:val="both"/>
      </w:pPr>
      <w:r>
        <w:rPr>
          <w:rFonts w:ascii="宋体" w:hAnsi="宋体" w:eastAsia="宋体"/>
          <w:b w:val="0"/>
          <w:sz w:val="21"/>
        </w:rPr>
        <w:t>[10] SHI D S, YI X, LI Y, et al. Benchmarking large language models for end-to-end clinical support in traditional Chinese medicine[J]. Expert Systems with Applications, 2026, 325: 132267.</w:t>
      </w:r>
    </w:p>
    <w:p>
      <w:pPr>
        <w:spacing w:before="20" w:after="20"/>
        <w:ind w:hanging="480" w:left="480"/>
        <w:jc w:val="both"/>
      </w:pPr>
      <w:r>
        <w:rPr>
          <w:rFonts w:ascii="宋体" w:hAnsi="宋体" w:eastAsia="宋体"/>
          <w:b w:val="0"/>
          <w:sz w:val="21"/>
        </w:rPr>
        <w:t>[11] ZHENG Y W, YUAN J L, LIU L, et al. Evaluating large language models in traditional Chinese medicine with enhanced misinformation detection[C]// Companion of the 2025 ACM International Joint Conference on Pervasive and Ubiquitous Computing. New York: ACM, 2025.</w:t>
      </w:r>
    </w:p>
    <w:p>
      <w:pPr>
        <w:spacing w:before="20" w:after="20"/>
        <w:ind w:hanging="480" w:left="480"/>
        <w:jc w:val="both"/>
      </w:pPr>
      <w:r>
        <w:rPr>
          <w:rFonts w:ascii="宋体" w:hAnsi="宋体" w:eastAsia="宋体"/>
          <w:b w:val="0"/>
          <w:sz w:val="21"/>
        </w:rPr>
        <w:t>[12] WANG B F, LU Y W, WANG Z, et al. TCMEval-PA: a question-answering benchmark dataset for the prescription audit of traditional Chinese medicine[J]. Scientific Data, 2025.</w:t>
      </w:r>
    </w:p>
    <w:p>
      <w:pPr>
        <w:spacing w:before="20" w:after="20"/>
        <w:ind w:hanging="480" w:left="480"/>
        <w:jc w:val="both"/>
      </w:pPr>
      <w:r>
        <w:rPr>
          <w:rFonts w:ascii="宋体" w:hAnsi="宋体" w:eastAsia="宋体"/>
          <w:b w:val="0"/>
          <w:sz w:val="21"/>
        </w:rPr>
        <w:t>[13] LU H M, LIU L, YUAN J L, et al. TCM-Align: curriculum-aligned MCQ generation for traditional Chinese medicine[C]// Companion of the 2025 ACM International Joint Conference on Pervasive and Ubiquitous Computing. New York: ACM, 2025.</w:t>
      </w:r>
    </w:p>
    <w:p>
      <w:pPr>
        <w:spacing w:before="20" w:after="20"/>
        <w:ind w:hanging="480" w:left="480"/>
        <w:jc w:val="both"/>
      </w:pPr>
      <w:r>
        <w:rPr>
          <w:rFonts w:ascii="宋体" w:hAnsi="宋体" w:eastAsia="宋体"/>
          <w:b w:val="0"/>
          <w:sz w:val="21"/>
        </w:rPr>
        <w:t>[14] 赵尚卿, 兰曼, 柏晓鹏, 等. 负屃：古汉语文本理解与生成能力评测基准[J]. 中文信息学报, 2026.</w:t>
      </w:r>
    </w:p>
    <w:p>
      <w:pPr>
        <w:spacing w:before="20" w:after="20"/>
        <w:ind w:hanging="480" w:left="480"/>
        <w:jc w:val="both"/>
      </w:pPr>
      <w:r>
        <w:rPr>
          <w:rFonts w:ascii="宋体" w:hAnsi="宋体" w:eastAsia="宋体"/>
          <w:b w:val="0"/>
          <w:sz w:val="21"/>
        </w:rPr>
        <w:t>[15] YU N, HUANG J, LIU J, et al. Development of a cold-heat syndrome classification model for children with allergic rhinitis based on multimodal data[J]. Translational Pediatrics, 2025, 14(12): 3375-3386.</w:t>
      </w:r>
    </w:p>
    <w:p>
      <w:pPr>
        <w:spacing w:before="20" w:after="20"/>
        <w:ind w:hanging="480" w:left="480"/>
        <w:jc w:val="both"/>
      </w:pPr>
      <w:r>
        <w:rPr>
          <w:rFonts w:ascii="宋体" w:hAnsi="宋体" w:eastAsia="宋体"/>
          <w:b w:val="0"/>
          <w:sz w:val="21"/>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pPr>
        <w:spacing w:before="20" w:after="20"/>
        <w:ind w:hanging="480" w:left="480"/>
        <w:jc w:val="both"/>
      </w:pPr>
      <w:r>
        <w:rPr>
          <w:rFonts w:ascii="宋体" w:hAnsi="宋体" w:eastAsia="宋体"/>
          <w:b w:val="0"/>
          <w:sz w:val="21"/>
        </w:rPr>
        <w:t>[17] FU C Z, FU Z L, YAN S J, et al. In-context multitask learning for few-shot fine-tuning of large language models in traditional Chinese medicine tongue diagnosis[C]// ICASSP 2025 - 2025 IEEE International Conference on Acoustics, Speech and Signal Processing (ICASSP). IEEE, 2025.</w:t>
      </w:r>
    </w:p>
    <w:p>
      <w:pPr>
        <w:spacing w:before="20" w:after="20"/>
        <w:ind w:hanging="480" w:left="480"/>
        <w:jc w:val="both"/>
      </w:pPr>
      <w:r>
        <w:rPr>
          <w:rFonts w:ascii="宋体" w:hAnsi="宋体" w:eastAsia="宋体"/>
          <w:b w:val="0"/>
          <w:sz w:val="21"/>
        </w:rPr>
        <w:t>[18] 张童, 王一凡, 王若佳, 等. 面向中医药领域专业能力的生成式大语言模型对比研究[J]. 中华中医药学刊, 2025.</w:t>
      </w:r>
    </w:p>
    <w:p>
      <w:pPr>
        <w:spacing w:before="20" w:after="20"/>
        <w:ind w:hanging="480" w:left="480"/>
        <w:jc w:val="both"/>
      </w:pPr>
      <w:r>
        <w:rPr>
          <w:rFonts w:ascii="宋体" w:hAnsi="宋体" w:eastAsia="宋体"/>
          <w:b w:val="0"/>
          <w:sz w:val="21"/>
        </w:rPr>
        <w:t>[19] DAI Y Z, SHAO X, ZHANG J L, et al. TCMChat: a generative large language model for traditional Chinese medicine[J]. Pharmacological Research, 2024.</w:t>
      </w:r>
    </w:p>
    <w:p>
      <w:pPr>
        <w:spacing w:before="20" w:after="20"/>
        <w:ind w:hanging="480" w:left="480"/>
        <w:jc w:val="both"/>
      </w:pPr>
      <w:r>
        <w:rPr>
          <w:rFonts w:ascii="宋体" w:hAnsi="宋体" w:eastAsia="宋体"/>
          <w:b w:val="0"/>
          <w:sz w:val="21"/>
        </w:rPr>
        <w:t>[20] TONG X M, DING X Z, JIA H R, et al. XuanHuGPT: parameter-efficient fine-tuning of large language model in the field of traditional Chinese medicine[J]. Chinese Medicine, 2025.</w:t>
      </w:r>
    </w:p>
    <w:p>
      <w:pPr>
        <w:spacing w:before="20" w:after="20"/>
        <w:ind w:hanging="480" w:left="480"/>
        <w:jc w:val="both"/>
      </w:pPr>
      <w:r>
        <w:rPr>
          <w:rFonts w:ascii="宋体" w:hAnsi="宋体" w:eastAsia="宋体"/>
          <w:b w:val="0"/>
          <w:sz w:val="21"/>
        </w:rPr>
        <w:t>[21] JIA Y Z, JI X Y, WANG X, et al. Qibo: a large language model for traditional Chinese medicine[J]. Expert Systems with Applications, 2025.</w:t>
      </w:r>
    </w:p>
    <w:p>
      <w:pPr>
        <w:spacing w:before="20" w:after="20"/>
        <w:ind w:hanging="480" w:left="480"/>
        <w:jc w:val="both"/>
      </w:pPr>
      <w:r>
        <w:rPr>
          <w:rFonts w:ascii="宋体" w:hAnsi="宋体" w:eastAsia="宋体"/>
          <w:b w:val="0"/>
          <w:sz w:val="21"/>
        </w:rPr>
        <w:t>[22] ZHAO W L, LAI H H, PAN B, et al. Assessing the adherence of large language models to clinical practice guidelines in Chinese medicine: a content analysis[J]. Frontiers in Pharmacology, 2025, 16: 1649041.</w:t>
      </w:r>
    </w:p>
    <w:p>
      <w:pPr>
        <w:spacing w:before="20" w:after="20"/>
        <w:ind w:hanging="480" w:left="480"/>
        <w:jc w:val="both"/>
      </w:pPr>
      <w:r>
        <w:rPr>
          <w:rFonts w:ascii="宋体" w:hAnsi="宋体" w:eastAsia="宋体"/>
          <w:b w:val="0"/>
          <w:sz w:val="21"/>
        </w:rPr>
        <w:t>[23] WANG B F, ZHANG M W, WANG Z, et al. Supporting postgraduate exam preparation with large language models: implications for traditional Chinese medicine education[J]. Frontiers in Medicine, 2026.</w:t>
      </w:r>
    </w:p>
    <w:p>
      <w:pPr>
        <w:spacing w:before="20" w:after="20"/>
        <w:ind w:hanging="480" w:left="480"/>
        <w:jc w:val="both"/>
      </w:pPr>
      <w:r>
        <w:rPr>
          <w:rFonts w:ascii="宋体" w:hAnsi="宋体" w:eastAsia="宋体"/>
          <w:b w:val="0"/>
          <w:sz w:val="21"/>
        </w:rPr>
        <w:t>[24] GHANAD E, WEISS C, GAO H, et al. GPT versus ERNIE for national traditional Chinese medicine licensing examination: does cultural background matter?[J]. Journal of Integrative and Complementary Medicine, 2025, 31(9): 844-848.</w:t>
      </w:r>
    </w:p>
    <w:p>
      <w:pPr>
        <w:spacing w:before="20" w:after="20"/>
        <w:ind w:hanging="480" w:left="480"/>
        <w:jc w:val="both"/>
      </w:pPr>
      <w:r>
        <w:rPr>
          <w:rFonts w:ascii="宋体" w:hAnsi="宋体" w:eastAsia="宋体"/>
          <w:b w:val="0"/>
          <w:sz w:val="21"/>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pPr>
        <w:spacing w:before="20" w:after="20"/>
        <w:ind w:hanging="480" w:left="480"/>
        <w:jc w:val="both"/>
      </w:pPr>
      <w:r>
        <w:rPr>
          <w:rFonts w:ascii="宋体" w:hAnsi="宋体" w:eastAsia="宋体"/>
          <w:b w:val="0"/>
          <w:sz w:val="21"/>
        </w:rPr>
        <w:t>[26] LIU Z, YANG T, WANG J, et al. Tianyi: a traditional Chinese medicine all-rounder language model and its real-world clinical practice[J]. Information Fusion, 2026.</w:t>
      </w:r>
    </w:p>
    <w:p>
      <w:pPr>
        <w:spacing w:before="20" w:after="20"/>
        <w:ind w:hanging="480" w:left="480"/>
        <w:jc w:val="both"/>
      </w:pPr>
      <w:r>
        <w:rPr>
          <w:rFonts w:ascii="宋体" w:hAnsi="宋体" w:eastAsia="宋体"/>
          <w:b w:val="0"/>
          <w:sz w:val="21"/>
        </w:rPr>
        <w:t>[27] YANG Q R, HAN J X, WANG H Z, et al. Knowledge graph enhanced large language models for traditional Chinese medicine question-answering[C]// 2026 IEEE International Conference on Big Data and Smart Computing (BigComp). IEEE, 2025: 96-103.</w:t>
      </w:r>
    </w:p>
    <w:p>
      <w:pPr>
        <w:spacing w:before="20" w:after="20"/>
        <w:ind w:hanging="480" w:left="480"/>
        <w:jc w:val="both"/>
      </w:pPr>
      <w:r>
        <w:rPr>
          <w:rFonts w:ascii="宋体" w:hAnsi="宋体" w:eastAsia="宋体"/>
          <w:b w:val="0"/>
          <w:sz w:val="21"/>
        </w:rPr>
        <w:t>[28] DUAN Y C, ZHOU Q Q, LI Y, et al. Research on a traditional Chinese medicine case-based question-answering system integrating large language models and knowledge graphs[J]. Frontiers in Medicine, 2025, 11: 1512329.</w:t>
      </w:r>
    </w:p>
    <w:p>
      <w:r>
        <w:t>[29] HUA R, DONG X, WEI Y, et al. Lingdan: enhancing encoding of traditional Chinese medicine knowledge for clinical reasoning tasks with large language models[J]. Journal of the American Medical Informatics Association, 2024.</w:t>
      </w:r>
    </w:p>
    <w:p>
      <w:r>
        <w:t>[30] WEN J, LIU D D, XIE Y X, et al. AcuGPT-Agent: an LLM-powered intelligent system for acupuncture-based infertility treatment[J]. Neurocomputing, 2025.</w:t>
      </w:r>
    </w:p>
    <w:p>
      <w:r>
        <w:t>[31] WANG Z, LI K Q, PENG S Y, et al. A weighted voting approach for traditional Chinese medicine formula classification using large language models: algorithm development and validation study[J]. JMIR Medical Informatics, 2025.</w:t>
      </w:r>
    </w:p>
    <w:p>
      <w:r>
        <w:t>[32] ZHANG R X, XIE W D, LIN Q Z, et al. When East meets West: cross-domain drug interaction annotations with large language models and bidirectional neural networks[J]. IEEE Journal of Biomedical and Health Informatics, 2025.</w:t>
      </w:r>
    </w:p>
    <w:p>
      <w:r>
        <w:t>[33] XU Q, ZHAO Z H, LIU W W, et al. A character-level convolutional recurrent interaction network for joint traditional Chinese medicine clinical named entity recognition and relation extraction[J]. Artificial Intelligence in Medicine, 2026.</w:t>
      </w:r>
    </w:p>
    <w:p>
      <w:r>
        <w:t>[34] MOOR M, BANERJEE O, ABAD Z S H, et al. Foundation models for generalist medical artificial intelligence[J]. Nature, 2023, 616(7956): 259-265.</w:t>
      </w:r>
    </w:p>
    <w:p>
      <w:r>
        <w:t>[35] SINGHAL K, AZIZI S, TU T, et al. Large language models encode clinical knowledge[J]. Nature, 2023, 620(7972): 172-180.</w:t>
      </w:r>
    </w:p>
    <w:p>
      <w:r>
        <w:t>[36] LIU Y, YUAN Y S, YAN K M, et al. Evaluating the role of large language models in traditional Chinese medicine diagnosis and treatment recommendations[J]. npj Digital Medicine, 2025, 8(1): 466.</w:t>
      </w:r>
    </w:p>
    <w:p>
      <w:r>
        <w:t>[37] TOPOL E J. High-performance medicine: the convergence of human and artificial intelligence[J]. Nature Medicine, 2019, 25(1): 44-56.</w:t>
      </w:r>
    </w:p>
    <w:p>
      <w:r>
        <w:t>[38] 王忆勤, 郭睿. 中医四诊信息采集规范化研究思路与方法[J]. 中医杂志, 2014, 55(8): 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